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 w:val="0"/>
        <w:autoSpaceDE w:val="0"/>
        <w:autoSpaceDN w:val="0"/>
        <w:adjustRightInd w:val="0"/>
        <w:snapToGrid w:val="0"/>
        <w:spacing w:before="50" w:line="207" w:lineRule="auto"/>
        <w:jc w:val="center"/>
        <w:textAlignment w:val="baseline"/>
        <w:rPr>
          <w:rFonts w:ascii="Times New Roman" w:hAnsi="Times New Roman" w:eastAsia="方正小标宋_GBK" w:cs="方正小标宋_GBK"/>
          <w:snapToGrid w:val="0"/>
          <w:color w:val="000000"/>
          <w:spacing w:val="-1"/>
          <w:kern w:val="0"/>
          <w:sz w:val="40"/>
          <w:szCs w:val="40"/>
          <w:lang w:eastAsia="en-US"/>
        </w:rPr>
      </w:pPr>
      <w:r>
        <w:rPr>
          <w:rFonts w:hint="eastAsia" w:ascii="Times New Roman" w:hAnsi="Times New Roman" w:eastAsia="方正小标宋_GBK" w:cs="方正小标宋_GBK"/>
          <w:snapToGrid w:val="0"/>
          <w:color w:val="000000"/>
          <w:spacing w:val="-1"/>
          <w:kern w:val="0"/>
          <w:sz w:val="40"/>
          <w:szCs w:val="40"/>
          <w:lang w:val="en-US" w:eastAsia="zh-CN"/>
        </w:rPr>
        <w:t>城口县市场监督管理局</w:t>
      </w:r>
      <w:r>
        <w:rPr>
          <w:rFonts w:ascii="Times New Roman" w:hAnsi="Times New Roman" w:eastAsia="方正小标宋_GBK" w:cs="方正小标宋_GBK"/>
          <w:snapToGrid w:val="0"/>
          <w:color w:val="000000"/>
          <w:spacing w:val="-1"/>
          <w:kern w:val="0"/>
          <w:sz w:val="40"/>
          <w:szCs w:val="40"/>
          <w:lang w:eastAsia="en-US"/>
        </w:rPr>
        <w:t>及下属单位综合性涉企收费目录清单</w:t>
      </w:r>
    </w:p>
    <w:tbl>
      <w:tblPr>
        <w:tblStyle w:val="8"/>
        <w:tblW w:w="1494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1368"/>
        <w:gridCol w:w="1518"/>
        <w:gridCol w:w="1357"/>
        <w:gridCol w:w="1387"/>
        <w:gridCol w:w="1306"/>
        <w:gridCol w:w="2100"/>
        <w:gridCol w:w="1152"/>
        <w:gridCol w:w="1392"/>
        <w:gridCol w:w="1963"/>
        <w:gridCol w:w="8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598" w:type="dxa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231" w:lineRule="auto"/>
              <w:ind w:left="210" w:right="-525" w:rightChars="-250"/>
              <w:jc w:val="both"/>
              <w:textAlignment w:val="baseline"/>
              <w:rPr>
                <w:rFonts w:hint="eastAsia"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6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部门名称</w:t>
            </w:r>
          </w:p>
        </w:tc>
        <w:tc>
          <w:tcPr>
            <w:tcW w:w="1518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收费单位名称</w:t>
            </w:r>
          </w:p>
        </w:tc>
        <w:tc>
          <w:tcPr>
            <w:tcW w:w="135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单位性质</w:t>
            </w:r>
          </w:p>
        </w:tc>
        <w:tc>
          <w:tcPr>
            <w:tcW w:w="1387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收费项目</w:t>
            </w:r>
          </w:p>
        </w:tc>
        <w:tc>
          <w:tcPr>
            <w:tcW w:w="1306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收费性质</w:t>
            </w:r>
          </w:p>
        </w:tc>
        <w:tc>
          <w:tcPr>
            <w:tcW w:w="21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服务内容或涉及事项</w:t>
            </w:r>
          </w:p>
        </w:tc>
        <w:tc>
          <w:tcPr>
            <w:tcW w:w="115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收费标准</w:t>
            </w:r>
          </w:p>
        </w:tc>
        <w:tc>
          <w:tcPr>
            <w:tcW w:w="1392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标准制定方式及部门</w:t>
            </w:r>
          </w:p>
        </w:tc>
        <w:tc>
          <w:tcPr>
            <w:tcW w:w="1963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  <w:t>政策依据</w:t>
            </w:r>
          </w:p>
        </w:tc>
        <w:tc>
          <w:tcPr>
            <w:tcW w:w="800" w:type="dxa"/>
            <w:textDirection w:val="tbRlV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38" w:line="231" w:lineRule="auto"/>
              <w:ind w:left="245"/>
              <w:jc w:val="center"/>
              <w:textAlignment w:val="baseline"/>
              <w:rPr>
                <w:rFonts w:ascii="Times New Roman" w:hAnsi="Times New Roman" w:eastAsia="方正黑体_GBK" w:cs="方正黑体_GBK"/>
                <w:snapToGrid w:val="0"/>
                <w:color w:val="000000"/>
                <w:spacing w:val="-2"/>
                <w:kern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黑体" w:cs="黑体"/>
                <w:snapToGrid w:val="0"/>
                <w:color w:val="000000"/>
                <w:spacing w:val="-15"/>
                <w:kern w:val="0"/>
                <w:sz w:val="28"/>
                <w:szCs w:val="28"/>
                <w:lang w:eastAsia="en-US"/>
              </w:rPr>
              <w:t>备 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7" w:hRule="atLeast"/>
          <w:jc w:val="center"/>
        </w:trPr>
        <w:tc>
          <w:tcPr>
            <w:tcW w:w="598" w:type="dxa"/>
            <w:vAlign w:val="top"/>
          </w:tcPr>
          <w:p>
            <w:pPr>
              <w:spacing w:before="41" w:line="352" w:lineRule="exact"/>
              <w:ind w:left="302"/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</w:pPr>
          </w:p>
          <w:p>
            <w:pPr>
              <w:spacing w:before="41" w:line="352" w:lineRule="exact"/>
              <w:ind w:left="302"/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</w:pPr>
          </w:p>
          <w:p>
            <w:pPr>
              <w:spacing w:before="41" w:line="352" w:lineRule="exact"/>
              <w:ind w:left="302"/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</w:pPr>
          </w:p>
          <w:p>
            <w:pPr>
              <w:spacing w:before="41" w:line="352" w:lineRule="exact"/>
              <w:ind w:left="302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368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城口县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市场监督管理局</w:t>
            </w:r>
          </w:p>
        </w:tc>
        <w:tc>
          <w:tcPr>
            <w:tcW w:w="1518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本级</w:t>
            </w:r>
          </w:p>
        </w:tc>
        <w:tc>
          <w:tcPr>
            <w:tcW w:w="135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政府部门</w:t>
            </w:r>
          </w:p>
        </w:tc>
        <w:tc>
          <w:tcPr>
            <w:tcW w:w="138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履约保证金</w:t>
            </w:r>
          </w:p>
        </w:tc>
        <w:tc>
          <w:tcPr>
            <w:tcW w:w="1306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政府部门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涉企保证金</w:t>
            </w:r>
          </w:p>
        </w:tc>
        <w:tc>
          <w:tcPr>
            <w:tcW w:w="2100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根据招标文件具体要求执行。鼓励招标人接受担保机构的保函、保险机构的保单等其他非现金交易担保方式缴纳保证金。依法必须招标项目的招标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人不得强制要求投标人、中标人缴纳现金保证金。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履约保证金不得超过中标合同金额的10%。</w:t>
            </w:r>
          </w:p>
        </w:tc>
        <w:tc>
          <w:tcPr>
            <w:tcW w:w="139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政府制定（国家发展改革委）</w:t>
            </w:r>
          </w:p>
        </w:tc>
        <w:tc>
          <w:tcPr>
            <w:tcW w:w="1963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《中华人民共和国招标投标法》《中华人民共和国招标投标法实施条例》</w:t>
            </w:r>
          </w:p>
        </w:tc>
        <w:tc>
          <w:tcPr>
            <w:tcW w:w="800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1" w:hRule="atLeast"/>
          <w:jc w:val="center"/>
        </w:trPr>
        <w:tc>
          <w:tcPr>
            <w:tcW w:w="598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8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城口县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市场监督管理局</w:t>
            </w:r>
          </w:p>
        </w:tc>
        <w:tc>
          <w:tcPr>
            <w:tcW w:w="15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本级</w:t>
            </w:r>
          </w:p>
        </w:tc>
        <w:tc>
          <w:tcPr>
            <w:tcW w:w="135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政府部门</w:t>
            </w:r>
          </w:p>
        </w:tc>
        <w:tc>
          <w:tcPr>
            <w:tcW w:w="138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政府采购履约保证金</w:t>
            </w:r>
          </w:p>
        </w:tc>
        <w:tc>
          <w:tcPr>
            <w:tcW w:w="1306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政府部门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涉企保证金</w:t>
            </w:r>
          </w:p>
        </w:tc>
        <w:tc>
          <w:tcPr>
            <w:tcW w:w="2100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由中标（成交）供应商与采购人签订采购合同时提交。采购人、采购代理机构应当允许供应商自主选择以支票、汇票、本票、保函（保险）等非现金形式缴纳或提交保证金。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履约保证金不得超过政府采购合同金额的10%。</w:t>
            </w:r>
          </w:p>
        </w:tc>
        <w:tc>
          <w:tcPr>
            <w:tcW w:w="139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政府制定（财政部）</w:t>
            </w:r>
          </w:p>
        </w:tc>
        <w:tc>
          <w:tcPr>
            <w:tcW w:w="1963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《中华人民共和国政府采购法实施条例》</w:t>
            </w:r>
          </w:p>
        </w:tc>
        <w:tc>
          <w:tcPr>
            <w:tcW w:w="800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8" w:hRule="atLeast"/>
          <w:jc w:val="center"/>
        </w:trPr>
        <w:tc>
          <w:tcPr>
            <w:tcW w:w="598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368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城口县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市场监督管理局</w:t>
            </w:r>
          </w:p>
        </w:tc>
        <w:tc>
          <w:tcPr>
            <w:tcW w:w="15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本级</w:t>
            </w:r>
          </w:p>
        </w:tc>
        <w:tc>
          <w:tcPr>
            <w:tcW w:w="135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政府部门</w:t>
            </w:r>
          </w:p>
        </w:tc>
        <w:tc>
          <w:tcPr>
            <w:tcW w:w="1387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工程质量保证金</w:t>
            </w:r>
          </w:p>
        </w:tc>
        <w:tc>
          <w:tcPr>
            <w:tcW w:w="1306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政府部门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涉企保证金</w:t>
            </w:r>
          </w:p>
        </w:tc>
        <w:tc>
          <w:tcPr>
            <w:tcW w:w="2100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发包人与承包人在建设工程承包合同中约定，从应付的工程款中预留，可以银行保函（保险）方式替代工程质量保证金，采用工程质量担保、工程质量保险等其他保证方式的不得预留工程质量保证金。承包人缴纳履约保证金的，发包人不得同时预留工程质量保证金。</w:t>
            </w:r>
          </w:p>
        </w:tc>
        <w:tc>
          <w:tcPr>
            <w:tcW w:w="115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保证金预留比例由发承包双方自行约定，不得高于工程价款结算总额的3%。</w:t>
            </w:r>
          </w:p>
        </w:tc>
        <w:tc>
          <w:tcPr>
            <w:tcW w:w="1392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政府制定（住房城乡建设部、财政部）</w:t>
            </w:r>
          </w:p>
        </w:tc>
        <w:tc>
          <w:tcPr>
            <w:tcW w:w="1963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2" w:beforeAutospacing="0" w:after="144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国务院办公厅《关于清理规范工程建设领域保证金的通知》（国办发〔2016〕49号）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住房城乡建设部、财政部《关于印发建设工程质量保证金管理办法的通知》建质 〔2017〕138号</w:t>
            </w:r>
          </w:p>
        </w:tc>
        <w:tc>
          <w:tcPr>
            <w:tcW w:w="800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</w:tbl>
    <w:p>
      <w:pPr>
        <w:jc w:val="left"/>
        <w:rPr>
          <w:rFonts w:hint="eastAsia"/>
          <w:sz w:val="24"/>
          <w:szCs w:val="24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F6012"/>
    <w:rsid w:val="03B63662"/>
    <w:rsid w:val="040341D3"/>
    <w:rsid w:val="05104587"/>
    <w:rsid w:val="07F82B85"/>
    <w:rsid w:val="088E4E74"/>
    <w:rsid w:val="08DD4EF1"/>
    <w:rsid w:val="0AEF6012"/>
    <w:rsid w:val="12D04B79"/>
    <w:rsid w:val="16DD2110"/>
    <w:rsid w:val="201A5DBA"/>
    <w:rsid w:val="279F1528"/>
    <w:rsid w:val="296869BD"/>
    <w:rsid w:val="2EB07C3A"/>
    <w:rsid w:val="2FE02A80"/>
    <w:rsid w:val="3DC82CD1"/>
    <w:rsid w:val="47665B7E"/>
    <w:rsid w:val="56093FFE"/>
    <w:rsid w:val="56473250"/>
    <w:rsid w:val="69421039"/>
    <w:rsid w:val="6EB60995"/>
    <w:rsid w:val="7B2B2FC5"/>
    <w:rsid w:val="7B8207DD"/>
    <w:rsid w:val="FFEE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576" w:lineRule="auto"/>
      <w:jc w:val="both"/>
      <w:outlineLvl w:val="0"/>
    </w:pPr>
    <w:rPr>
      <w:rFonts w:asciiTheme="minorHAnsi" w:hAnsiTheme="minorHAnsi" w:eastAsiaTheme="minorEastAsia" w:cstheme="minorBidi"/>
      <w:b/>
      <w:kern w:val="44"/>
      <w:sz w:val="4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  <w:style w:type="paragraph" w:styleId="4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1389</Words>
  <Characters>1413</Characters>
  <Lines>0</Lines>
  <Paragraphs>0</Paragraphs>
  <TotalTime>3</TotalTime>
  <ScaleCrop>false</ScaleCrop>
  <LinksUpToDate>false</LinksUpToDate>
  <CharactersWithSpaces>1418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2025-11-12T11:04:00Z</dcterms:created>
  <dc:creator>tmr</dc:creator>
  <cp:lastModifiedBy>县市场监督管理局管理员</cp:lastModifiedBy>
  <cp:lastPrinted>2025-12-18T16:47:00Z</cp:lastPrinted>
  <dcterms:modified xsi:type="dcterms:W3CDTF">2025-12-19T14:21:03Z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KSOTemplateDocerSaveRecord">
    <vt:lpwstr>eyJoZGlkIjoiZGFlYjdiZTkzYjJhNGNkNDI3MDA5ZWQ4M2U5MmExNWYiLCJ1c2VySWQiOiIxNjU3NTAxMTMwIn0=</vt:lpwstr>
  </property>
  <property fmtid="{D5CDD505-2E9C-101B-9397-08002B2CF9AE}" pid="4" name="ICV">
    <vt:lpwstr>6890787C64604E379F356F18F5F6D895_13</vt:lpwstr>
  </property>
</Properties>
</file>