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运动服装</w:t>
      </w:r>
      <w:r>
        <w:rPr>
          <w:rFonts w:hint="eastAsia" w:ascii="方正小标宋简体" w:hAnsi="仿宋" w:eastAsia="方正小标宋简体" w:cs="方正仿宋简体"/>
          <w:color w:val="000000"/>
          <w:sz w:val="32"/>
          <w:szCs w:val="32"/>
        </w:rPr>
        <w:t>产品质量监督抽查实施细则</w:t>
      </w:r>
    </w:p>
    <w:p>
      <w:pPr>
        <w:pStyle w:val="2"/>
        <w:spacing w:line="440" w:lineRule="exact"/>
        <w:jc w:val="center"/>
        <w:rPr>
          <w:rFonts w:ascii="宋体" w:hAnsi="宋体"/>
          <w:color w:val="000000"/>
          <w:sz w:val="28"/>
          <w:szCs w:val="28"/>
        </w:rPr>
      </w:pPr>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p>
    <w:p>
      <w:pPr>
        <w:jc w:val="center"/>
        <w:rPr>
          <w:rFonts w:ascii="方正小标宋简体" w:hAnsi="仿宋" w:eastAsia="方正小标宋简体" w:cs="方正仿宋简体"/>
          <w:color w:val="000000"/>
          <w:sz w:val="32"/>
          <w:szCs w:val="32"/>
        </w:rPr>
      </w:pPr>
      <w:bookmarkStart w:id="0" w:name="_GoBack"/>
      <w:bookmarkEnd w:id="0"/>
    </w:p>
    <w:p>
      <w:pPr>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szCs w:val="21"/>
        </w:rPr>
        <w:t>。</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szCs w:val="21"/>
        </w:rPr>
      </w:pPr>
      <w:r>
        <w:rPr>
          <w:rFonts w:hint="eastAsia" w:ascii="宋体" w:hAnsi="宋体"/>
          <w:szCs w:val="21"/>
        </w:rPr>
        <w:t>抽取同一生产者按照同一标准生产的同一商标、同一款式（货/款号）、同一花型颜色及材料的产品，其中</w:t>
      </w:r>
      <w:r>
        <w:rPr>
          <w:rFonts w:hint="eastAsia" w:ascii="宋体" w:hAnsi="宋体"/>
          <w:szCs w:val="21"/>
          <w:lang w:val="en-US" w:eastAsia="zh-CN"/>
        </w:rPr>
        <w:t>运动服装</w:t>
      </w:r>
      <w:r>
        <w:rPr>
          <w:rFonts w:hint="eastAsia" w:ascii="宋体" w:hAnsi="宋体"/>
          <w:szCs w:val="21"/>
        </w:rPr>
        <w:t>抽取样品2件/套/条，其中1件/套/条作为检验样品，1件/套/条作为备用样品。如样品过小，可适当增加抽样数量，但不得超过检验、复检的合理需要。</w:t>
      </w:r>
    </w:p>
    <w:p>
      <w:pPr>
        <w:snapToGrid w:val="0"/>
        <w:spacing w:line="440" w:lineRule="exact"/>
        <w:ind w:firstLine="420" w:firstLineChars="200"/>
        <w:rPr>
          <w:rFonts w:hint="eastAsia" w:ascii="宋体" w:hAnsi="宋体"/>
          <w:szCs w:val="21"/>
        </w:rPr>
      </w:pPr>
      <w:r>
        <w:rPr>
          <w:rFonts w:hint="eastAsia" w:ascii="宋体" w:hAnsi="宋体"/>
          <w:szCs w:val="21"/>
        </w:rPr>
        <w:t>随机数抽样，随机数一般可使用随机数表、随机数骰子或扑克牌等方法产生。</w:t>
      </w:r>
    </w:p>
    <w:p>
      <w:pPr>
        <w:spacing w:line="440" w:lineRule="exact"/>
        <w:rPr>
          <w:rFonts w:ascii="黑体" w:hAnsi="宋体" w:eastAsia="黑体"/>
          <w:color w:val="000000"/>
          <w:szCs w:val="21"/>
        </w:rPr>
      </w:pPr>
      <w:r>
        <w:rPr>
          <w:rFonts w:hint="eastAsia" w:ascii="黑体" w:hAnsi="宋体" w:eastAsia="黑体"/>
          <w:color w:val="000000"/>
          <w:szCs w:val="21"/>
        </w:rPr>
        <w:t>2 检验依据</w:t>
      </w:r>
    </w:p>
    <w:p>
      <w:pPr>
        <w:spacing w:line="360" w:lineRule="auto"/>
        <w:ind w:left="420" w:hanging="420" w:hangingChars="200"/>
        <w:contextualSpacing/>
        <w:jc w:val="center"/>
        <w:rPr>
          <w:rFonts w:hint="eastAsia" w:ascii="宋体" w:hAnsi="宋体"/>
          <w:szCs w:val="21"/>
        </w:rPr>
      </w:pPr>
      <w:r>
        <w:rPr>
          <w:rFonts w:hint="eastAsia" w:ascii="宋体" w:hAnsi="宋体"/>
          <w:szCs w:val="21"/>
        </w:rPr>
        <w:t>表1检验项目</w:t>
      </w:r>
    </w:p>
    <w:tbl>
      <w:tblPr>
        <w:tblStyle w:val="8"/>
        <w:tblW w:w="8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98"/>
        <w:gridCol w:w="2409"/>
        <w:gridCol w:w="2409"/>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序号</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检验项目</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判定依据</w:t>
            </w:r>
          </w:p>
        </w:tc>
        <w:tc>
          <w:tcPr>
            <w:tcW w:w="2415"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产品使用说明</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相应产品标准</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GB/T 5296.4-2012</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5296.4-2012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纤维含量</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29862-2013</w:t>
            </w:r>
          </w:p>
          <w:p>
            <w:pPr>
              <w:pStyle w:val="2"/>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15" w:type="dxa"/>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01057.1-2007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01057.2-2007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01057.3-2007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01057.4-2007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2910.3-2009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2910.4-2009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2910.6-2009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2910.7-2009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2910.20-2009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01101-2008</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01112-2012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01026-2017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01095-2002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30003-2009</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16988-2013</w:t>
            </w:r>
            <w:r>
              <w:rPr>
                <w:rFonts w:hint="eastAsia" w:asciiTheme="minorEastAsia" w:hAnsiTheme="minorEastAsia" w:eastAsiaTheme="minorEastAsia" w:cstheme="minorEastAsia"/>
                <w:color w:val="auto"/>
                <w:sz w:val="21"/>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甲醛含量</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pStyle w:val="2"/>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4</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pH值</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pStyle w:val="2"/>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5</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耐水色牢度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6</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耐汗渍色牢度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7</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耐摩擦色牢度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8</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可分解致癌芳香胺染料</w:t>
            </w:r>
            <w:r>
              <w:rPr>
                <w:rFonts w:hint="eastAsia" w:asciiTheme="minorEastAsia" w:hAnsiTheme="minorEastAsia" w:eastAsiaTheme="minorEastAsia" w:cstheme="minorEastAsia"/>
                <w:color w:val="auto"/>
                <w:sz w:val="21"/>
                <w:szCs w:val="21"/>
                <w:vertAlign w:val="superscript"/>
              </w:rPr>
              <w:t>①</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17592-2011</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9</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异味</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GB 18401-2010</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10</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耐光色牢度</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8427-2008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11</w:t>
            </w:r>
          </w:p>
        </w:tc>
        <w:tc>
          <w:tcPr>
            <w:tcW w:w="2409"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0"/>
                <w:sz w:val="21"/>
                <w:szCs w:val="21"/>
                <w:lang w:bidi="ar"/>
              </w:rPr>
              <w:t>耐洗色牢度</w:t>
            </w:r>
            <w:r>
              <w:rPr>
                <w:rFonts w:hint="eastAsia" w:asciiTheme="minorEastAsia" w:hAnsiTheme="minorEastAsia" w:eastAsiaTheme="minorEastAsia" w:cstheme="minorEastAsia"/>
                <w:color w:val="auto"/>
                <w:sz w:val="21"/>
                <w:szCs w:val="21"/>
                <w:vertAlign w:val="superscript"/>
              </w:rPr>
              <w:t>②③</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12</w:t>
            </w:r>
          </w:p>
        </w:tc>
        <w:tc>
          <w:tcPr>
            <w:tcW w:w="2409"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0"/>
                <w:sz w:val="21"/>
                <w:szCs w:val="21"/>
                <w:lang w:bidi="ar"/>
              </w:rPr>
              <w:t>耐干洗色牢度</w:t>
            </w:r>
            <w:r>
              <w:rPr>
                <w:rFonts w:hint="eastAsia" w:asciiTheme="minorEastAsia" w:hAnsiTheme="minorEastAsia" w:eastAsiaTheme="minorEastAsia" w:cstheme="minorEastAsia"/>
                <w:color w:val="auto"/>
                <w:sz w:val="21"/>
                <w:szCs w:val="21"/>
                <w:vertAlign w:val="superscript"/>
              </w:rPr>
              <w:t>②③</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GB/T 5711-2015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8331" w:type="dxa"/>
            <w:gridSpan w:val="4"/>
            <w:vAlign w:val="center"/>
          </w:tcPr>
          <w:p>
            <w:pPr>
              <w:keepNext w:val="0"/>
              <w:keepLines w:val="0"/>
              <w:pageBreakBefore w:val="0"/>
              <w:kinsoku/>
              <w:wordWrap/>
              <w:overflowPunct/>
              <w:topLinePunct w:val="0"/>
              <w:autoSpaceDE/>
              <w:autoSpaceDN/>
              <w:bidi w:val="0"/>
              <w:snapToGrid w:val="0"/>
              <w:spacing w:line="240" w:lineRule="auto"/>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p>
            <w:pPr>
              <w:keepNext w:val="0"/>
              <w:keepLines w:val="0"/>
              <w:pageBreakBefore w:val="0"/>
              <w:kinsoku/>
              <w:wordWrap/>
              <w:overflowPunct/>
              <w:topLinePunct w:val="0"/>
              <w:autoSpaceDE/>
              <w:autoSpaceDN/>
              <w:bidi w:val="0"/>
              <w:snapToGrid w:val="0"/>
              <w:spacing w:line="240" w:lineRule="auto"/>
              <w:jc w:val="both"/>
              <w:rPr>
                <w:rFonts w:hint="eastAsia" w:ascii="宋体" w:hAnsi="宋体" w:eastAsia="宋体" w:cstheme="minorBidi"/>
                <w:color w:val="000000"/>
                <w:kern w:val="2"/>
                <w:sz w:val="21"/>
                <w:szCs w:val="21"/>
                <w:lang w:val="en-US" w:eastAsia="zh-CN" w:bidi="ar-SA"/>
              </w:rPr>
            </w:pPr>
            <w:r>
              <w:rPr>
                <w:rFonts w:hint="eastAsia" w:asciiTheme="minorEastAsia" w:hAnsiTheme="minorEastAsia" w:cstheme="minorEastAsia"/>
                <w:color w:val="auto"/>
                <w:sz w:val="21"/>
                <w:szCs w:val="21"/>
                <w:lang w:val="en-US" w:eastAsia="zh-CN"/>
              </w:rPr>
              <w:t>A、</w:t>
            </w:r>
            <w:r>
              <w:rPr>
                <w:rFonts w:hint="eastAsia" w:asciiTheme="minorEastAsia" w:hAnsiTheme="minorEastAsia" w:eastAsiaTheme="minorEastAsia" w:cstheme="minorEastAsia"/>
                <w:color w:val="auto"/>
                <w:sz w:val="21"/>
                <w:szCs w:val="21"/>
              </w:rPr>
              <w:t>①</w:t>
            </w:r>
            <w:r>
              <w:rPr>
                <w:rFonts w:hint="eastAsia" w:ascii="宋体" w:hAnsi="宋体" w:eastAsia="宋体" w:cstheme="minorBidi"/>
                <w:color w:val="000000"/>
                <w:kern w:val="2"/>
                <w:sz w:val="21"/>
                <w:szCs w:val="21"/>
                <w:lang w:val="en-US" w:eastAsia="zh-CN" w:bidi="ar-SA"/>
              </w:rPr>
              <w:t>纺织品可分解致癌芳香胺染料检测采用GC/MS定性和定量，出现阳性结果时用HPLC/DAD进一步确认</w:t>
            </w:r>
            <w:r>
              <w:rPr>
                <w:rFonts w:hint="eastAsia" w:asciiTheme="minorEastAsia" w:hAnsiTheme="minorEastAsia" w:cstheme="minorEastAsia"/>
                <w:color w:val="auto"/>
                <w:sz w:val="21"/>
                <w:szCs w:val="21"/>
                <w:lang w:eastAsia="zh-CN"/>
              </w:rPr>
              <w:t>；</w:t>
            </w:r>
            <w:r>
              <w:rPr>
                <w:rFonts w:hint="eastAsia" w:ascii="宋体" w:hAnsi="宋体" w:eastAsia="宋体" w:cstheme="minorBidi"/>
                <w:color w:val="000000"/>
                <w:kern w:val="2"/>
                <w:sz w:val="21"/>
                <w:szCs w:val="21"/>
                <w:lang w:val="en-US" w:eastAsia="zh-CN" w:bidi="ar-SA"/>
              </w:rPr>
              <w:t>②白色产品不检测；③</w:t>
            </w:r>
            <w:r>
              <w:rPr>
                <w:rFonts w:hint="eastAsia" w:asciiTheme="minorEastAsia" w:hAnsiTheme="minorEastAsia" w:eastAsiaTheme="minorEastAsia" w:cstheme="minorEastAsia"/>
                <w:color w:val="auto"/>
                <w:sz w:val="21"/>
                <w:szCs w:val="21"/>
              </w:rPr>
              <w:t>仅考核</w:t>
            </w:r>
            <w:r>
              <w:rPr>
                <w:rFonts w:hint="eastAsia" w:asciiTheme="minorEastAsia" w:hAnsiTheme="minorEastAsia" w:eastAsiaTheme="minorEastAsia" w:cstheme="minorEastAsia"/>
                <w:color w:val="auto"/>
                <w:sz w:val="21"/>
                <w:szCs w:val="21"/>
                <w:lang w:val="en-US" w:eastAsia="zh-CN"/>
              </w:rPr>
              <w:t>产品洗唛明示洗涤方式</w:t>
            </w:r>
            <w:r>
              <w:rPr>
                <w:rFonts w:hint="eastAsia" w:ascii="宋体" w:hAnsi="宋体" w:eastAsia="宋体" w:cstheme="minorBidi"/>
                <w:color w:val="000000"/>
                <w:kern w:val="2"/>
                <w:sz w:val="21"/>
                <w:szCs w:val="21"/>
                <w:lang w:val="en-US" w:eastAsia="zh-CN" w:bidi="ar-SA"/>
              </w:rPr>
              <w:t>；</w:t>
            </w:r>
          </w:p>
          <w:p>
            <w:pPr>
              <w:keepNext w:val="0"/>
              <w:keepLines w:val="0"/>
              <w:pageBreakBefore w:val="0"/>
              <w:kinsoku/>
              <w:wordWrap/>
              <w:overflowPunct/>
              <w:topLinePunct w:val="0"/>
              <w:autoSpaceDE/>
              <w:autoSpaceDN/>
              <w:bidi w:val="0"/>
              <w:snapToGrid w:val="0"/>
              <w:spacing w:line="240" w:lineRule="auto"/>
              <w:jc w:val="both"/>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B、若样品量不能满足所有试验要求，按照异味、</w:t>
            </w:r>
            <w:r>
              <w:rPr>
                <w:rFonts w:hint="eastAsia" w:asciiTheme="minorEastAsia" w:hAnsiTheme="minorEastAsia" w:eastAsiaTheme="minorEastAsia" w:cstheme="minorEastAsia"/>
                <w:color w:val="auto"/>
                <w:sz w:val="21"/>
                <w:szCs w:val="21"/>
                <w:lang w:val="en-US" w:eastAsia="zh-CN"/>
              </w:rPr>
              <w:t>产品使用说明、</w:t>
            </w:r>
            <w:r>
              <w:rPr>
                <w:rFonts w:hint="eastAsia" w:asciiTheme="minorEastAsia" w:hAnsiTheme="minorEastAsia" w:eastAsiaTheme="minorEastAsia" w:cstheme="minorEastAsia"/>
                <w:color w:val="auto"/>
                <w:sz w:val="21"/>
                <w:szCs w:val="21"/>
              </w:rPr>
              <w:t>纤维含量、可分解致癌芳香胺染料、甲醛含量、pH值、耐汗渍色牢度、耐摩擦色牢度、耐水色牢度、耐洗色牢度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w:t>
            </w:r>
            <w:r>
              <w:rPr>
                <w:rFonts w:hint="eastAsia" w:asciiTheme="minorEastAsia" w:hAnsiTheme="minorEastAsia" w:eastAsiaTheme="minorEastAsia" w:cstheme="minorEastAsia"/>
                <w:color w:val="auto"/>
                <w:sz w:val="21"/>
                <w:szCs w:val="21"/>
                <w:lang w:val="en-US" w:eastAsia="zh-CN"/>
              </w:rPr>
              <w:t>干</w:t>
            </w:r>
            <w:r>
              <w:rPr>
                <w:rFonts w:hint="eastAsia" w:asciiTheme="minorEastAsia" w:hAnsiTheme="minorEastAsia" w:eastAsiaTheme="minorEastAsia" w:cstheme="minorEastAsia"/>
                <w:color w:val="auto"/>
                <w:sz w:val="21"/>
                <w:szCs w:val="21"/>
              </w:rPr>
              <w:t>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耐光色牢度的取样顺序进行检测；</w:t>
            </w:r>
          </w:p>
          <w:p>
            <w:pPr>
              <w:keepNext w:val="0"/>
              <w:keepLines w:val="0"/>
              <w:pageBreakBefore w:val="0"/>
              <w:kinsoku/>
              <w:wordWrap/>
              <w:overflowPunct/>
              <w:topLinePunct w:val="0"/>
              <w:autoSpaceDE/>
              <w:autoSpaceDN/>
              <w:bidi w:val="0"/>
              <w:snapToGrid w:val="0"/>
              <w:spacing w:line="240" w:lineRule="auto"/>
              <w:jc w:val="both"/>
              <w:rPr>
                <w:rFonts w:hint="eastAsia" w:asciiTheme="minorEastAsia" w:hAnsiTheme="minorEastAsia" w:eastAsiaTheme="minorEastAsia" w:cstheme="minorEastAsia"/>
                <w:color w:val="auto"/>
                <w:sz w:val="21"/>
                <w:szCs w:val="21"/>
                <w:lang w:val="en-US" w:eastAsia="zh-CN"/>
              </w:rPr>
            </w:pPr>
            <w:r>
              <w:rPr>
                <w:rFonts w:hint="eastAsia" w:ascii="宋体" w:hAnsi="宋体"/>
                <w:color w:val="000000"/>
                <w:szCs w:val="21"/>
                <w:lang w:val="en-US" w:eastAsia="zh-CN"/>
              </w:rPr>
              <w:t>C</w:t>
            </w:r>
            <w:r>
              <w:rPr>
                <w:rFonts w:hint="eastAsia" w:ascii="宋体" w:hAnsi="宋体"/>
                <w:color w:val="000000"/>
                <w:szCs w:val="21"/>
              </w:rPr>
              <w:t>、当样品不能满足某个试验项目要求时，该项目不予考核。</w:t>
            </w:r>
          </w:p>
        </w:tc>
      </w:tr>
    </w:tbl>
    <w:p>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r>
        <w:rPr>
          <w:rFonts w:hint="eastAsia" w:ascii="宋体" w:hAnsi="宋体"/>
          <w:color w:val="000000"/>
          <w:szCs w:val="21"/>
          <w:lang w:eastAsia="zh-CN"/>
        </w:rPr>
        <w:t>，不注日期的文件，按照产品明示质量要求执行</w:t>
      </w:r>
      <w:r>
        <w:rPr>
          <w:rFonts w:hint="eastAsia" w:ascii="宋体" w:hAnsi="宋体"/>
          <w:color w:val="000000"/>
          <w:szCs w:val="21"/>
        </w:rPr>
        <w:t>。</w:t>
      </w:r>
    </w:p>
    <w:p>
      <w:pPr>
        <w:spacing w:line="440" w:lineRule="exact"/>
        <w:rPr>
          <w:rFonts w:ascii="黑体" w:hAnsi="黑体" w:eastAsia="黑体"/>
          <w:b/>
          <w:bCs/>
          <w:color w:val="000000"/>
          <w:szCs w:val="21"/>
        </w:rPr>
      </w:pPr>
      <w:r>
        <w:rPr>
          <w:rFonts w:hint="eastAsia" w:ascii="黑体" w:hAnsi="黑体" w:eastAsia="黑体"/>
          <w:b/>
          <w:bCs/>
          <w:color w:val="000000"/>
          <w:szCs w:val="21"/>
        </w:rPr>
        <w:t>3 判定规则</w:t>
      </w:r>
    </w:p>
    <w:p>
      <w:pPr>
        <w:spacing w:line="440" w:lineRule="exact"/>
        <w:rPr>
          <w:rFonts w:ascii="宋体" w:hAnsi="宋体"/>
          <w:b/>
          <w:bCs/>
          <w:color w:val="000000"/>
          <w:szCs w:val="21"/>
        </w:rPr>
      </w:pPr>
      <w:r>
        <w:rPr>
          <w:rFonts w:hint="eastAsia" w:ascii="宋体" w:hAnsi="宋体"/>
          <w:b/>
          <w:bCs/>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 xml:space="preserve">GB 18401-2010 国家纺织产品基本安全技术规范 </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w:t>
      </w:r>
      <w:r>
        <w:rPr>
          <w:rFonts w:ascii="宋体" w:hAnsi="宋体"/>
          <w:color w:val="000000"/>
          <w:szCs w:val="21"/>
        </w:rPr>
        <w:t xml:space="preserve">B/T 5296.4-2012 </w:t>
      </w:r>
      <w:r>
        <w:rPr>
          <w:rFonts w:hint="eastAsia" w:ascii="宋体" w:hAnsi="宋体"/>
          <w:color w:val="000000"/>
          <w:szCs w:val="21"/>
        </w:rPr>
        <w:t>消费品使用说明 第4部分：纺织品和服装</w:t>
      </w:r>
    </w:p>
    <w:p>
      <w:pPr>
        <w:snapToGrid w:val="0"/>
        <w:spacing w:line="440" w:lineRule="exact"/>
        <w:ind w:firstLine="420" w:firstLineChars="200"/>
        <w:rPr>
          <w:rFonts w:hint="eastAsia" w:ascii="宋体" w:hAnsi="宋体" w:eastAsiaTheme="minorEastAsia"/>
          <w:color w:val="000000"/>
          <w:szCs w:val="21"/>
          <w:lang w:eastAsia="zh-CN"/>
        </w:rPr>
      </w:pPr>
      <w:r>
        <w:rPr>
          <w:rFonts w:hint="eastAsia" w:ascii="宋体" w:hAnsi="宋体"/>
          <w:color w:val="000000"/>
          <w:szCs w:val="21"/>
        </w:rPr>
        <w:t>GB/T 29862-2013 纺织品</w:t>
      </w:r>
      <w:r>
        <w:rPr>
          <w:rFonts w:hint="eastAsia" w:ascii="宋体" w:hAnsi="宋体"/>
          <w:color w:val="000000"/>
          <w:szCs w:val="21"/>
          <w:lang w:val="en-US" w:eastAsia="zh-CN"/>
        </w:rPr>
        <w:t xml:space="preserve"> </w:t>
      </w:r>
      <w:r>
        <w:rPr>
          <w:rFonts w:hint="eastAsia" w:ascii="宋体" w:hAnsi="宋体"/>
          <w:color w:val="000000"/>
          <w:szCs w:val="21"/>
        </w:rPr>
        <w:t>纤维含量的标</w:t>
      </w:r>
      <w:r>
        <w:rPr>
          <w:rFonts w:hint="eastAsia" w:ascii="宋体" w:hAnsi="宋体"/>
          <w:color w:val="000000"/>
          <w:szCs w:val="21"/>
          <w:lang w:eastAsia="zh-CN"/>
        </w:rPr>
        <w:t>识</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29869-2013 针织专业运动服装通用技术要求</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22849-2014 针织T恤衫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22853-2019针织运动服</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81007-2012单、夹服装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w:t>
      </w:r>
      <w:r>
        <w:rPr>
          <w:rFonts w:hint="eastAsia" w:ascii="宋体" w:hAnsi="宋体"/>
          <w:color w:val="000000"/>
          <w:szCs w:val="21"/>
          <w:lang w:val="en-US" w:eastAsia="zh-CN"/>
        </w:rPr>
        <w:t xml:space="preserve"> </w:t>
      </w:r>
      <w:r>
        <w:rPr>
          <w:rFonts w:hint="eastAsia" w:ascii="宋体" w:hAnsi="宋体"/>
          <w:color w:val="000000"/>
          <w:szCs w:val="21"/>
        </w:rPr>
        <w:t>81008-2011茄克衫</w:t>
      </w:r>
    </w:p>
    <w:p>
      <w:pPr>
        <w:snapToGrid w:val="0"/>
        <w:spacing w:line="440" w:lineRule="exact"/>
        <w:ind w:firstLine="420" w:firstLineChars="200"/>
        <w:rPr>
          <w:rFonts w:ascii="宋体" w:hAnsi="宋体"/>
          <w:color w:val="000000"/>
          <w:szCs w:val="21"/>
        </w:rPr>
      </w:pPr>
      <w:r>
        <w:rPr>
          <w:rFonts w:hint="eastAsia" w:ascii="宋体" w:hAnsi="宋体" w:cs="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pacing w:line="440" w:lineRule="exact"/>
        <w:rPr>
          <w:rFonts w:ascii="宋体" w:hAnsi="宋体"/>
          <w:b/>
          <w:bCs/>
          <w:color w:val="000000"/>
          <w:szCs w:val="21"/>
        </w:rPr>
      </w:pPr>
      <w:r>
        <w:rPr>
          <w:rFonts w:hint="eastAsia" w:ascii="宋体" w:hAnsi="宋体"/>
          <w:b/>
          <w:bCs/>
          <w:color w:val="000000"/>
          <w:szCs w:val="21"/>
        </w:rPr>
        <w:t>3.2判定原则</w:t>
      </w:r>
    </w:p>
    <w:p>
      <w:pPr>
        <w:adjustRightInd w:val="0"/>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eastAsia" w:ascii="Times New Roman" w:hAnsi="Times New Roman"/>
          <w:color w:val="000000"/>
          <w:szCs w:val="21"/>
        </w:rPr>
      </w:pPr>
      <w:r>
        <w:rPr>
          <w:rFonts w:hint="eastAsia" w:ascii="Times New Roman" w:hAnsi="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hint="eastAsia" w:ascii="Times New Roman" w:hAnsi="Times New Roman"/>
          <w:color w:val="000000"/>
          <w:szCs w:val="21"/>
        </w:rPr>
      </w:pPr>
      <w:r>
        <w:rPr>
          <w:rFonts w:hint="eastAsia" w:ascii="Times New Roman" w:hAnsi="Times New Roman"/>
          <w:color w:val="000000"/>
          <w:szCs w:val="21"/>
        </w:rPr>
        <w:t>若被检产品明示的质量要求缺少本细则中检验项目依据的强制性标准要求时，应按照强制性标准要求判定，但应在检验报告备注中进行说明。</w:t>
      </w:r>
    </w:p>
    <w:p>
      <w:pPr>
        <w:adjustRightInd w:val="0"/>
        <w:snapToGrid w:val="0"/>
        <w:spacing w:line="440" w:lineRule="exact"/>
        <w:ind w:firstLine="417" w:firstLineChars="199"/>
        <w:rPr>
          <w:rFonts w:hint="eastAsia" w:ascii="Times New Roman" w:hAnsi="Times New Roman"/>
          <w:color w:val="000000"/>
          <w:szCs w:val="21"/>
        </w:rPr>
      </w:pPr>
      <w:r>
        <w:rPr>
          <w:rFonts w:hint="eastAsia" w:ascii="Times New Roman" w:hAnsi="Times New Roman"/>
          <w:color w:val="000000"/>
          <w:szCs w:val="21"/>
        </w:rPr>
        <w:t>若被检产品明示的质量要求（仅针对企业标准、团体标准、地方标准）缺少本</w:t>
      </w:r>
      <w:r>
        <w:rPr>
          <w:rFonts w:hint="eastAsia" w:ascii="Times New Roman" w:hAnsi="Times New Roman"/>
          <w:color w:val="000000"/>
          <w:szCs w:val="21"/>
          <w:lang w:val="en-US" w:eastAsia="zh-CN"/>
        </w:rPr>
        <w:t>细则</w:t>
      </w:r>
      <w:r>
        <w:rPr>
          <w:rFonts w:hint="eastAsia" w:ascii="Times New Roman" w:hAnsi="Times New Roman"/>
          <w:color w:val="000000"/>
          <w:szCs w:val="21"/>
        </w:rPr>
        <w:t>中检验项目依据的推荐性标准要求时，该项目不参与判定，但应在检验报告备注中进行说明。</w:t>
      </w:r>
    </w:p>
    <w:p>
      <w:pPr>
        <w:adjustRightInd w:val="0"/>
        <w:snapToGrid w:val="0"/>
        <w:spacing w:line="440" w:lineRule="exact"/>
        <w:ind w:firstLine="417" w:firstLineChars="199"/>
        <w:rPr>
          <w:rFonts w:hint="eastAsia" w:ascii="Times New Roman" w:hAnsi="Times New Roman"/>
          <w:color w:val="000000"/>
          <w:szCs w:val="21"/>
        </w:rPr>
      </w:pPr>
      <w:r>
        <w:rPr>
          <w:rFonts w:hint="eastAsia" w:ascii="Times New Roman" w:hAnsi="Times New Roman"/>
          <w:color w:val="000000"/>
          <w:szCs w:val="21"/>
        </w:rPr>
        <w:t>若被检产品明示产品标准错误或不适用时，仅检验纤维含量和强制性标准要求项目并判定。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73117"/>
    <w:multiLevelType w:val="multilevel"/>
    <w:tmpl w:val="6CE73117"/>
    <w:lvl w:ilvl="0" w:tentative="0">
      <w:start w:val="1"/>
      <w:numFmt w:val="decimal"/>
      <w:suff w:val="space"/>
      <w:lvlText w:val="%1 "/>
      <w:lvlJc w:val="left"/>
      <w:pPr>
        <w:ind w:left="0" w:firstLine="0"/>
      </w:pPr>
      <w:rPr>
        <w:rFonts w:hint="eastAsia" w:ascii="黑体" w:hAnsi="黑体" w:eastAsia="黑体"/>
        <w:sz w:val="21"/>
      </w:rPr>
    </w:lvl>
    <w:lvl w:ilvl="1" w:tentative="0">
      <w:start w:val="1"/>
      <w:numFmt w:val="decimal"/>
      <w:pStyle w:val="3"/>
      <w:suff w:val="space"/>
      <w:lvlText w:val="%1.%2 "/>
      <w:lvlJc w:val="left"/>
      <w:pPr>
        <w:ind w:left="0" w:firstLine="0"/>
      </w:pPr>
      <w:rPr>
        <w:rFonts w:hint="eastAsia" w:ascii="黑体" w:hAnsi="黑体" w:eastAsia="黑体"/>
      </w:rPr>
    </w:lvl>
    <w:lvl w:ilvl="2" w:tentative="0">
      <w:start w:val="1"/>
      <w:numFmt w:val="decimal"/>
      <w:suff w:val="space"/>
      <w:lvlText w:val="%1.%2.%3 "/>
      <w:lvlJc w:val="left"/>
      <w:pPr>
        <w:ind w:left="0" w:firstLine="0"/>
      </w:pPr>
      <w:rPr>
        <w:rFonts w:hint="eastAsia" w:ascii="黑体" w:hAnsi="黑体" w:eastAsia="黑体"/>
      </w:rPr>
    </w:lvl>
    <w:lvl w:ilvl="3" w:tentative="0">
      <w:start w:val="1"/>
      <w:numFmt w:val="decimal"/>
      <w:suff w:val="space"/>
      <w:lvlText w:val="%1.%2.%3.%4 "/>
      <w:lvlJc w:val="left"/>
      <w:pPr>
        <w:ind w:left="0" w:firstLine="0"/>
      </w:pPr>
      <w:rPr>
        <w:rFonts w:hint="eastAsia" w:ascii="黑体" w:hAnsi="黑体" w:eastAsia="黑体"/>
      </w:rPr>
    </w:lvl>
    <w:lvl w:ilvl="4" w:tentative="0">
      <w:start w:val="1"/>
      <w:numFmt w:val="decimal"/>
      <w:suff w:val="space"/>
      <w:lvlText w:val="%1.%2.%3.%4.%5 "/>
      <w:lvlJc w:val="left"/>
      <w:pPr>
        <w:ind w:left="0" w:firstLine="0"/>
      </w:pPr>
      <w:rPr>
        <w:rFonts w:hint="eastAsia" w:ascii="黑体" w:hAnsi="黑体" w:eastAsia="黑体"/>
      </w:rPr>
    </w:lvl>
    <w:lvl w:ilvl="5" w:tentative="0">
      <w:start w:val="1"/>
      <w:numFmt w:val="decimal"/>
      <w:suff w:val="space"/>
      <w:lvlText w:val="%1.%2.%3.%4.%5.%6 "/>
      <w:lvlJc w:val="left"/>
      <w:pPr>
        <w:ind w:left="0" w:firstLine="0"/>
      </w:pPr>
      <w:rPr>
        <w:rFonts w:hint="eastAsia" w:ascii="黑体" w:hAnsi="黑体" w:eastAsia="黑体"/>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006542"/>
    <w:rsid w:val="085952B6"/>
    <w:rsid w:val="0B6C0736"/>
    <w:rsid w:val="18C87B2D"/>
    <w:rsid w:val="24EB0E64"/>
    <w:rsid w:val="40AA3B5D"/>
    <w:rsid w:val="4D006542"/>
    <w:rsid w:val="56680CD2"/>
    <w:rsid w:val="5E280BA5"/>
    <w:rsid w:val="61400C5B"/>
    <w:rsid w:val="63165663"/>
    <w:rsid w:val="651E7925"/>
    <w:rsid w:val="72201E38"/>
    <w:rsid w:val="79C8340B"/>
    <w:rsid w:val="79FE448F"/>
    <w:rsid w:val="7E6E7F8D"/>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pPr>
      <w:ind w:left="107"/>
    </w:pPr>
    <w:rPr>
      <w:rFonts w:ascii="宋体" w:hAnsi="宋体" w:eastAsia="宋体"/>
      <w:sz w:val="21"/>
      <w:szCs w:val="21"/>
    </w:rPr>
  </w:style>
  <w:style w:type="paragraph" w:customStyle="1" w:styleId="3">
    <w:name w:val="一级条标题"/>
    <w:basedOn w:val="4"/>
    <w:next w:val="5"/>
    <w:qFormat/>
    <w:uiPriority w:val="0"/>
    <w:pPr>
      <w:numPr>
        <w:ilvl w:val="1"/>
        <w:numId w:val="1"/>
      </w:numPr>
      <w:tabs>
        <w:tab w:val="left" w:pos="810"/>
        <w:tab w:val="left" w:pos="1265"/>
      </w:tabs>
      <w:spacing w:before="156" w:beforeLines="50" w:after="156" w:afterLines="50"/>
      <w:outlineLvl w:val="2"/>
    </w:pPr>
    <w:rPr>
      <w:rFonts w:ascii="黑体" w:hAnsi="Times New Roman" w:eastAsia="黑体" w:cs="Times New Roman"/>
      <w:color w:val="000000"/>
      <w:sz w:val="21"/>
      <w:szCs w:val="21"/>
      <w:lang w:val="en-US" w:eastAsia="zh-CN" w:bidi="ar-SA"/>
    </w:rPr>
  </w:style>
  <w:style w:type="paragraph" w:customStyle="1" w:styleId="4">
    <w:name w:val="章标题"/>
    <w:next w:val="1"/>
    <w:qFormat/>
    <w:uiPriority w:val="99"/>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5">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6">
    <w:name w:val="Plain Text"/>
    <w:basedOn w:val="1"/>
    <w:qFormat/>
    <w:uiPriority w:val="0"/>
    <w:rPr>
      <w:rFonts w:ascii="宋体" w:hAnsi="Courier New" w:eastAsia="宋体" w:cs="Times New Roman"/>
      <w:szCs w:val="20"/>
    </w:rPr>
  </w:style>
  <w:style w:type="paragraph" w:customStyle="1" w:styleId="9">
    <w:name w:val="表格内"/>
    <w:basedOn w:val="1"/>
    <w:qFormat/>
    <w:uiPriority w:val="0"/>
    <w:pPr>
      <w:spacing w:line="240" w:lineRule="auto"/>
      <w:ind w:firstLine="0" w:firstLineChars="0"/>
      <w:jc w:val="center"/>
    </w:pPr>
    <w:rPr>
      <w:rFonts w:eastAsia="宋体" w:asciiTheme="minorAscii" w:hAnsiTheme="minorAscii"/>
      <w:sz w:val="24"/>
      <w:szCs w:val="22"/>
    </w:rPr>
  </w:style>
  <w:style w:type="paragraph" w:customStyle="1" w:styleId="10">
    <w:name w:val="图表标题"/>
    <w:basedOn w:val="1"/>
    <w:qFormat/>
    <w:uiPriority w:val="0"/>
    <w:pPr>
      <w:ind w:firstLine="0" w:firstLineChars="0"/>
      <w:jc w:val="center"/>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2021-08-13T09:21:00Z</dcterms:created>
  <dc:creator>高立红</dc:creator>
  <cp:lastModifiedBy>张健</cp:lastModifiedBy>
  <dcterms:modified xsi:type="dcterms:W3CDTF">2021-08-24T07:17:28Z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3E4991EFC8F94535965563E825AC93FD</vt:lpwstr>
  </property>
</Properties>
</file>