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重庆市铅笔产品质量监督抽查实施细则</w:t>
      </w:r>
    </w:p>
    <w:p>
      <w:pPr>
        <w:snapToGrid w:val="0"/>
        <w:jc w:val="center"/>
        <w:rPr>
          <w:rFonts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w:t>
      </w:r>
      <w:r>
        <w:rPr>
          <w:rFonts w:ascii="方正小标宋简体" w:hAnsi="宋体" w:eastAsia="方正小标宋简体" w:cs="方正仿宋简体"/>
          <w:color w:val="000000"/>
          <w:sz w:val="32"/>
          <w:szCs w:val="32"/>
        </w:rPr>
        <w:t>2021</w:t>
      </w:r>
      <w:r>
        <w:rPr>
          <w:rFonts w:hint="eastAsia" w:ascii="方正小标宋简体" w:hAnsi="宋体" w:eastAsia="方正小标宋简体" w:cs="方正仿宋简体"/>
          <w:color w:val="000000"/>
          <w:sz w:val="32"/>
          <w:szCs w:val="32"/>
        </w:rPr>
        <w:t>年第三季度流通领域）</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szCs w:val="21"/>
        </w:rPr>
      </w:pPr>
      <w:r>
        <w:rPr>
          <w:rFonts w:hint="eastAsia" w:ascii="宋体" w:hAnsi="宋体"/>
          <w:color w:val="000000"/>
          <w:szCs w:val="21"/>
        </w:rPr>
        <w:t>在</w:t>
      </w:r>
      <w:r>
        <w:rPr>
          <w:rFonts w:hint="eastAsia" w:ascii="宋体" w:hAnsi="宋体"/>
          <w:color w:val="000000"/>
          <w:szCs w:val="21"/>
          <w:lang w:eastAsia="zh-CN"/>
        </w:rPr>
        <w:t>销售者的</w:t>
      </w:r>
      <w:r>
        <w:rPr>
          <w:rFonts w:hint="eastAsia" w:ascii="宋体" w:hAnsi="宋体"/>
          <w:color w:val="000000"/>
          <w:szCs w:val="21"/>
        </w:rPr>
        <w:t>待销</w:t>
      </w:r>
      <w:bookmarkStart w:id="0" w:name="_GoBack"/>
      <w:bookmarkEnd w:id="0"/>
      <w:r>
        <w:rPr>
          <w:rFonts w:hint="eastAsia" w:ascii="宋体" w:hAnsi="宋体"/>
          <w:color w:val="000000"/>
          <w:szCs w:val="21"/>
        </w:rPr>
        <w:t>产品</w:t>
      </w:r>
      <w:r>
        <w:rPr>
          <w:rFonts w:hint="eastAsia" w:ascii="宋体" w:hAnsi="宋体"/>
          <w:szCs w:val="21"/>
        </w:rPr>
        <w:t>中随机抽取有产品质量检验合格证明或者以其他形式表明合格的、近期生产的产品。</w:t>
      </w:r>
      <w:r>
        <w:rPr>
          <w:rFonts w:ascii="宋体" w:hAnsi="宋体"/>
          <w:szCs w:val="21"/>
        </w:rPr>
        <w:t xml:space="preserve"> </w:t>
      </w:r>
    </w:p>
    <w:p>
      <w:pPr>
        <w:snapToGrid w:val="0"/>
        <w:spacing w:line="440" w:lineRule="exact"/>
        <w:ind w:firstLine="420" w:firstLineChars="200"/>
        <w:rPr>
          <w:rFonts w:asci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ascii="宋体"/>
          <w:szCs w:val="21"/>
        </w:rPr>
      </w:pPr>
      <w:r>
        <w:rPr>
          <w:rFonts w:hint="eastAsia" w:ascii="宋体" w:hAnsi="宋体"/>
          <w:szCs w:val="21"/>
        </w:rPr>
        <w:t>抽取同一生产者按照同一标准生产的同一商标、同一规格型号的石墨铅笔产品</w:t>
      </w:r>
      <w:r>
        <w:rPr>
          <w:rFonts w:ascii="宋体" w:hAnsi="宋体"/>
          <w:szCs w:val="21"/>
        </w:rPr>
        <w:t>60</w:t>
      </w:r>
      <w:r>
        <w:rPr>
          <w:rFonts w:hint="eastAsia" w:ascii="宋体" w:hAnsi="宋体"/>
          <w:szCs w:val="21"/>
        </w:rPr>
        <w:t>支，其中</w:t>
      </w:r>
      <w:r>
        <w:rPr>
          <w:rFonts w:ascii="宋体" w:hAnsi="宋体"/>
          <w:szCs w:val="21"/>
        </w:rPr>
        <w:t>40</w:t>
      </w:r>
      <w:r>
        <w:rPr>
          <w:rFonts w:hint="eastAsia" w:ascii="宋体" w:hAnsi="宋体"/>
          <w:szCs w:val="21"/>
        </w:rPr>
        <w:t>支作为检验样品，</w:t>
      </w:r>
      <w:r>
        <w:rPr>
          <w:rFonts w:ascii="宋体" w:hAnsi="宋体"/>
          <w:szCs w:val="21"/>
        </w:rPr>
        <w:t>20</w:t>
      </w:r>
      <w:r>
        <w:rPr>
          <w:rFonts w:hint="eastAsia" w:ascii="宋体" w:hAnsi="宋体"/>
          <w:szCs w:val="21"/>
        </w:rPr>
        <w:t>支作为备用样品。</w:t>
      </w:r>
    </w:p>
    <w:p>
      <w:pPr>
        <w:snapToGrid w:val="0"/>
        <w:spacing w:line="440" w:lineRule="exact"/>
        <w:ind w:firstLine="420" w:firstLineChars="200"/>
        <w:rPr>
          <w:rFonts w:ascii="宋体"/>
          <w:color w:val="000000"/>
          <w:szCs w:val="21"/>
        </w:rPr>
      </w:pPr>
      <w:r>
        <w:rPr>
          <w:rFonts w:hint="eastAsia" w:ascii="宋体" w:hAnsi="宋体"/>
          <w:szCs w:val="21"/>
        </w:rPr>
        <w:t>抽取同一生产者按照同一标准生产的同一商标、同一规格型号的彩色铅笔产品</w:t>
      </w:r>
      <w:r>
        <w:rPr>
          <w:rFonts w:ascii="宋体" w:hAnsi="宋体"/>
          <w:szCs w:val="21"/>
        </w:rPr>
        <w:t>8</w:t>
      </w:r>
      <w:r>
        <w:rPr>
          <w:rFonts w:hint="eastAsia" w:ascii="宋体" w:hAnsi="宋体"/>
          <w:szCs w:val="21"/>
        </w:rPr>
        <w:t>套，其中</w:t>
      </w:r>
      <w:r>
        <w:rPr>
          <w:rFonts w:ascii="宋体" w:hAnsi="宋体"/>
          <w:szCs w:val="21"/>
        </w:rPr>
        <w:t>4</w:t>
      </w:r>
      <w:r>
        <w:rPr>
          <w:rFonts w:hint="eastAsia" w:ascii="宋体" w:hAnsi="宋体"/>
          <w:szCs w:val="21"/>
        </w:rPr>
        <w:t>套作为检验样品，</w:t>
      </w:r>
      <w:r>
        <w:rPr>
          <w:rFonts w:ascii="宋体" w:hAnsi="宋体"/>
          <w:szCs w:val="21"/>
        </w:rPr>
        <w:t>4</w:t>
      </w:r>
      <w:r>
        <w:rPr>
          <w:rFonts w:hint="eastAsia" w:ascii="宋体" w:hAnsi="宋体"/>
          <w:szCs w:val="21"/>
        </w:rPr>
        <w:t>套作为备用样品。</w:t>
      </w:r>
      <w:r>
        <w:rPr>
          <w:rFonts w:hint="eastAsia" w:ascii="宋体"/>
          <w:color w:val="000000"/>
          <w:szCs w:val="21"/>
        </w:rPr>
        <w:t>抽取彩色铅笔时，应保证抽取的检验样和备用样中，均至少有</w:t>
      </w:r>
      <w:r>
        <w:rPr>
          <w:rFonts w:ascii="宋体"/>
          <w:color w:val="000000"/>
          <w:szCs w:val="21"/>
        </w:rPr>
        <w:t>3</w:t>
      </w:r>
      <w:r>
        <w:rPr>
          <w:rFonts w:hint="eastAsia" w:ascii="宋体"/>
          <w:color w:val="000000"/>
          <w:szCs w:val="21"/>
        </w:rPr>
        <w:t>支为同一颜色。</w:t>
      </w:r>
    </w:p>
    <w:p>
      <w:pPr>
        <w:snapToGrid w:val="0"/>
        <w:spacing w:line="440" w:lineRule="exact"/>
        <w:ind w:firstLine="420" w:firstLineChars="200"/>
        <w:rPr>
          <w:rFonts w:ascii="宋体"/>
          <w:color w:val="000000"/>
          <w:szCs w:val="21"/>
        </w:rPr>
      </w:pPr>
      <w:r>
        <w:rPr>
          <w:rFonts w:hint="eastAsia" w:ascii="宋体"/>
          <w:color w:val="000000"/>
          <w:szCs w:val="21"/>
        </w:rPr>
        <w:t>抽样时以最小独立包装为抽样单元，样品数满足上述抽样数量。</w:t>
      </w:r>
    </w:p>
    <w:p>
      <w:pPr>
        <w:snapToGrid w:val="0"/>
        <w:spacing w:line="440" w:lineRule="exact"/>
        <w:ind w:left="525" w:leftChars="200" w:hanging="105" w:hangingChars="50"/>
        <w:rPr>
          <w:rFonts w:ascii="宋体"/>
          <w:color w:val="000000"/>
          <w:szCs w:val="21"/>
        </w:rPr>
      </w:pPr>
      <w:r>
        <w:rPr>
          <w:rFonts w:hint="eastAsia" w:ascii="宋体" w:hAnsi="宋体"/>
          <w:color w:val="000000"/>
          <w:szCs w:val="21"/>
        </w:rPr>
        <w:t>随机抽样，随机数一般可使用随机数表、随机数骰子或扑克牌等方法产生。</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ind w:firstLine="210" w:firstLineChars="100"/>
        <w:rPr>
          <w:rFonts w:ascii="宋体"/>
          <w:color w:val="000000"/>
          <w:szCs w:val="21"/>
        </w:rPr>
      </w:pPr>
      <w:r>
        <w:rPr>
          <w:rFonts w:hint="eastAsia" w:ascii="宋体" w:hAnsi="宋体"/>
          <w:color w:val="000000"/>
          <w:szCs w:val="21"/>
        </w:rPr>
        <w:t>检验项目和检验方法见表</w:t>
      </w:r>
      <w:r>
        <w:rPr>
          <w:rFonts w:ascii="宋体" w:hAnsi="宋体"/>
          <w:color w:val="000000"/>
          <w:szCs w:val="21"/>
        </w:rPr>
        <w:t>2</w:t>
      </w:r>
      <w:r>
        <w:rPr>
          <w:rFonts w:hint="eastAsia" w:ascii="宋体" w:hAnsi="宋体"/>
          <w:color w:val="000000"/>
          <w:szCs w:val="21"/>
        </w:rPr>
        <w:t>。</w:t>
      </w:r>
    </w:p>
    <w:p>
      <w:pPr>
        <w:snapToGrid w:val="0"/>
        <w:spacing w:line="440" w:lineRule="exact"/>
        <w:jc w:val="center"/>
        <w:rPr>
          <w:rFonts w:ascii="宋体"/>
          <w:color w:val="000000"/>
          <w:szCs w:val="21"/>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rPr>
        <w:t>检验项目</w:t>
      </w:r>
    </w:p>
    <w:tbl>
      <w:tblPr>
        <w:tblStyle w:val="5"/>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413"/>
        <w:gridCol w:w="2116"/>
        <w:gridCol w:w="2397"/>
        <w:gridCol w:w="2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19" w:type="dxa"/>
            <w:vAlign w:val="center"/>
          </w:tcPr>
          <w:p>
            <w:pPr>
              <w:snapToGrid w:val="0"/>
              <w:jc w:val="center"/>
              <w:rPr>
                <w:rFonts w:ascii="宋体"/>
                <w:color w:val="000000"/>
                <w:szCs w:val="21"/>
              </w:rPr>
            </w:pPr>
            <w:r>
              <w:rPr>
                <w:rFonts w:hint="eastAsia" w:ascii="宋体" w:hAnsi="宋体"/>
                <w:color w:val="000000"/>
                <w:szCs w:val="21"/>
              </w:rPr>
              <w:t>序号</w:t>
            </w:r>
          </w:p>
        </w:tc>
        <w:tc>
          <w:tcPr>
            <w:tcW w:w="1413" w:type="dxa"/>
            <w:vAlign w:val="center"/>
          </w:tcPr>
          <w:p>
            <w:pPr>
              <w:snapToGrid w:val="0"/>
              <w:jc w:val="center"/>
              <w:rPr>
                <w:rFonts w:ascii="宋体"/>
                <w:color w:val="000000"/>
                <w:szCs w:val="21"/>
              </w:rPr>
            </w:pPr>
            <w:r>
              <w:rPr>
                <w:rFonts w:hint="eastAsia" w:ascii="宋体" w:hAnsi="宋体"/>
                <w:color w:val="000000"/>
                <w:szCs w:val="21"/>
              </w:rPr>
              <w:t>产品名称</w:t>
            </w:r>
          </w:p>
        </w:tc>
        <w:tc>
          <w:tcPr>
            <w:tcW w:w="2116" w:type="dxa"/>
            <w:vAlign w:val="center"/>
          </w:tcPr>
          <w:p>
            <w:pPr>
              <w:snapToGrid w:val="0"/>
              <w:jc w:val="center"/>
              <w:rPr>
                <w:rFonts w:ascii="宋体"/>
                <w:color w:val="000000"/>
                <w:szCs w:val="21"/>
              </w:rPr>
            </w:pPr>
            <w:r>
              <w:rPr>
                <w:rFonts w:hint="eastAsia" w:ascii="宋体" w:hAnsi="宋体"/>
                <w:color w:val="000000"/>
                <w:szCs w:val="21"/>
              </w:rPr>
              <w:t>检验项目</w:t>
            </w:r>
          </w:p>
        </w:tc>
        <w:tc>
          <w:tcPr>
            <w:tcW w:w="2397" w:type="dxa"/>
            <w:vAlign w:val="center"/>
          </w:tcPr>
          <w:p>
            <w:pPr>
              <w:snapToGrid w:val="0"/>
              <w:jc w:val="center"/>
              <w:rPr>
                <w:rFonts w:ascii="宋体"/>
                <w:color w:val="000000"/>
                <w:szCs w:val="21"/>
              </w:rPr>
            </w:pPr>
            <w:r>
              <w:rPr>
                <w:rFonts w:hint="eastAsia" w:ascii="宋体" w:hAnsi="宋体"/>
                <w:color w:val="000000"/>
                <w:szCs w:val="21"/>
              </w:rPr>
              <w:t>判定依据</w:t>
            </w:r>
          </w:p>
        </w:tc>
        <w:tc>
          <w:tcPr>
            <w:tcW w:w="2389"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1</w:t>
            </w:r>
          </w:p>
        </w:tc>
        <w:tc>
          <w:tcPr>
            <w:tcW w:w="1413" w:type="dxa"/>
            <w:vMerge w:val="restart"/>
            <w:vAlign w:val="center"/>
          </w:tcPr>
          <w:p>
            <w:pPr>
              <w:snapToGrid w:val="0"/>
              <w:jc w:val="center"/>
              <w:rPr>
                <w:rFonts w:ascii="宋体"/>
                <w:szCs w:val="21"/>
              </w:rPr>
            </w:pPr>
            <w:r>
              <w:rPr>
                <w:rFonts w:hint="eastAsia" w:ascii="宋体" w:hAnsi="宋体"/>
                <w:color w:val="000000"/>
                <w:szCs w:val="21"/>
              </w:rPr>
              <w:t>铅笔</w:t>
            </w:r>
          </w:p>
        </w:tc>
        <w:tc>
          <w:tcPr>
            <w:tcW w:w="2116" w:type="dxa"/>
            <w:vAlign w:val="center"/>
          </w:tcPr>
          <w:p>
            <w:pPr>
              <w:snapToGrid w:val="0"/>
              <w:jc w:val="center"/>
              <w:rPr>
                <w:rFonts w:ascii="宋体"/>
                <w:szCs w:val="21"/>
              </w:rPr>
            </w:pPr>
            <w:r>
              <w:rPr>
                <w:rFonts w:hint="eastAsia" w:ascii="宋体" w:hAnsi="宋体"/>
                <w:szCs w:val="21"/>
              </w:rPr>
              <w:t>硬度（</w:t>
            </w:r>
            <w:r>
              <w:rPr>
                <w:rFonts w:ascii="宋体" w:hAnsi="宋体"/>
                <w:szCs w:val="21"/>
              </w:rPr>
              <w:t>HK</w:t>
            </w:r>
            <w:r>
              <w:rPr>
                <w:rFonts w:hint="eastAsia" w:ascii="宋体" w:hAnsi="宋体"/>
                <w:szCs w:val="21"/>
              </w:rPr>
              <w:t>）</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2</w:t>
            </w:r>
          </w:p>
        </w:tc>
        <w:tc>
          <w:tcPr>
            <w:tcW w:w="1413" w:type="dxa"/>
            <w:vMerge w:val="continue"/>
            <w:vAlign w:val="center"/>
          </w:tcPr>
          <w:p>
            <w:pPr>
              <w:snapToGrid w:val="0"/>
              <w:jc w:val="center"/>
              <w:rPr>
                <w:rFonts w:ascii="宋体"/>
                <w:color w:val="000000"/>
                <w:szCs w:val="21"/>
              </w:rPr>
            </w:pPr>
          </w:p>
        </w:tc>
        <w:tc>
          <w:tcPr>
            <w:tcW w:w="2116" w:type="dxa"/>
            <w:vAlign w:val="center"/>
          </w:tcPr>
          <w:p>
            <w:pPr>
              <w:snapToGrid w:val="0"/>
              <w:jc w:val="center"/>
              <w:rPr>
                <w:rFonts w:ascii="宋体"/>
                <w:szCs w:val="21"/>
              </w:rPr>
            </w:pPr>
            <w:r>
              <w:rPr>
                <w:rFonts w:hint="eastAsia" w:ascii="宋体" w:hAnsi="宋体" w:cs="宋体"/>
                <w:kern w:val="0"/>
                <w:szCs w:val="21"/>
              </w:rPr>
              <w:t>芯尖受力</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3</w:t>
            </w:r>
          </w:p>
        </w:tc>
        <w:tc>
          <w:tcPr>
            <w:tcW w:w="1413" w:type="dxa"/>
            <w:vMerge w:val="continue"/>
            <w:vAlign w:val="center"/>
          </w:tcPr>
          <w:p>
            <w:pPr>
              <w:snapToGrid w:val="0"/>
              <w:jc w:val="center"/>
              <w:rPr>
                <w:rFonts w:ascii="宋体"/>
                <w:color w:val="000000"/>
                <w:szCs w:val="21"/>
              </w:rPr>
            </w:pPr>
          </w:p>
        </w:tc>
        <w:tc>
          <w:tcPr>
            <w:tcW w:w="2116" w:type="dxa"/>
            <w:vAlign w:val="center"/>
          </w:tcPr>
          <w:p>
            <w:pPr>
              <w:snapToGrid w:val="0"/>
              <w:jc w:val="center"/>
              <w:rPr>
                <w:rFonts w:ascii="宋体"/>
                <w:szCs w:val="21"/>
              </w:rPr>
            </w:pPr>
            <w:r>
              <w:rPr>
                <w:rFonts w:hint="eastAsia" w:ascii="宋体" w:hAnsi="宋体" w:cs="宋体"/>
                <w:kern w:val="0"/>
                <w:szCs w:val="21"/>
              </w:rPr>
              <w:t>浓度（吸光度）</w:t>
            </w:r>
            <w:r>
              <w:rPr>
                <w:rFonts w:hint="eastAsia" w:ascii="宋体" w:hAnsi="宋体" w:cs="FZFangSong-Z02"/>
                <w:kern w:val="0"/>
                <w:szCs w:val="21"/>
                <w:vertAlign w:val="superscript"/>
              </w:rPr>
              <w:t>①</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4</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磨耗</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19" w:type="dxa"/>
            <w:vAlign w:val="center"/>
          </w:tcPr>
          <w:p>
            <w:pPr>
              <w:snapToGrid w:val="0"/>
              <w:jc w:val="center"/>
              <w:rPr>
                <w:rFonts w:ascii="宋体"/>
                <w:color w:val="000000"/>
                <w:szCs w:val="21"/>
              </w:rPr>
            </w:pPr>
            <w:r>
              <w:rPr>
                <w:rFonts w:ascii="宋体" w:hAnsi="宋体"/>
                <w:color w:val="000000"/>
                <w:szCs w:val="21"/>
              </w:rPr>
              <w:t>5</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滑度（摩擦系数）</w:t>
            </w:r>
            <w:r>
              <w:rPr>
                <w:rFonts w:hint="eastAsia" w:ascii="宋体" w:hAnsi="宋体" w:cs="FZFangSong-Z02"/>
                <w:kern w:val="0"/>
                <w:szCs w:val="21"/>
                <w:vertAlign w:val="superscript"/>
              </w:rPr>
              <w:t>②</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6</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铅芯直径</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7</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笔杆直径</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8</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笔杆长度</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19" w:type="dxa"/>
            <w:vAlign w:val="center"/>
          </w:tcPr>
          <w:p>
            <w:pPr>
              <w:snapToGrid w:val="0"/>
              <w:jc w:val="center"/>
              <w:rPr>
                <w:rFonts w:ascii="宋体"/>
                <w:color w:val="000000"/>
                <w:szCs w:val="21"/>
              </w:rPr>
            </w:pPr>
            <w:r>
              <w:rPr>
                <w:rFonts w:ascii="宋体" w:hAnsi="宋体"/>
                <w:color w:val="000000"/>
                <w:szCs w:val="21"/>
              </w:rPr>
              <w:t>9</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滑芯</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10</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皮头拉力</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11</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偏心数</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9" w:type="dxa"/>
            <w:vAlign w:val="center"/>
          </w:tcPr>
          <w:p>
            <w:pPr>
              <w:snapToGrid w:val="0"/>
              <w:jc w:val="center"/>
              <w:rPr>
                <w:rFonts w:ascii="宋体"/>
                <w:color w:val="000000"/>
                <w:szCs w:val="21"/>
              </w:rPr>
            </w:pPr>
            <w:r>
              <w:rPr>
                <w:rFonts w:ascii="宋体" w:hAnsi="宋体"/>
                <w:color w:val="000000"/>
                <w:szCs w:val="21"/>
              </w:rPr>
              <w:t>12</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笔杆涂层</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19" w:type="dxa"/>
            <w:vAlign w:val="center"/>
          </w:tcPr>
          <w:p>
            <w:pPr>
              <w:snapToGrid w:val="0"/>
              <w:jc w:val="center"/>
              <w:rPr>
                <w:rFonts w:ascii="宋体"/>
                <w:color w:val="000000"/>
                <w:szCs w:val="21"/>
              </w:rPr>
            </w:pPr>
            <w:r>
              <w:rPr>
                <w:rFonts w:ascii="宋体" w:hAnsi="宋体"/>
                <w:color w:val="000000"/>
                <w:szCs w:val="21"/>
              </w:rPr>
              <w:t>13</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笔杆结合牢度</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19" w:type="dxa"/>
            <w:vAlign w:val="center"/>
          </w:tcPr>
          <w:p>
            <w:pPr>
              <w:snapToGrid w:val="0"/>
              <w:jc w:val="center"/>
              <w:rPr>
                <w:rFonts w:ascii="宋体" w:hAnsi="宋体"/>
                <w:color w:val="000000"/>
                <w:szCs w:val="21"/>
              </w:rPr>
            </w:pPr>
            <w:r>
              <w:rPr>
                <w:rFonts w:ascii="宋体" w:hAnsi="宋体"/>
                <w:color w:val="000000"/>
                <w:szCs w:val="21"/>
              </w:rPr>
              <w:t>14</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杆内断芯</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19" w:type="dxa"/>
            <w:vAlign w:val="center"/>
          </w:tcPr>
          <w:p>
            <w:pPr>
              <w:snapToGrid w:val="0"/>
              <w:jc w:val="center"/>
              <w:rPr>
                <w:rFonts w:ascii="宋体" w:hAnsi="宋体"/>
                <w:color w:val="000000"/>
                <w:szCs w:val="21"/>
              </w:rPr>
            </w:pPr>
            <w:r>
              <w:rPr>
                <w:rFonts w:ascii="宋体" w:hAnsi="宋体"/>
                <w:color w:val="000000"/>
                <w:szCs w:val="21"/>
              </w:rPr>
              <w:t>15</w:t>
            </w:r>
          </w:p>
        </w:tc>
        <w:tc>
          <w:tcPr>
            <w:tcW w:w="1413" w:type="dxa"/>
            <w:vMerge w:val="continue"/>
            <w:vAlign w:val="center"/>
          </w:tcPr>
          <w:p>
            <w:pPr>
              <w:snapToGrid w:val="0"/>
              <w:jc w:val="center"/>
              <w:rPr>
                <w:rFonts w:ascii="宋体"/>
                <w:color w:val="000000"/>
                <w:szCs w:val="21"/>
              </w:rPr>
            </w:pPr>
          </w:p>
        </w:tc>
        <w:tc>
          <w:tcPr>
            <w:tcW w:w="2116" w:type="dxa"/>
            <w:vAlign w:val="center"/>
          </w:tcPr>
          <w:p>
            <w:pPr>
              <w:widowControl/>
              <w:jc w:val="center"/>
              <w:textAlignment w:val="center"/>
              <w:rPr>
                <w:rFonts w:ascii="宋体"/>
                <w:szCs w:val="21"/>
              </w:rPr>
            </w:pPr>
            <w:r>
              <w:rPr>
                <w:rFonts w:hint="eastAsia" w:ascii="宋体" w:hAnsi="宋体" w:cs="FZFangSong-Z02"/>
                <w:kern w:val="0"/>
                <w:szCs w:val="21"/>
              </w:rPr>
              <w:t>外观</w:t>
            </w:r>
          </w:p>
        </w:tc>
        <w:tc>
          <w:tcPr>
            <w:tcW w:w="2397" w:type="dxa"/>
            <w:vAlign w:val="center"/>
          </w:tcPr>
          <w:p>
            <w:pPr>
              <w:snapToGrid w:val="0"/>
              <w:jc w:val="center"/>
              <w:rPr>
                <w:rFonts w:ascii="宋体"/>
                <w:color w:val="000000"/>
                <w:szCs w:val="21"/>
              </w:rPr>
            </w:pPr>
            <w:r>
              <w:rPr>
                <w:rFonts w:ascii="宋体" w:hAnsi="宋体"/>
                <w:szCs w:val="21"/>
              </w:rPr>
              <w:t>GB/T 26704-2011</w:t>
            </w:r>
          </w:p>
        </w:tc>
        <w:tc>
          <w:tcPr>
            <w:tcW w:w="2389"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9134" w:type="dxa"/>
            <w:gridSpan w:val="5"/>
            <w:vAlign w:val="center"/>
          </w:tcPr>
          <w:p>
            <w:pPr>
              <w:snapToGrid w:val="0"/>
              <w:rPr>
                <w:rFonts w:ascii="宋体"/>
                <w:szCs w:val="21"/>
              </w:rPr>
            </w:pPr>
            <w:r>
              <w:rPr>
                <w:rFonts w:hint="eastAsia" w:ascii="宋体" w:hAnsi="宋体"/>
                <w:szCs w:val="21"/>
              </w:rPr>
              <w:t>备注：①</w:t>
            </w:r>
            <w:r>
              <w:rPr>
                <w:rFonts w:hint="eastAsia" w:ascii="宋体" w:hAnsi="宋体" w:cs="宋体"/>
                <w:kern w:val="0"/>
                <w:szCs w:val="21"/>
              </w:rPr>
              <w:t>浓度（吸光度）项目不适用于彩色铅笔。</w:t>
            </w:r>
          </w:p>
          <w:p>
            <w:pPr>
              <w:snapToGrid w:val="0"/>
              <w:ind w:firstLine="630" w:firstLineChars="300"/>
              <w:rPr>
                <w:rFonts w:ascii="宋体"/>
                <w:szCs w:val="21"/>
              </w:rPr>
            </w:pPr>
            <w:r>
              <w:rPr>
                <w:rFonts w:hint="eastAsia" w:ascii="宋体" w:hAnsi="宋体"/>
                <w:szCs w:val="21"/>
              </w:rPr>
              <w:t>②</w:t>
            </w:r>
            <w:r>
              <w:rPr>
                <w:rFonts w:hint="eastAsia" w:ascii="宋体" w:hAnsi="宋体" w:cs="FZFangSong-Z02"/>
                <w:kern w:val="0"/>
                <w:szCs w:val="21"/>
              </w:rPr>
              <w:t>滑度（摩擦系数）</w:t>
            </w:r>
            <w:r>
              <w:rPr>
                <w:rFonts w:hint="eastAsia" w:ascii="宋体" w:hAnsi="宋体" w:cs="宋体"/>
                <w:kern w:val="0"/>
                <w:szCs w:val="21"/>
              </w:rPr>
              <w:t>项目不适用于彩色铅笔。</w:t>
            </w:r>
          </w:p>
        </w:tc>
      </w:tr>
    </w:tbl>
    <w:p>
      <w:pPr>
        <w:snapToGrid w:val="0"/>
        <w:spacing w:line="440" w:lineRule="exact"/>
        <w:ind w:firstLine="359" w:firstLineChars="171"/>
        <w:rPr>
          <w:rFonts w:ascii="宋体"/>
          <w:color w:val="000000"/>
          <w:szCs w:val="21"/>
        </w:rPr>
      </w:pPr>
      <w:r>
        <w:rPr>
          <w:rFonts w:hint="eastAsia" w:ascii="宋体" w:hAnsi="宋体"/>
          <w:color w:val="000000"/>
          <w:szCs w:val="21"/>
        </w:rPr>
        <w:t>凡是注日期的文件，其随后所有的修改单（不包括勘误的内容）或修订版不适用于本细则。</w:t>
      </w:r>
    </w:p>
    <w:p>
      <w:pPr>
        <w:spacing w:line="360" w:lineRule="auto"/>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ascii="宋体"/>
          <w:szCs w:val="21"/>
        </w:rPr>
      </w:pPr>
      <w:r>
        <w:rPr>
          <w:rFonts w:ascii="宋体" w:hAnsi="宋体"/>
          <w:szCs w:val="21"/>
        </w:rPr>
        <w:t xml:space="preserve">GB/T 26704-2011 </w:t>
      </w:r>
      <w:r>
        <w:rPr>
          <w:rFonts w:hint="eastAsia" w:ascii="宋体" w:hAnsi="宋体"/>
          <w:szCs w:val="21"/>
        </w:rPr>
        <w:t>铅笔</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ind w:firstLine="420" w:firstLineChars="200"/>
        <w:rPr>
          <w:rFonts w:asci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440" w:lineRule="exact"/>
        <w:rPr>
          <w:rFonts w:asci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Arial Unicode MS"/>
    <w:panose1 w:val="00000000000000000000"/>
    <w:charset w:val="86"/>
    <w:family w:val="auto"/>
    <w:pitch w:val="default"/>
    <w:sig w:usb0="00000000" w:usb1="00000000" w:usb2="00000010" w:usb3="00000000" w:csb0="00040000" w:csb1="00000000"/>
  </w:font>
  <w:font w:name="FZFangSong-Z02">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23E34"/>
    <w:rsid w:val="000628A2"/>
    <w:rsid w:val="0006436F"/>
    <w:rsid w:val="00070FD2"/>
    <w:rsid w:val="00081244"/>
    <w:rsid w:val="000B6B74"/>
    <w:rsid w:val="000C6857"/>
    <w:rsid w:val="000F47BD"/>
    <w:rsid w:val="00107ACA"/>
    <w:rsid w:val="00126693"/>
    <w:rsid w:val="00174E14"/>
    <w:rsid w:val="001934D5"/>
    <w:rsid w:val="001A2534"/>
    <w:rsid w:val="001A37FE"/>
    <w:rsid w:val="001A3A46"/>
    <w:rsid w:val="001B2CF5"/>
    <w:rsid w:val="001E7C65"/>
    <w:rsid w:val="001F6F63"/>
    <w:rsid w:val="00221F66"/>
    <w:rsid w:val="002257EB"/>
    <w:rsid w:val="00255279"/>
    <w:rsid w:val="00277D59"/>
    <w:rsid w:val="00292F7F"/>
    <w:rsid w:val="0029373D"/>
    <w:rsid w:val="002A10A5"/>
    <w:rsid w:val="002B2AC5"/>
    <w:rsid w:val="002C2FF5"/>
    <w:rsid w:val="002C4622"/>
    <w:rsid w:val="002C686A"/>
    <w:rsid w:val="002F1E74"/>
    <w:rsid w:val="002F2649"/>
    <w:rsid w:val="00306FB4"/>
    <w:rsid w:val="003808FF"/>
    <w:rsid w:val="003A0D20"/>
    <w:rsid w:val="003D7035"/>
    <w:rsid w:val="003F1D73"/>
    <w:rsid w:val="004263F7"/>
    <w:rsid w:val="00442BDA"/>
    <w:rsid w:val="0044688C"/>
    <w:rsid w:val="0046488C"/>
    <w:rsid w:val="00473779"/>
    <w:rsid w:val="00480F72"/>
    <w:rsid w:val="004C0921"/>
    <w:rsid w:val="004C13EF"/>
    <w:rsid w:val="004E1C1B"/>
    <w:rsid w:val="004F19DA"/>
    <w:rsid w:val="005251FB"/>
    <w:rsid w:val="00542A5C"/>
    <w:rsid w:val="00543F3E"/>
    <w:rsid w:val="00573E5B"/>
    <w:rsid w:val="00586434"/>
    <w:rsid w:val="00590C40"/>
    <w:rsid w:val="005C1884"/>
    <w:rsid w:val="005D255E"/>
    <w:rsid w:val="00601352"/>
    <w:rsid w:val="00603FBC"/>
    <w:rsid w:val="00605616"/>
    <w:rsid w:val="00614782"/>
    <w:rsid w:val="0062113A"/>
    <w:rsid w:val="00623104"/>
    <w:rsid w:val="006275FC"/>
    <w:rsid w:val="00627B00"/>
    <w:rsid w:val="006504FE"/>
    <w:rsid w:val="00651977"/>
    <w:rsid w:val="00654FF3"/>
    <w:rsid w:val="0066117E"/>
    <w:rsid w:val="006630C9"/>
    <w:rsid w:val="00685A65"/>
    <w:rsid w:val="00693A42"/>
    <w:rsid w:val="00697B55"/>
    <w:rsid w:val="006A6F11"/>
    <w:rsid w:val="006B2470"/>
    <w:rsid w:val="006D3C42"/>
    <w:rsid w:val="006E7112"/>
    <w:rsid w:val="006F4307"/>
    <w:rsid w:val="0073104B"/>
    <w:rsid w:val="0075385F"/>
    <w:rsid w:val="007652FF"/>
    <w:rsid w:val="007701F4"/>
    <w:rsid w:val="0077439B"/>
    <w:rsid w:val="00775A17"/>
    <w:rsid w:val="008128AB"/>
    <w:rsid w:val="00813A0F"/>
    <w:rsid w:val="00866839"/>
    <w:rsid w:val="00877881"/>
    <w:rsid w:val="00892FC8"/>
    <w:rsid w:val="008C5A2D"/>
    <w:rsid w:val="008C73D5"/>
    <w:rsid w:val="008D51F5"/>
    <w:rsid w:val="008E4521"/>
    <w:rsid w:val="008E6FAA"/>
    <w:rsid w:val="008F2924"/>
    <w:rsid w:val="00900990"/>
    <w:rsid w:val="00916257"/>
    <w:rsid w:val="009275CF"/>
    <w:rsid w:val="00981FCD"/>
    <w:rsid w:val="009A226A"/>
    <w:rsid w:val="009C59B7"/>
    <w:rsid w:val="009D3ACA"/>
    <w:rsid w:val="009F1E1F"/>
    <w:rsid w:val="00A10253"/>
    <w:rsid w:val="00A15C73"/>
    <w:rsid w:val="00A30649"/>
    <w:rsid w:val="00A44E57"/>
    <w:rsid w:val="00A67830"/>
    <w:rsid w:val="00A871CD"/>
    <w:rsid w:val="00A957C3"/>
    <w:rsid w:val="00A978D2"/>
    <w:rsid w:val="00AB60A1"/>
    <w:rsid w:val="00B01846"/>
    <w:rsid w:val="00B5532C"/>
    <w:rsid w:val="00B61E92"/>
    <w:rsid w:val="00B73DA8"/>
    <w:rsid w:val="00B808AF"/>
    <w:rsid w:val="00BC14F3"/>
    <w:rsid w:val="00BD2C35"/>
    <w:rsid w:val="00BD6C92"/>
    <w:rsid w:val="00C23C27"/>
    <w:rsid w:val="00C52001"/>
    <w:rsid w:val="00C84E33"/>
    <w:rsid w:val="00CA0160"/>
    <w:rsid w:val="00CD6665"/>
    <w:rsid w:val="00CE4995"/>
    <w:rsid w:val="00CF2703"/>
    <w:rsid w:val="00D2319E"/>
    <w:rsid w:val="00D375A7"/>
    <w:rsid w:val="00D664ED"/>
    <w:rsid w:val="00D83EFA"/>
    <w:rsid w:val="00DA64E2"/>
    <w:rsid w:val="00DC5CA0"/>
    <w:rsid w:val="00DD5955"/>
    <w:rsid w:val="00DF1B51"/>
    <w:rsid w:val="00E103D3"/>
    <w:rsid w:val="00E209E9"/>
    <w:rsid w:val="00E34CBE"/>
    <w:rsid w:val="00E60882"/>
    <w:rsid w:val="00E7753E"/>
    <w:rsid w:val="00EA0115"/>
    <w:rsid w:val="00EB1677"/>
    <w:rsid w:val="00ED6FEE"/>
    <w:rsid w:val="00EF5E2D"/>
    <w:rsid w:val="00EF7960"/>
    <w:rsid w:val="00F16F98"/>
    <w:rsid w:val="00F2646C"/>
    <w:rsid w:val="00F438D2"/>
    <w:rsid w:val="00F53C45"/>
    <w:rsid w:val="00F63259"/>
    <w:rsid w:val="00F762D5"/>
    <w:rsid w:val="00F87CD2"/>
    <w:rsid w:val="00FC0587"/>
    <w:rsid w:val="00FC2B71"/>
    <w:rsid w:val="00FD6F0E"/>
    <w:rsid w:val="30967C8D"/>
    <w:rsid w:val="3D335B20"/>
    <w:rsid w:val="58442D2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10"/>
    <w:semiHidden/>
    <w:qFormat/>
    <w:uiPriority w:val="99"/>
    <w:pPr>
      <w:shd w:val="clear" w:color="auto" w:fill="000080"/>
    </w:pPr>
  </w:style>
  <w:style w:type="paragraph" w:styleId="3">
    <w:name w:val="footer"/>
    <w:basedOn w:val="1"/>
    <w:link w:val="11"/>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styleId="9">
    <w:name w:val="Hyperlink"/>
    <w:qFormat/>
    <w:uiPriority w:val="99"/>
    <w:rPr>
      <w:rFonts w:cs="Times New Roman"/>
      <w:color w:val="3366CC"/>
      <w:u w:val="none"/>
    </w:rPr>
  </w:style>
  <w:style w:type="character" w:customStyle="1" w:styleId="10">
    <w:name w:val="文档结构图 字符"/>
    <w:link w:val="2"/>
    <w:semiHidden/>
    <w:qFormat/>
    <w:locked/>
    <w:uiPriority w:val="99"/>
    <w:rPr>
      <w:rFonts w:ascii="Times New Roman" w:hAnsi="Times New Roman" w:cs="Times New Roman"/>
      <w:sz w:val="2"/>
    </w:rPr>
  </w:style>
  <w:style w:type="character" w:customStyle="1" w:styleId="11">
    <w:name w:val="页脚 字符"/>
    <w:link w:val="3"/>
    <w:qFormat/>
    <w:locked/>
    <w:uiPriority w:val="99"/>
    <w:rPr>
      <w:rFonts w:cs="Times New Roman"/>
      <w:sz w:val="18"/>
      <w:szCs w:val="18"/>
    </w:rPr>
  </w:style>
  <w:style w:type="character" w:customStyle="1" w:styleId="12">
    <w:name w:val="页眉 字符"/>
    <w:link w:val="4"/>
    <w:qFormat/>
    <w:locked/>
    <w:uiPriority w:val="99"/>
    <w:rPr>
      <w:rFonts w:cs="Times New Roman"/>
      <w:sz w:val="18"/>
      <w:szCs w:val="18"/>
    </w:rPr>
  </w:style>
  <w:style w:type="character" w:customStyle="1" w:styleId="13">
    <w:name w:val="页脚 Char1"/>
    <w:semiHidden/>
    <w:qFormat/>
    <w:locked/>
    <w:uiPriority w:val="99"/>
    <w:rPr>
      <w:rFonts w:ascii="Times New Roman" w:hAnsi="Times New Roman" w:eastAsia="宋体" w:cs="Times New Roman"/>
      <w:sz w:val="18"/>
      <w:szCs w:val="18"/>
    </w:rPr>
  </w:style>
  <w:style w:type="character" w:customStyle="1" w:styleId="14">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225</Words>
  <Characters>1287</Characters>
  <Lines>10</Lines>
  <Paragraphs>3</Paragraphs>
  <TotalTime>0</TotalTime>
  <ScaleCrop>false</ScaleCrop>
  <LinksUpToDate>false</LinksUpToDate>
  <CharactersWithSpaces>1509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2021-09-07T07:07:00Z</dcterms:created>
  <dc:creator>pc</dc:creator>
  <cp:lastModifiedBy>Hatchi</cp:lastModifiedBy>
  <cp:lastPrinted>2021-01-28T07:02:00Z</cp:lastPrinted>
  <dcterms:modified xsi:type="dcterms:W3CDTF">2021-09-09T05:21:21Z</dcterms:modified>
  <dc:title>重庆市书写类产品质量监督抽查实施细则</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