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重庆市彩泥产品质量监督抽查实施细则</w:t>
      </w:r>
    </w:p>
    <w:p>
      <w:pPr>
        <w:snapToGrid w:val="0"/>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w:t>
      </w:r>
      <w:r>
        <w:rPr>
          <w:rFonts w:ascii="方正小标宋简体" w:hAnsi="仿宋" w:eastAsia="方正小标宋简体" w:cs="方正仿宋简体"/>
          <w:color w:val="000000"/>
          <w:sz w:val="32"/>
          <w:szCs w:val="32"/>
        </w:rPr>
        <w:t>2021</w:t>
      </w:r>
      <w:r>
        <w:rPr>
          <w:rFonts w:hint="eastAsia" w:ascii="方正小标宋简体" w:hAnsi="仿宋" w:eastAsia="方正小标宋简体" w:cs="方正仿宋简体"/>
          <w:color w:val="000000"/>
          <w:sz w:val="32"/>
          <w:szCs w:val="32"/>
        </w:rPr>
        <w:t>年第三季度流通领域）</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color w:val="000000"/>
          <w:szCs w:val="21"/>
        </w:rPr>
      </w:pPr>
      <w:r>
        <w:rPr>
          <w:rFonts w:hint="eastAsia" w:ascii="宋体" w:hAnsi="宋体"/>
          <w:color w:val="000000"/>
          <w:szCs w:val="21"/>
        </w:rPr>
        <w:t>在</w:t>
      </w:r>
      <w:r>
        <w:rPr>
          <w:rFonts w:hint="eastAsia" w:ascii="宋体" w:hAnsi="宋体"/>
          <w:color w:val="000000"/>
          <w:szCs w:val="21"/>
          <w:lang w:eastAsia="zh-CN"/>
        </w:rPr>
        <w:t>销售者的</w:t>
      </w:r>
      <w:r>
        <w:rPr>
          <w:rFonts w:hint="eastAsia" w:ascii="宋体" w:hAnsi="宋体"/>
          <w:color w:val="000000"/>
          <w:szCs w:val="21"/>
        </w:rPr>
        <w:t>待销产品中随机抽取有产品质量检验合格证明或者以其他形式表明合格的、近期生产的产品。</w:t>
      </w:r>
      <w:bookmarkStart w:id="0" w:name="_GoBack"/>
      <w:bookmarkEnd w:id="0"/>
    </w:p>
    <w:p>
      <w:pPr>
        <w:snapToGrid w:val="0"/>
        <w:spacing w:line="440" w:lineRule="exact"/>
        <w:ind w:firstLine="420" w:firstLineChars="200"/>
        <w:rPr>
          <w:rFonts w:asci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ascii="宋体"/>
          <w:color w:val="000000"/>
          <w:szCs w:val="21"/>
        </w:rPr>
      </w:pPr>
      <w:r>
        <w:rPr>
          <w:rFonts w:hint="eastAsia" w:ascii="宋体" w:hAnsi="宋体"/>
          <w:szCs w:val="21"/>
        </w:rPr>
        <w:t>抽取同一生产者按照同一标准生产的同一商标、同一规格型号的彩泥样品</w:t>
      </w:r>
      <w:r>
        <w:rPr>
          <w:rFonts w:ascii="宋体" w:hAnsi="宋体"/>
          <w:szCs w:val="21"/>
        </w:rPr>
        <w:t>2</w:t>
      </w:r>
      <w:r>
        <w:rPr>
          <w:rFonts w:hint="eastAsia" w:ascii="宋体" w:hAnsi="宋体"/>
          <w:szCs w:val="21"/>
        </w:rPr>
        <w:t>套（每</w:t>
      </w:r>
      <w:r>
        <w:rPr>
          <w:rFonts w:ascii="宋体" w:hAnsi="宋体"/>
          <w:szCs w:val="21"/>
        </w:rPr>
        <w:t>1</w:t>
      </w:r>
      <w:r>
        <w:rPr>
          <w:rFonts w:hint="eastAsia" w:ascii="宋体" w:hAnsi="宋体"/>
          <w:szCs w:val="21"/>
        </w:rPr>
        <w:t>套内至少包含</w:t>
      </w:r>
      <w:r>
        <w:rPr>
          <w:rFonts w:ascii="宋体" w:hAnsi="宋体"/>
          <w:szCs w:val="21"/>
        </w:rPr>
        <w:t>9</w:t>
      </w:r>
      <w:r>
        <w:rPr>
          <w:rFonts w:hint="eastAsia" w:ascii="宋体" w:hAnsi="宋体"/>
          <w:szCs w:val="21"/>
        </w:rPr>
        <w:t>个独立包装），其中</w:t>
      </w:r>
      <w:r>
        <w:rPr>
          <w:rFonts w:ascii="宋体" w:hAnsi="宋体"/>
          <w:szCs w:val="21"/>
        </w:rPr>
        <w:t>1</w:t>
      </w:r>
      <w:r>
        <w:rPr>
          <w:rFonts w:hint="eastAsia" w:ascii="宋体" w:hAnsi="宋体"/>
          <w:szCs w:val="21"/>
        </w:rPr>
        <w:t>套作为检验样品，</w:t>
      </w:r>
      <w:r>
        <w:rPr>
          <w:rFonts w:ascii="宋体" w:hAnsi="宋体"/>
          <w:szCs w:val="21"/>
        </w:rPr>
        <w:t>1</w:t>
      </w:r>
      <w:r>
        <w:rPr>
          <w:rFonts w:hint="eastAsia" w:ascii="宋体" w:hAnsi="宋体"/>
          <w:szCs w:val="21"/>
        </w:rPr>
        <w:t>套作为备用样品。</w:t>
      </w:r>
    </w:p>
    <w:p>
      <w:pPr>
        <w:snapToGrid w:val="0"/>
        <w:spacing w:line="440" w:lineRule="exact"/>
        <w:ind w:firstLine="420" w:firstLineChars="200"/>
        <w:rPr>
          <w:rFonts w:ascii="宋体"/>
          <w:color w:val="000000"/>
          <w:szCs w:val="21"/>
        </w:rPr>
      </w:pPr>
      <w:r>
        <w:rPr>
          <w:rFonts w:hint="eastAsia" w:ascii="宋体" w:hAnsi="宋体"/>
          <w:color w:val="000000"/>
          <w:szCs w:val="21"/>
        </w:rPr>
        <w:t>随机数一般可使用随机数表、随机数骰子或扑克牌等方法产生。</w:t>
      </w: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ind w:firstLine="105" w:firstLineChars="50"/>
        <w:rPr>
          <w:rFonts w:ascii="宋体"/>
          <w:color w:val="000000"/>
          <w:szCs w:val="21"/>
        </w:rPr>
      </w:pPr>
      <w:r>
        <w:rPr>
          <w:rFonts w:hint="eastAsia" w:ascii="宋体" w:hAnsi="宋体"/>
          <w:color w:val="000000"/>
          <w:szCs w:val="21"/>
        </w:rPr>
        <w:t>检验项目和试验方法见表</w:t>
      </w:r>
      <w:r>
        <w:rPr>
          <w:rFonts w:ascii="宋体" w:hAnsi="宋体"/>
          <w:color w:val="000000"/>
          <w:szCs w:val="21"/>
        </w:rPr>
        <w:t>1</w:t>
      </w:r>
      <w:r>
        <w:rPr>
          <w:rFonts w:hint="eastAsia" w:ascii="宋体" w:hAnsi="宋体"/>
          <w:color w:val="000000"/>
          <w:szCs w:val="21"/>
        </w:rPr>
        <w:t>。</w:t>
      </w:r>
    </w:p>
    <w:p>
      <w:pPr>
        <w:snapToGrid w:val="0"/>
        <w:spacing w:line="440" w:lineRule="exact"/>
        <w:jc w:val="center"/>
        <w:rPr>
          <w:rFonts w:ascii="宋体"/>
          <w:color w:val="000000"/>
          <w:szCs w:val="21"/>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rPr>
        <w:t>检验项目</w:t>
      </w:r>
    </w:p>
    <w:tbl>
      <w:tblPr>
        <w:tblStyle w:val="4"/>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93"/>
        <w:gridCol w:w="2835"/>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817" w:type="dxa"/>
          </w:tcPr>
          <w:p>
            <w:pPr>
              <w:snapToGrid w:val="0"/>
              <w:spacing w:line="440" w:lineRule="exact"/>
              <w:jc w:val="center"/>
              <w:rPr>
                <w:rFonts w:ascii="宋体"/>
                <w:color w:val="000000"/>
                <w:szCs w:val="21"/>
              </w:rPr>
            </w:pPr>
            <w:r>
              <w:rPr>
                <w:rFonts w:hint="eastAsia" w:ascii="宋体" w:hAnsi="宋体"/>
                <w:color w:val="000000"/>
                <w:szCs w:val="21"/>
              </w:rPr>
              <w:t>序号</w:t>
            </w:r>
          </w:p>
        </w:tc>
        <w:tc>
          <w:tcPr>
            <w:tcW w:w="2693" w:type="dxa"/>
          </w:tcPr>
          <w:p>
            <w:pPr>
              <w:snapToGrid w:val="0"/>
              <w:spacing w:line="440" w:lineRule="exact"/>
              <w:jc w:val="center"/>
              <w:rPr>
                <w:rFonts w:ascii="宋体"/>
                <w:color w:val="000000"/>
                <w:szCs w:val="21"/>
              </w:rPr>
            </w:pPr>
            <w:r>
              <w:rPr>
                <w:rFonts w:hint="eastAsia" w:ascii="宋体" w:hAnsi="宋体"/>
                <w:color w:val="000000"/>
                <w:szCs w:val="21"/>
              </w:rPr>
              <w:t>检验项目</w:t>
            </w:r>
          </w:p>
        </w:tc>
        <w:tc>
          <w:tcPr>
            <w:tcW w:w="2835" w:type="dxa"/>
          </w:tcPr>
          <w:p>
            <w:pPr>
              <w:snapToGrid w:val="0"/>
              <w:spacing w:line="440" w:lineRule="exact"/>
              <w:jc w:val="center"/>
              <w:rPr>
                <w:rFonts w:ascii="宋体"/>
                <w:color w:val="000000"/>
                <w:szCs w:val="21"/>
              </w:rPr>
            </w:pPr>
            <w:r>
              <w:rPr>
                <w:rFonts w:hint="eastAsia" w:ascii="宋体" w:hAnsi="宋体"/>
                <w:color w:val="000000"/>
                <w:szCs w:val="21"/>
              </w:rPr>
              <w:t>判定依据</w:t>
            </w:r>
          </w:p>
        </w:tc>
        <w:tc>
          <w:tcPr>
            <w:tcW w:w="2828" w:type="dxa"/>
          </w:tcPr>
          <w:p>
            <w:pPr>
              <w:snapToGrid w:val="0"/>
              <w:spacing w:line="440" w:lineRule="exact"/>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1</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汞</w:t>
            </w:r>
          </w:p>
        </w:tc>
        <w:tc>
          <w:tcPr>
            <w:tcW w:w="2835" w:type="dxa"/>
            <w:vAlign w:val="center"/>
          </w:tcPr>
          <w:p>
            <w:pPr>
              <w:snapToGrid w:val="0"/>
              <w:jc w:val="center"/>
              <w:rPr>
                <w:rFonts w:ascii="宋体" w:hAns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2</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铬</w:t>
            </w:r>
          </w:p>
        </w:tc>
        <w:tc>
          <w:tcPr>
            <w:tcW w:w="2835" w:type="dxa"/>
            <w:vAlign w:val="center"/>
          </w:tcPr>
          <w:p>
            <w:pPr>
              <w:snapToGrid w:val="0"/>
              <w:jc w:val="center"/>
              <w:rPr>
                <w:rFonts w:asci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3</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硒</w:t>
            </w:r>
          </w:p>
        </w:tc>
        <w:tc>
          <w:tcPr>
            <w:tcW w:w="2835" w:type="dxa"/>
            <w:vAlign w:val="center"/>
          </w:tcPr>
          <w:p>
            <w:pPr>
              <w:snapToGrid w:val="0"/>
              <w:jc w:val="center"/>
              <w:rPr>
                <w:rFonts w:asci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4</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砷</w:t>
            </w:r>
          </w:p>
        </w:tc>
        <w:tc>
          <w:tcPr>
            <w:tcW w:w="2835" w:type="dxa"/>
            <w:vAlign w:val="center"/>
          </w:tcPr>
          <w:p>
            <w:pPr>
              <w:snapToGrid w:val="0"/>
              <w:jc w:val="center"/>
              <w:rPr>
                <w:rFonts w:ascii="宋体" w:hAns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5</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钡</w:t>
            </w:r>
          </w:p>
        </w:tc>
        <w:tc>
          <w:tcPr>
            <w:tcW w:w="2835" w:type="dxa"/>
            <w:vAlign w:val="center"/>
          </w:tcPr>
          <w:p>
            <w:pPr>
              <w:snapToGrid w:val="0"/>
              <w:jc w:val="center"/>
              <w:rPr>
                <w:rFonts w:asci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6</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锑</w:t>
            </w:r>
          </w:p>
        </w:tc>
        <w:tc>
          <w:tcPr>
            <w:tcW w:w="2835" w:type="dxa"/>
            <w:vAlign w:val="center"/>
          </w:tcPr>
          <w:p>
            <w:pPr>
              <w:snapToGrid w:val="0"/>
              <w:jc w:val="center"/>
              <w:rPr>
                <w:rFonts w:asci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color w:val="000000"/>
                <w:szCs w:val="21"/>
              </w:rPr>
              <w:t>7</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游离甲醛限量</w:t>
            </w:r>
          </w:p>
        </w:tc>
        <w:tc>
          <w:tcPr>
            <w:tcW w:w="2835" w:type="dxa"/>
            <w:vAlign w:val="center"/>
          </w:tcPr>
          <w:p>
            <w:pPr>
              <w:snapToGrid w:val="0"/>
              <w:jc w:val="center"/>
              <w:rPr>
                <w:rFonts w:ascii="宋体" w:hAns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color w:val="000000"/>
                <w:szCs w:val="21"/>
              </w:rPr>
              <w:t>GB/T 2912.1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color w:val="000000"/>
                <w:szCs w:val="21"/>
              </w:rPr>
              <w:t>8</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外观</w:t>
            </w:r>
          </w:p>
        </w:tc>
        <w:tc>
          <w:tcPr>
            <w:tcW w:w="2835" w:type="dxa"/>
            <w:vAlign w:val="center"/>
          </w:tcPr>
          <w:p>
            <w:pPr>
              <w:snapToGrid w:val="0"/>
              <w:jc w:val="center"/>
              <w:rPr>
                <w:rFonts w:asci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QB/T 2960-2008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color w:val="000000"/>
                <w:szCs w:val="21"/>
              </w:rPr>
              <w:t>9</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开裂性</w:t>
            </w:r>
          </w:p>
        </w:tc>
        <w:tc>
          <w:tcPr>
            <w:tcW w:w="2835" w:type="dxa"/>
            <w:vAlign w:val="center"/>
          </w:tcPr>
          <w:p>
            <w:pPr>
              <w:snapToGrid w:val="0"/>
              <w:jc w:val="center"/>
              <w:rPr>
                <w:rFonts w:asci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QB/T 2960-2008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color w:val="000000"/>
                <w:szCs w:val="21"/>
              </w:rPr>
              <w:t>10</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可塑性</w:t>
            </w:r>
          </w:p>
        </w:tc>
        <w:tc>
          <w:tcPr>
            <w:tcW w:w="2835" w:type="dxa"/>
            <w:vAlign w:val="center"/>
          </w:tcPr>
          <w:p>
            <w:pPr>
              <w:snapToGrid w:val="0"/>
              <w:jc w:val="center"/>
              <w:rPr>
                <w:rFonts w:ascii="宋体" w:hAnsi="宋体"/>
                <w:color w:val="000000"/>
                <w:szCs w:val="21"/>
              </w:rPr>
            </w:pPr>
            <w:r>
              <w:rPr>
                <w:rFonts w:ascii="宋体" w:hAnsi="宋体"/>
                <w:color w:val="000000"/>
                <w:szCs w:val="21"/>
              </w:rPr>
              <w:t>QB/T 2960-2008</w:t>
            </w:r>
          </w:p>
        </w:tc>
        <w:tc>
          <w:tcPr>
            <w:tcW w:w="2828" w:type="dxa"/>
            <w:vAlign w:val="center"/>
          </w:tcPr>
          <w:p>
            <w:pPr>
              <w:snapToGrid w:val="0"/>
              <w:jc w:val="center"/>
              <w:rPr>
                <w:rFonts w:ascii="宋体" w:hAnsi="宋体"/>
                <w:color w:val="000000"/>
                <w:szCs w:val="21"/>
              </w:rPr>
            </w:pPr>
            <w:r>
              <w:rPr>
                <w:rFonts w:ascii="宋体" w:hAnsi="宋体"/>
                <w:color w:val="000000"/>
                <w:szCs w:val="21"/>
              </w:rPr>
              <w:t>QB/T 2960-2008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color w:val="000000"/>
                <w:szCs w:val="21"/>
              </w:rPr>
              <w:t>11</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密度（天平法）</w:t>
            </w:r>
          </w:p>
        </w:tc>
        <w:tc>
          <w:tcPr>
            <w:tcW w:w="2835" w:type="dxa"/>
            <w:vAlign w:val="center"/>
          </w:tcPr>
          <w:p>
            <w:pPr>
              <w:snapToGrid w:val="0"/>
              <w:jc w:val="center"/>
              <w:rPr>
                <w:rFonts w:asci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GB/T 4472-1984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color w:val="000000"/>
                <w:szCs w:val="21"/>
              </w:rPr>
              <w:t>12</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耐温性</w:t>
            </w:r>
          </w:p>
        </w:tc>
        <w:tc>
          <w:tcPr>
            <w:tcW w:w="2835" w:type="dxa"/>
            <w:vAlign w:val="center"/>
          </w:tcPr>
          <w:p>
            <w:pPr>
              <w:snapToGrid w:val="0"/>
              <w:jc w:val="center"/>
              <w:rPr>
                <w:rFonts w:asci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QB/T 2960-2008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color w:val="000000"/>
                <w:szCs w:val="21"/>
              </w:rPr>
              <w:t>13</w:t>
            </w:r>
          </w:p>
        </w:tc>
        <w:tc>
          <w:tcPr>
            <w:tcW w:w="2693" w:type="dxa"/>
            <w:vAlign w:val="center"/>
          </w:tcPr>
          <w:p>
            <w:pPr>
              <w:widowControl/>
              <w:jc w:val="center"/>
              <w:textAlignment w:val="center"/>
              <w:rPr>
                <w:rFonts w:ascii="宋体"/>
                <w:szCs w:val="21"/>
              </w:rPr>
            </w:pPr>
            <w:r>
              <w:rPr>
                <w:rFonts w:hint="eastAsia" w:ascii="宋体" w:hAnsi="宋体" w:cs="FZFangSong-Z02"/>
                <w:kern w:val="0"/>
                <w:szCs w:val="21"/>
              </w:rPr>
              <w:t>耐寒性</w:t>
            </w:r>
          </w:p>
        </w:tc>
        <w:tc>
          <w:tcPr>
            <w:tcW w:w="2835" w:type="dxa"/>
            <w:vAlign w:val="center"/>
          </w:tcPr>
          <w:p>
            <w:pPr>
              <w:snapToGrid w:val="0"/>
              <w:jc w:val="center"/>
              <w:rPr>
                <w:rFonts w:ascii="宋体" w:hAnsi="宋体"/>
                <w:color w:val="000000"/>
                <w:szCs w:val="21"/>
              </w:rPr>
            </w:pPr>
            <w:r>
              <w:rPr>
                <w:rFonts w:ascii="宋体" w:hAnsi="宋体"/>
                <w:color w:val="000000"/>
                <w:szCs w:val="21"/>
              </w:rPr>
              <w:t>QB/T 2960-2008</w:t>
            </w:r>
          </w:p>
        </w:tc>
        <w:tc>
          <w:tcPr>
            <w:tcW w:w="2828" w:type="dxa"/>
            <w:vAlign w:val="center"/>
          </w:tcPr>
          <w:p>
            <w:pPr>
              <w:snapToGrid w:val="0"/>
              <w:jc w:val="center"/>
              <w:rPr>
                <w:rFonts w:ascii="宋体" w:hAnsi="宋体"/>
                <w:color w:val="000000"/>
                <w:szCs w:val="21"/>
              </w:rPr>
            </w:pPr>
            <w:r>
              <w:rPr>
                <w:rFonts w:ascii="宋体" w:hAnsi="宋体"/>
                <w:color w:val="000000"/>
                <w:szCs w:val="21"/>
              </w:rPr>
              <w:t>QB/T 2960-2008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szCs w:val="21"/>
              </w:rPr>
            </w:pPr>
            <w:r>
              <w:rPr>
                <w:rFonts w:ascii="宋体" w:hAnsi="宋体"/>
                <w:color w:val="000000"/>
                <w:szCs w:val="21"/>
              </w:rPr>
              <w:t>14</w:t>
            </w:r>
          </w:p>
        </w:tc>
        <w:tc>
          <w:tcPr>
            <w:tcW w:w="2693" w:type="dxa"/>
            <w:vAlign w:val="center"/>
          </w:tcPr>
          <w:p>
            <w:pPr>
              <w:widowControl/>
              <w:jc w:val="center"/>
              <w:textAlignment w:val="center"/>
              <w:rPr>
                <w:rFonts w:ascii="宋体" w:cs="FZFangSong-Z02"/>
                <w:kern w:val="0"/>
                <w:szCs w:val="21"/>
              </w:rPr>
            </w:pPr>
            <w:r>
              <w:rPr>
                <w:rFonts w:hint="eastAsia" w:ascii="宋体" w:hAnsi="宋体" w:cs="FZFangSong-Z02"/>
                <w:kern w:val="0"/>
                <w:szCs w:val="21"/>
              </w:rPr>
              <w:t>包装密封性（</w:t>
            </w:r>
            <w:r>
              <w:rPr>
                <w:rStyle w:val="12"/>
                <w:rFonts w:ascii="宋体" w:hAnsi="宋体" w:cs="FZFangSong-Z02"/>
                <w:color w:val="auto"/>
                <w:szCs w:val="21"/>
              </w:rPr>
              <w:t>50</w:t>
            </w:r>
            <w:r>
              <w:rPr>
                <w:rStyle w:val="12"/>
                <w:rFonts w:hint="eastAsia" w:ascii="宋体" w:hAnsi="宋体" w:cs="FZFangSong-Z02"/>
                <w:color w:val="auto"/>
                <w:szCs w:val="21"/>
              </w:rPr>
              <w:t>℃，</w:t>
            </w:r>
            <w:r>
              <w:rPr>
                <w:rStyle w:val="12"/>
                <w:rFonts w:ascii="宋体" w:hAnsi="宋体" w:cs="FZFangSong-Z02"/>
                <w:color w:val="auto"/>
                <w:szCs w:val="21"/>
              </w:rPr>
              <w:t>20h</w:t>
            </w:r>
            <w:r>
              <w:rPr>
                <w:rStyle w:val="12"/>
                <w:rFonts w:hint="eastAsia" w:ascii="宋体" w:hAnsi="宋体" w:cs="FZFangSong-Z02"/>
                <w:color w:val="auto"/>
                <w:szCs w:val="21"/>
              </w:rPr>
              <w:t>）</w:t>
            </w:r>
          </w:p>
        </w:tc>
        <w:tc>
          <w:tcPr>
            <w:tcW w:w="2835" w:type="dxa"/>
            <w:vAlign w:val="center"/>
          </w:tcPr>
          <w:p>
            <w:pPr>
              <w:snapToGrid w:val="0"/>
              <w:jc w:val="center"/>
              <w:rPr>
                <w:rFonts w:ascii="宋体"/>
                <w:color w:val="000000"/>
                <w:szCs w:val="21"/>
              </w:rPr>
            </w:pPr>
            <w:r>
              <w:rPr>
                <w:rFonts w:ascii="宋体" w:hAnsi="宋体"/>
                <w:color w:val="000000"/>
                <w:szCs w:val="21"/>
              </w:rPr>
              <w:t>QB/T 2960-2008</w:t>
            </w:r>
          </w:p>
        </w:tc>
        <w:tc>
          <w:tcPr>
            <w:tcW w:w="2828" w:type="dxa"/>
            <w:vAlign w:val="center"/>
          </w:tcPr>
          <w:p>
            <w:pPr>
              <w:snapToGrid w:val="0"/>
              <w:jc w:val="center"/>
              <w:rPr>
                <w:rFonts w:ascii="宋体"/>
                <w:color w:val="000000"/>
                <w:szCs w:val="21"/>
              </w:rPr>
            </w:pPr>
            <w:r>
              <w:rPr>
                <w:rFonts w:ascii="宋体" w:hAnsi="宋体"/>
                <w:color w:val="000000"/>
                <w:szCs w:val="21"/>
              </w:rPr>
              <w:t>QB/T 2960-2008</w:t>
            </w:r>
          </w:p>
        </w:tc>
      </w:tr>
    </w:tbl>
    <w:p>
      <w:pPr>
        <w:snapToGrid w:val="0"/>
        <w:spacing w:line="440" w:lineRule="exact"/>
        <w:ind w:firstLine="359" w:firstLineChars="171"/>
        <w:rPr>
          <w:rFonts w:asci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ascii="宋体"/>
          <w:color w:val="000000"/>
          <w:szCs w:val="21"/>
        </w:rPr>
      </w:pPr>
      <w:r>
        <w:rPr>
          <w:rFonts w:ascii="宋体" w:hAnsi="宋体"/>
          <w:color w:val="000000"/>
          <w:szCs w:val="21"/>
        </w:rPr>
        <w:t xml:space="preserve">QB/T 2960-2008  </w:t>
      </w:r>
      <w:r>
        <w:rPr>
          <w:rFonts w:hint="eastAsia" w:ascii="宋体" w:hAnsi="宋体"/>
          <w:color w:val="000000"/>
          <w:szCs w:val="21"/>
        </w:rPr>
        <w:t>彩泥</w:t>
      </w:r>
    </w:p>
    <w:p>
      <w:pPr>
        <w:snapToGrid w:val="0"/>
        <w:spacing w:line="440" w:lineRule="exact"/>
        <w:ind w:firstLine="420" w:firstLineChars="200"/>
        <w:rPr>
          <w:rFonts w:ascii="宋体"/>
          <w:color w:val="000000"/>
          <w:szCs w:val="21"/>
        </w:rPr>
      </w:pPr>
      <w:r>
        <w:rPr>
          <w:rFonts w:ascii="宋体" w:hAnsi="宋体"/>
          <w:color w:val="000000"/>
          <w:szCs w:val="21"/>
        </w:rPr>
        <w:t xml:space="preserve">GB/T 2912.1  </w:t>
      </w:r>
      <w:r>
        <w:rPr>
          <w:rFonts w:hint="eastAsia" w:ascii="宋体" w:hAnsi="宋体"/>
          <w:color w:val="000000"/>
          <w:szCs w:val="21"/>
        </w:rPr>
        <w:t>纺织品</w:t>
      </w:r>
      <w:r>
        <w:rPr>
          <w:rFonts w:ascii="宋体" w:hAnsi="宋体"/>
          <w:color w:val="000000"/>
          <w:szCs w:val="21"/>
        </w:rPr>
        <w:t xml:space="preserve">  </w:t>
      </w:r>
      <w:r>
        <w:rPr>
          <w:rFonts w:hint="eastAsia" w:ascii="宋体" w:hAnsi="宋体"/>
          <w:color w:val="000000"/>
          <w:szCs w:val="21"/>
        </w:rPr>
        <w:t>甲醛的测定</w:t>
      </w:r>
      <w:r>
        <w:rPr>
          <w:rFonts w:ascii="宋体" w:hAnsi="宋体"/>
          <w:color w:val="000000"/>
          <w:szCs w:val="21"/>
        </w:rPr>
        <w:t xml:space="preserve">  </w:t>
      </w:r>
      <w:r>
        <w:rPr>
          <w:rFonts w:hint="eastAsia" w:ascii="宋体" w:hAnsi="宋体"/>
          <w:color w:val="000000"/>
          <w:szCs w:val="21"/>
        </w:rPr>
        <w:t>第</w:t>
      </w:r>
      <w:r>
        <w:rPr>
          <w:rFonts w:ascii="宋体" w:hAnsi="宋体"/>
          <w:color w:val="000000"/>
          <w:szCs w:val="21"/>
        </w:rPr>
        <w:t>1</w:t>
      </w:r>
      <w:r>
        <w:rPr>
          <w:rFonts w:hint="eastAsia" w:ascii="宋体" w:hAnsi="宋体"/>
          <w:color w:val="000000"/>
          <w:szCs w:val="21"/>
        </w:rPr>
        <w:t>部分游离水解的甲醛（水萃取法）</w:t>
      </w:r>
    </w:p>
    <w:p>
      <w:pPr>
        <w:snapToGrid w:val="0"/>
        <w:spacing w:line="440" w:lineRule="exact"/>
        <w:ind w:firstLine="420" w:firstLineChars="200"/>
        <w:rPr>
          <w:rFonts w:ascii="宋体"/>
          <w:color w:val="000000"/>
          <w:szCs w:val="21"/>
        </w:rPr>
      </w:pPr>
      <w:r>
        <w:rPr>
          <w:rFonts w:ascii="宋体" w:hAnsi="宋体"/>
          <w:color w:val="000000"/>
          <w:szCs w:val="21"/>
        </w:rPr>
        <w:t xml:space="preserve">GB 6675-2003  </w:t>
      </w:r>
      <w:r>
        <w:rPr>
          <w:rFonts w:hint="eastAsia" w:ascii="宋体" w:hAnsi="宋体"/>
          <w:color w:val="000000"/>
          <w:szCs w:val="21"/>
        </w:rPr>
        <w:t>国家玩具安全技术规范</w:t>
      </w:r>
    </w:p>
    <w:p>
      <w:pPr>
        <w:snapToGrid w:val="0"/>
        <w:spacing w:line="440" w:lineRule="exact"/>
        <w:ind w:firstLine="420" w:firstLineChars="200"/>
        <w:rPr>
          <w:rFonts w:ascii="宋体"/>
          <w:color w:val="000000"/>
          <w:szCs w:val="21"/>
        </w:rPr>
      </w:pPr>
      <w:r>
        <w:rPr>
          <w:rFonts w:ascii="宋体" w:hAnsi="宋体"/>
          <w:color w:val="000000"/>
          <w:szCs w:val="21"/>
        </w:rPr>
        <w:t xml:space="preserve">GB/T 4472-1984  </w:t>
      </w:r>
      <w:r>
        <w:rPr>
          <w:rFonts w:hint="eastAsia" w:ascii="宋体" w:hAnsi="宋体"/>
          <w:color w:val="000000"/>
          <w:szCs w:val="21"/>
        </w:rPr>
        <w:t>化工产品密度、相对密度测定通则</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ind w:firstLine="420" w:firstLineChars="200"/>
        <w:rPr>
          <w:rFonts w:ascii="宋体"/>
          <w:color w:val="000000"/>
          <w:szCs w:val="21"/>
        </w:rPr>
      </w:pPr>
      <w:r>
        <w:rPr>
          <w:rFonts w:hint="eastAsia" w:ascii="宋体" w:hAnsi="宋体"/>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440" w:lineRule="exact"/>
        <w:rPr>
          <w:rFonts w:ascii="宋体"/>
          <w:color w:val="FF0000"/>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宋体"/>
    <w:panose1 w:val="00000000000000000000"/>
    <w:charset w:val="86"/>
    <w:family w:val="script"/>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1C1B"/>
    <w:rsid w:val="0000529E"/>
    <w:rsid w:val="00031BB0"/>
    <w:rsid w:val="000377C0"/>
    <w:rsid w:val="000541A0"/>
    <w:rsid w:val="000F47BD"/>
    <w:rsid w:val="00126693"/>
    <w:rsid w:val="00142E22"/>
    <w:rsid w:val="00152B3D"/>
    <w:rsid w:val="00166952"/>
    <w:rsid w:val="002301F5"/>
    <w:rsid w:val="00277D59"/>
    <w:rsid w:val="00292F7F"/>
    <w:rsid w:val="00297D8B"/>
    <w:rsid w:val="002A2375"/>
    <w:rsid w:val="002A7484"/>
    <w:rsid w:val="002D75A5"/>
    <w:rsid w:val="00306638"/>
    <w:rsid w:val="00355499"/>
    <w:rsid w:val="00356216"/>
    <w:rsid w:val="00363FA2"/>
    <w:rsid w:val="00373C0E"/>
    <w:rsid w:val="003808FF"/>
    <w:rsid w:val="00381632"/>
    <w:rsid w:val="003B00BD"/>
    <w:rsid w:val="003C3C96"/>
    <w:rsid w:val="003D5220"/>
    <w:rsid w:val="00426D67"/>
    <w:rsid w:val="00472423"/>
    <w:rsid w:val="004E1C1B"/>
    <w:rsid w:val="00527921"/>
    <w:rsid w:val="00550026"/>
    <w:rsid w:val="005521CF"/>
    <w:rsid w:val="00553689"/>
    <w:rsid w:val="005924AF"/>
    <w:rsid w:val="00605616"/>
    <w:rsid w:val="00623104"/>
    <w:rsid w:val="006555E2"/>
    <w:rsid w:val="006754A2"/>
    <w:rsid w:val="006A3E09"/>
    <w:rsid w:val="006E1666"/>
    <w:rsid w:val="006E7112"/>
    <w:rsid w:val="00813A0F"/>
    <w:rsid w:val="008248C0"/>
    <w:rsid w:val="008D31BB"/>
    <w:rsid w:val="008E6FAA"/>
    <w:rsid w:val="00921FC5"/>
    <w:rsid w:val="00957CAD"/>
    <w:rsid w:val="009647D9"/>
    <w:rsid w:val="009857F2"/>
    <w:rsid w:val="009A5A67"/>
    <w:rsid w:val="00A107AB"/>
    <w:rsid w:val="00A15151"/>
    <w:rsid w:val="00A26D28"/>
    <w:rsid w:val="00A53E0F"/>
    <w:rsid w:val="00A81025"/>
    <w:rsid w:val="00A871CD"/>
    <w:rsid w:val="00A9131F"/>
    <w:rsid w:val="00A957C3"/>
    <w:rsid w:val="00AB630C"/>
    <w:rsid w:val="00AE59C3"/>
    <w:rsid w:val="00B20884"/>
    <w:rsid w:val="00B61E92"/>
    <w:rsid w:val="00B71E3E"/>
    <w:rsid w:val="00B87332"/>
    <w:rsid w:val="00B9264F"/>
    <w:rsid w:val="00BC45CD"/>
    <w:rsid w:val="00BD5499"/>
    <w:rsid w:val="00BF582D"/>
    <w:rsid w:val="00C10CB2"/>
    <w:rsid w:val="00C31FD2"/>
    <w:rsid w:val="00C60437"/>
    <w:rsid w:val="00C749A4"/>
    <w:rsid w:val="00CA0160"/>
    <w:rsid w:val="00CD5FD8"/>
    <w:rsid w:val="00D2319E"/>
    <w:rsid w:val="00D7729F"/>
    <w:rsid w:val="00D92A45"/>
    <w:rsid w:val="00DA4A93"/>
    <w:rsid w:val="00DB286A"/>
    <w:rsid w:val="00DC7D4B"/>
    <w:rsid w:val="00DD5955"/>
    <w:rsid w:val="00E33106"/>
    <w:rsid w:val="00E6706F"/>
    <w:rsid w:val="00EB1677"/>
    <w:rsid w:val="00ED3D16"/>
    <w:rsid w:val="00ED77DF"/>
    <w:rsid w:val="00EE756E"/>
    <w:rsid w:val="00EF5E2D"/>
    <w:rsid w:val="00F27040"/>
    <w:rsid w:val="00F53932"/>
    <w:rsid w:val="00F762D5"/>
    <w:rsid w:val="00FD1763"/>
    <w:rsid w:val="00FD601C"/>
    <w:rsid w:val="158863EC"/>
    <w:rsid w:val="4ACF06F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5">
    <w:name w:val="Table Grid"/>
    <w:basedOn w:val="4"/>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
    <w:name w:val="page number"/>
    <w:qFormat/>
    <w:uiPriority w:val="99"/>
    <w:rPr>
      <w:rFonts w:cs="Times New Roman"/>
    </w:rPr>
  </w:style>
  <w:style w:type="character" w:customStyle="1" w:styleId="8">
    <w:name w:val="页脚 字符"/>
    <w:link w:val="2"/>
    <w:semiHidden/>
    <w:qFormat/>
    <w:locked/>
    <w:uiPriority w:val="99"/>
    <w:rPr>
      <w:rFonts w:ascii="Times New Roman" w:hAnsi="Times New Roman" w:eastAsia="宋体" w:cs="Times New Roman"/>
      <w:sz w:val="18"/>
      <w:szCs w:val="18"/>
    </w:rPr>
  </w:style>
  <w:style w:type="character" w:customStyle="1" w:styleId="9">
    <w:name w:val="页眉 字符"/>
    <w:link w:val="3"/>
    <w:semiHidden/>
    <w:qFormat/>
    <w:locked/>
    <w:uiPriority w:val="99"/>
    <w:rPr>
      <w:rFonts w:ascii="Times New Roman" w:hAnsi="Times New Roman" w:eastAsia="宋体" w:cs="Times New Roman"/>
      <w:sz w:val="18"/>
      <w:szCs w:val="18"/>
    </w:rPr>
  </w:style>
  <w:style w:type="character" w:customStyle="1" w:styleId="10">
    <w:name w:val="页脚 Char"/>
    <w:qFormat/>
    <w:locked/>
    <w:uiPriority w:val="99"/>
    <w:rPr>
      <w:rFonts w:cs="Times New Roman"/>
      <w:sz w:val="18"/>
      <w:szCs w:val="18"/>
    </w:rPr>
  </w:style>
  <w:style w:type="character" w:customStyle="1" w:styleId="11">
    <w:name w:val="页眉 Char"/>
    <w:qFormat/>
    <w:locked/>
    <w:uiPriority w:val="99"/>
    <w:rPr>
      <w:rFonts w:cs="Times New Roman"/>
      <w:sz w:val="18"/>
      <w:szCs w:val="18"/>
    </w:rPr>
  </w:style>
  <w:style w:type="character" w:customStyle="1" w:styleId="12">
    <w:name w:val="font131"/>
    <w:qFormat/>
    <w:uiPriority w:val="99"/>
    <w:rPr>
      <w:rFonts w:ascii="FZFangSong-Z02" w:hAnsi="FZFangSong-Z02" w:eastAsia="FZFangSong-Z02"/>
      <w:color w:val="000000"/>
      <w:sz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204</Words>
  <Characters>1163</Characters>
  <Lines>9</Lines>
  <Paragraphs>2</Paragraphs>
  <TotalTime>55</TotalTime>
  <ScaleCrop>false</ScaleCrop>
  <LinksUpToDate>false</LinksUpToDate>
  <CharactersWithSpaces>1365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2021-09-07T09:11:00Z</dcterms:created>
  <dc:creator>pc</dc:creator>
  <cp:lastModifiedBy>Hatchi</cp:lastModifiedBy>
  <dcterms:modified xsi:type="dcterms:W3CDTF">2021-09-09T05:20:25Z</dcterms:modified>
  <dc:title>重庆市橡皮擦产品质量监督抽查实施细则</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