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重庆市婴幼儿织物隔尿垫产品质量监督抽查实施细则</w:t>
      </w:r>
    </w:p>
    <w:p>
      <w:pPr>
        <w:jc w:val="center"/>
        <w:rPr>
          <w:rFonts w:ascii="方正小标宋简体" w:hAnsi="仿宋" w:eastAsia="方正小标宋简体" w:cs="方正仿宋简体"/>
          <w:color w:val="000000"/>
          <w:sz w:val="32"/>
          <w:szCs w:val="32"/>
        </w:rPr>
      </w:pPr>
      <w:bookmarkStart w:id="0" w:name="_GoBack"/>
      <w:bookmarkEnd w:id="0"/>
      <w:r>
        <w:rPr>
          <w:rFonts w:hint="eastAsia" w:ascii="方正小标宋简体" w:hAnsi="仿宋" w:eastAsia="方正小标宋简体" w:cs="方正仿宋简体"/>
          <w:color w:val="000000"/>
          <w:sz w:val="32"/>
          <w:szCs w:val="32"/>
        </w:rPr>
        <w:t>（2</w:t>
      </w:r>
      <w:r>
        <w:rPr>
          <w:rFonts w:ascii="方正小标宋简体" w:hAnsi="仿宋" w:eastAsia="方正小标宋简体" w:cs="方正仿宋简体"/>
          <w:color w:val="000000"/>
          <w:sz w:val="32"/>
          <w:szCs w:val="32"/>
        </w:rPr>
        <w:t>021</w:t>
      </w:r>
      <w:r>
        <w:rPr>
          <w:rFonts w:hint="eastAsia" w:ascii="方正小标宋简体" w:hAnsi="仿宋" w:eastAsia="方正小标宋简体" w:cs="方正仿宋简体"/>
          <w:color w:val="000000"/>
          <w:sz w:val="32"/>
          <w:szCs w:val="32"/>
        </w:rPr>
        <w:t>年</w:t>
      </w:r>
      <w:r>
        <w:rPr>
          <w:rFonts w:hint="eastAsia" w:ascii="方正小标宋简体" w:hAnsi="仿宋" w:eastAsia="方正小标宋简体" w:cs="方正仿宋简体"/>
          <w:sz w:val="28"/>
          <w:szCs w:val="28"/>
          <w:lang w:eastAsia="zh-CN"/>
        </w:rPr>
        <w:t>三季度</w:t>
      </w:r>
      <w:r>
        <w:rPr>
          <w:rFonts w:hint="eastAsia" w:ascii="方正小标宋简体" w:hAnsi="仿宋" w:eastAsia="方正小标宋简体" w:cs="方正仿宋简体"/>
          <w:color w:val="000000"/>
          <w:sz w:val="32"/>
          <w:szCs w:val="32"/>
        </w:rPr>
        <w:t>）</w:t>
      </w:r>
    </w:p>
    <w:p>
      <w:pPr>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color w:val="000000"/>
          <w:szCs w:val="21"/>
        </w:rPr>
      </w:pPr>
      <w:r>
        <w:rPr>
          <w:rFonts w:hint="eastAsia" w:ascii="宋体" w:hAnsi="宋体"/>
          <w:szCs w:val="21"/>
        </w:rPr>
        <w:t>在销售者的待销产品中随机抽取有产品质量检验合格证明或者以其他形式表明合格的、近期生产的产品</w:t>
      </w:r>
      <w:r>
        <w:rPr>
          <w:rFonts w:hint="eastAsia"/>
          <w:szCs w:val="21"/>
        </w:rPr>
        <w:t>。</w:t>
      </w:r>
    </w:p>
    <w:p>
      <w:pPr>
        <w:snapToGrid w:val="0"/>
        <w:spacing w:line="440" w:lineRule="exact"/>
        <w:ind w:firstLine="420" w:firstLineChars="200"/>
        <w:rPr>
          <w:rFonts w:ascii="宋体" w:hAnsi="宋体"/>
          <w:szCs w:val="21"/>
        </w:rPr>
      </w:pPr>
      <w:r>
        <w:rPr>
          <w:rFonts w:hint="eastAsia" w:ascii="宋体" w:hAnsi="宋体"/>
          <w:szCs w:val="21"/>
        </w:rPr>
        <w:t>抽查样品基数满足抽样数量即可。</w:t>
      </w:r>
    </w:p>
    <w:p>
      <w:pPr>
        <w:snapToGrid w:val="0"/>
        <w:spacing w:line="440" w:lineRule="exact"/>
        <w:ind w:firstLine="420" w:firstLineChars="200"/>
        <w:rPr>
          <w:rFonts w:ascii="宋体" w:hAnsi="宋体"/>
          <w:szCs w:val="21"/>
        </w:rPr>
      </w:pPr>
      <w:r>
        <w:rPr>
          <w:rFonts w:hint="eastAsia" w:ascii="宋体" w:hAnsi="宋体"/>
          <w:szCs w:val="21"/>
        </w:rPr>
        <w:t>同一生产者按照同一标准生产的同一商标、同一款式（货</w:t>
      </w:r>
      <w:r>
        <w:rPr>
          <w:rFonts w:ascii="宋体" w:hAnsi="宋体"/>
          <w:szCs w:val="21"/>
        </w:rPr>
        <w:t>/</w:t>
      </w:r>
      <w:r>
        <w:rPr>
          <w:rFonts w:hint="eastAsia" w:ascii="宋体" w:hAnsi="宋体"/>
          <w:szCs w:val="21"/>
        </w:rPr>
        <w:t>款号）、同一花型颜色及材料的纺织类产品抽取样品</w:t>
      </w:r>
      <w:r>
        <w:rPr>
          <w:rFonts w:ascii="宋体" w:hAnsi="宋体"/>
          <w:szCs w:val="21"/>
        </w:rPr>
        <w:t>2</w:t>
      </w:r>
      <w:r>
        <w:rPr>
          <w:rFonts w:hint="eastAsia" w:ascii="宋体" w:hAnsi="宋体"/>
          <w:szCs w:val="21"/>
        </w:rPr>
        <w:t>张</w:t>
      </w:r>
      <w:r>
        <w:rPr>
          <w:rFonts w:ascii="宋体" w:hAnsi="宋体"/>
          <w:szCs w:val="21"/>
        </w:rPr>
        <w:t>/</w:t>
      </w:r>
      <w:r>
        <w:rPr>
          <w:rFonts w:hint="eastAsia" w:ascii="宋体" w:hAnsi="宋体"/>
          <w:szCs w:val="21"/>
        </w:rPr>
        <w:t>件/套，其中</w:t>
      </w:r>
      <w:r>
        <w:rPr>
          <w:rFonts w:ascii="宋体" w:hAnsi="宋体"/>
          <w:szCs w:val="21"/>
        </w:rPr>
        <w:t>1</w:t>
      </w:r>
      <w:r>
        <w:rPr>
          <w:rFonts w:hint="eastAsia" w:ascii="宋体" w:hAnsi="宋体"/>
          <w:szCs w:val="21"/>
        </w:rPr>
        <w:t>张</w:t>
      </w:r>
      <w:r>
        <w:rPr>
          <w:rFonts w:ascii="宋体" w:hAnsi="宋体"/>
          <w:szCs w:val="21"/>
        </w:rPr>
        <w:t>/</w:t>
      </w:r>
      <w:r>
        <w:rPr>
          <w:rFonts w:hint="eastAsia" w:ascii="宋体" w:hAnsi="宋体"/>
          <w:szCs w:val="21"/>
        </w:rPr>
        <w:t>件/套作为检验样品，</w:t>
      </w:r>
      <w:r>
        <w:rPr>
          <w:rFonts w:ascii="宋体" w:hAnsi="宋体"/>
          <w:szCs w:val="21"/>
        </w:rPr>
        <w:t>1</w:t>
      </w:r>
      <w:r>
        <w:rPr>
          <w:rFonts w:hint="eastAsia" w:ascii="宋体" w:hAnsi="宋体"/>
          <w:szCs w:val="21"/>
        </w:rPr>
        <w:t>张</w:t>
      </w:r>
      <w:r>
        <w:rPr>
          <w:rFonts w:ascii="宋体" w:hAnsi="宋体"/>
          <w:szCs w:val="21"/>
        </w:rPr>
        <w:t>/</w:t>
      </w:r>
      <w:r>
        <w:rPr>
          <w:rFonts w:hint="eastAsia" w:ascii="宋体" w:hAnsi="宋体"/>
          <w:szCs w:val="21"/>
        </w:rPr>
        <w:t>件/套作为备用样品。</w:t>
      </w:r>
    </w:p>
    <w:p>
      <w:pPr>
        <w:snapToGrid w:val="0"/>
        <w:spacing w:line="440" w:lineRule="exact"/>
        <w:ind w:firstLine="420" w:firstLineChars="200"/>
        <w:rPr>
          <w:rFonts w:ascii="宋体" w:hAnsi="宋体"/>
          <w:color w:val="000000"/>
          <w:szCs w:val="21"/>
        </w:rPr>
      </w:pPr>
      <w:r>
        <w:rPr>
          <w:rFonts w:hint="eastAsia" w:ascii="宋体" w:hAnsi="宋体"/>
          <w:szCs w:val="21"/>
        </w:rPr>
        <w:t>随机数抽样，随机数一般可使用随机数表、随机数骰子或扑克牌等方法产生。</w:t>
      </w:r>
    </w:p>
    <w:p>
      <w:pPr>
        <w:spacing w:line="440" w:lineRule="exact"/>
        <w:rPr>
          <w:rFonts w:ascii="黑体" w:hAnsi="宋体" w:eastAsia="黑体"/>
          <w:color w:val="000000"/>
          <w:szCs w:val="21"/>
        </w:rPr>
      </w:pPr>
      <w:r>
        <w:rPr>
          <w:rFonts w:hint="eastAsia" w:ascii="黑体" w:hAnsi="宋体" w:eastAsia="黑体"/>
          <w:color w:val="000000"/>
          <w:szCs w:val="21"/>
        </w:rPr>
        <w:t>2 检验依据</w:t>
      </w:r>
    </w:p>
    <w:p>
      <w:pPr>
        <w:spacing w:line="360" w:lineRule="auto"/>
        <w:ind w:left="420" w:hanging="420" w:hangingChars="200"/>
        <w:contextualSpacing/>
        <w:jc w:val="center"/>
        <w:rPr>
          <w:rFonts w:ascii="宋体" w:hAnsi="宋体"/>
          <w:szCs w:val="21"/>
        </w:rPr>
      </w:pPr>
      <w:r>
        <w:rPr>
          <w:rFonts w:hint="eastAsia" w:ascii="宋体" w:hAnsi="宋体"/>
          <w:szCs w:val="21"/>
        </w:rPr>
        <w:t>表1检验项目</w:t>
      </w:r>
    </w:p>
    <w:tbl>
      <w:tblPr>
        <w:tblStyle w:val="11"/>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82"/>
        <w:gridCol w:w="2431"/>
        <w:gridCol w:w="2457"/>
        <w:gridCol w:w="2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tblHeader/>
          <w:jc w:val="center"/>
        </w:trPr>
        <w:tc>
          <w:tcPr>
            <w:tcW w:w="682"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序号</w:t>
            </w:r>
          </w:p>
        </w:tc>
        <w:tc>
          <w:tcPr>
            <w:tcW w:w="2431"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检验项目</w:t>
            </w:r>
          </w:p>
        </w:tc>
        <w:tc>
          <w:tcPr>
            <w:tcW w:w="2457"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判定依据</w:t>
            </w:r>
          </w:p>
        </w:tc>
        <w:tc>
          <w:tcPr>
            <w:tcW w:w="2726"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82"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甲醛含量</w:t>
            </w:r>
          </w:p>
        </w:tc>
        <w:tc>
          <w:tcPr>
            <w:tcW w:w="2457"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GB 31701-2015</w:t>
            </w:r>
          </w:p>
        </w:tc>
        <w:tc>
          <w:tcPr>
            <w:tcW w:w="2726"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82"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pH 值</w:t>
            </w:r>
          </w:p>
        </w:tc>
        <w:tc>
          <w:tcPr>
            <w:tcW w:w="2457"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GB 31701-2015</w:t>
            </w:r>
          </w:p>
        </w:tc>
        <w:tc>
          <w:tcPr>
            <w:tcW w:w="2726"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82"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hint="eastAsia" w:ascii="宋体" w:hAnsi="宋体"/>
                <w:color w:val="000000"/>
                <w:szCs w:val="21"/>
              </w:rPr>
              <w:t>异味</w:t>
            </w:r>
          </w:p>
        </w:tc>
        <w:tc>
          <w:tcPr>
            <w:tcW w:w="2457"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ascii="宋体" w:hAnsi="宋体"/>
                <w:color w:val="000000"/>
                <w:szCs w:val="21"/>
              </w:rPr>
              <w:t>GB 31701-2015</w:t>
            </w:r>
          </w:p>
        </w:tc>
        <w:tc>
          <w:tcPr>
            <w:tcW w:w="2726"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ascii="宋体" w:hAnsi="宋体"/>
                <w:color w:val="000000"/>
                <w:szCs w:val="21"/>
              </w:rPr>
              <w:t>GB 18401-2010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82"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可分解致癌芳香胺染料</w:t>
            </w:r>
            <w:r>
              <w:rPr>
                <w:rFonts w:hint="eastAsia" w:ascii="宋体" w:hAnsi="宋体"/>
                <w:color w:val="000000"/>
                <w:szCs w:val="21"/>
                <w:vertAlign w:val="superscript"/>
              </w:rPr>
              <w:t>①</w:t>
            </w:r>
          </w:p>
        </w:tc>
        <w:tc>
          <w:tcPr>
            <w:tcW w:w="2457"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GB 31701-2015</w:t>
            </w:r>
          </w:p>
        </w:tc>
        <w:tc>
          <w:tcPr>
            <w:tcW w:w="2726"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GB/T 17592-2011</w:t>
            </w:r>
          </w:p>
          <w:p>
            <w:pPr>
              <w:spacing w:line="288" w:lineRule="auto"/>
              <w:jc w:val="center"/>
              <w:rPr>
                <w:rFonts w:ascii="宋体" w:hAnsi="宋体"/>
                <w:color w:val="000000"/>
                <w:szCs w:val="21"/>
              </w:rPr>
            </w:pPr>
            <w:r>
              <w:rPr>
                <w:rFonts w:ascii="宋体" w:hAnsi="宋体"/>
                <w:color w:val="000000"/>
                <w:szCs w:val="21"/>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82"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hint="eastAsia" w:ascii="宋体" w:hAnsi="宋体"/>
                <w:color w:val="000000"/>
                <w:szCs w:val="21"/>
              </w:rPr>
              <w:t>重金属</w:t>
            </w:r>
          </w:p>
        </w:tc>
        <w:tc>
          <w:tcPr>
            <w:tcW w:w="2457"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ascii="宋体" w:hAnsi="宋体"/>
                <w:color w:val="000000"/>
                <w:szCs w:val="21"/>
              </w:rPr>
              <w:t>GB 31701-2015</w:t>
            </w:r>
          </w:p>
        </w:tc>
        <w:tc>
          <w:tcPr>
            <w:tcW w:w="2726"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ascii="宋体" w:hAnsi="宋体"/>
                <w:color w:val="000000"/>
                <w:szCs w:val="21"/>
              </w:rPr>
              <w:t>GB/T 30157-2013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82"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hint="eastAsia" w:ascii="宋体" w:hAnsi="宋体"/>
                <w:color w:val="000000"/>
                <w:szCs w:val="21"/>
              </w:rPr>
              <w:t>邻苯二甲酸酯</w:t>
            </w:r>
          </w:p>
        </w:tc>
        <w:tc>
          <w:tcPr>
            <w:tcW w:w="2457"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ascii="宋体" w:hAnsi="宋体"/>
                <w:color w:val="000000"/>
                <w:szCs w:val="21"/>
              </w:rPr>
              <w:t>GB 31701-2015</w:t>
            </w:r>
          </w:p>
        </w:tc>
        <w:tc>
          <w:tcPr>
            <w:tcW w:w="2726"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ascii="宋体" w:hAnsi="宋体"/>
                <w:color w:val="000000"/>
                <w:szCs w:val="21"/>
              </w:rPr>
              <w:t>GB/T 20388-2016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82"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hint="eastAsia" w:ascii="宋体" w:hAnsi="宋体"/>
                <w:color w:val="000000"/>
                <w:szCs w:val="21"/>
              </w:rPr>
              <w:t>锐利物</w:t>
            </w:r>
          </w:p>
        </w:tc>
        <w:tc>
          <w:tcPr>
            <w:tcW w:w="2457"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ascii="宋体" w:hAnsi="宋体"/>
                <w:color w:val="000000"/>
                <w:szCs w:val="21"/>
              </w:rPr>
              <w:t>GB 31701-2015</w:t>
            </w:r>
          </w:p>
        </w:tc>
        <w:tc>
          <w:tcPr>
            <w:tcW w:w="2726"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ascii="宋体" w:hAnsi="宋体"/>
                <w:color w:val="000000"/>
                <w:szCs w:val="21"/>
              </w:rPr>
              <w:t>GB/T 24121-2009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82"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hint="eastAsia" w:ascii="宋体" w:hAnsi="宋体"/>
                <w:color w:val="000000"/>
                <w:szCs w:val="21"/>
              </w:rPr>
              <w:t>附件抗拉强力</w:t>
            </w:r>
          </w:p>
        </w:tc>
        <w:tc>
          <w:tcPr>
            <w:tcW w:w="2457"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ascii="宋体" w:hAnsi="宋体"/>
                <w:color w:val="000000"/>
                <w:szCs w:val="21"/>
              </w:rPr>
              <w:t>GB 31701-2015</w:t>
            </w:r>
          </w:p>
        </w:tc>
        <w:tc>
          <w:tcPr>
            <w:tcW w:w="2726"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ascii="宋体" w:hAnsi="宋体"/>
                <w:color w:val="000000"/>
                <w:szCs w:val="21"/>
              </w:rPr>
              <w:t>GB 31701-2015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82"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hint="eastAsia" w:ascii="宋体" w:hAnsi="宋体"/>
                <w:color w:val="000000"/>
                <w:szCs w:val="21"/>
              </w:rPr>
              <w:t>附件可触及锐利尖端和锐利边缘</w:t>
            </w:r>
          </w:p>
        </w:tc>
        <w:tc>
          <w:tcPr>
            <w:tcW w:w="2457"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ascii="宋体" w:hAnsi="宋体"/>
                <w:color w:val="000000"/>
                <w:szCs w:val="21"/>
              </w:rPr>
              <w:t>GB 31701-2015</w:t>
            </w:r>
          </w:p>
        </w:tc>
        <w:tc>
          <w:tcPr>
            <w:tcW w:w="2726"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ascii="宋体" w:hAnsi="宋体"/>
                <w:color w:val="000000"/>
                <w:szCs w:val="21"/>
              </w:rPr>
              <w:t>GB/T 31702-2015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82"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szCs w:val="21"/>
              </w:rPr>
              <w:t>耐干摩擦色牢度</w:t>
            </w:r>
            <w:r>
              <w:rPr>
                <w:rFonts w:hint="eastAsia" w:ascii="宋体" w:hAnsi="宋体"/>
                <w:color w:val="000000"/>
                <w:szCs w:val="21"/>
                <w:vertAlign w:val="superscript"/>
              </w:rPr>
              <w:t>②</w:t>
            </w:r>
          </w:p>
        </w:tc>
        <w:tc>
          <w:tcPr>
            <w:tcW w:w="2457"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hint="eastAsia" w:ascii="宋体" w:hAnsi="宋体"/>
                <w:color w:val="000000"/>
                <w:szCs w:val="21"/>
              </w:rPr>
              <w:t>GB 31701-2015</w:t>
            </w:r>
          </w:p>
          <w:p>
            <w:pPr>
              <w:spacing w:line="288" w:lineRule="auto"/>
              <w:jc w:val="center"/>
              <w:rPr>
                <w:rFonts w:ascii="宋体" w:hAnsi="宋体"/>
                <w:color w:val="000000"/>
                <w:szCs w:val="21"/>
              </w:rPr>
            </w:pPr>
            <w:r>
              <w:rPr>
                <w:rFonts w:hint="eastAsia" w:ascii="宋体" w:hAnsi="宋体" w:cs="仿宋"/>
                <w:color w:val="000000" w:themeColor="text1"/>
                <w:szCs w:val="21"/>
                <w14:textFill>
                  <w14:solidFill>
                    <w14:schemeClr w14:val="tx1"/>
                  </w14:solidFill>
                </w14:textFill>
              </w:rPr>
              <w:t>相应产品标准</w:t>
            </w:r>
          </w:p>
        </w:tc>
        <w:tc>
          <w:tcPr>
            <w:tcW w:w="2726"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hint="eastAsia" w:ascii="宋体" w:hAnsi="宋体"/>
                <w:color w:val="000000" w:themeColor="text1"/>
                <w:szCs w:val="21"/>
                <w14:textFill>
                  <w14:solidFill>
                    <w14:schemeClr w14:val="tx1"/>
                  </w14:solidFill>
                </w14:textFill>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82"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hint="eastAsia" w:ascii="宋体" w:hAnsi="宋体"/>
                <w:color w:val="000000"/>
                <w:szCs w:val="21"/>
              </w:rPr>
              <w:t>耐唾液色牢度</w:t>
            </w:r>
          </w:p>
        </w:tc>
        <w:tc>
          <w:tcPr>
            <w:tcW w:w="2457"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ascii="宋体" w:hAnsi="宋体"/>
                <w:color w:val="000000"/>
                <w:szCs w:val="21"/>
              </w:rPr>
              <w:t>GB 31701-2015</w:t>
            </w:r>
          </w:p>
          <w:p>
            <w:pPr>
              <w:spacing w:line="288" w:lineRule="auto"/>
              <w:jc w:val="center"/>
              <w:rPr>
                <w:rFonts w:hint="eastAsia" w:ascii="宋体" w:hAnsi="宋体"/>
                <w:color w:val="000000"/>
                <w:szCs w:val="21"/>
              </w:rPr>
            </w:pPr>
            <w:r>
              <w:rPr>
                <w:rFonts w:hint="eastAsia" w:ascii="宋体" w:hAnsi="宋体" w:cs="仿宋"/>
                <w:color w:val="000000" w:themeColor="text1"/>
                <w:szCs w:val="21"/>
                <w14:textFill>
                  <w14:solidFill>
                    <w14:schemeClr w14:val="tx1"/>
                  </w14:solidFill>
                </w14:textFill>
              </w:rPr>
              <w:t>相应产品标准</w:t>
            </w:r>
          </w:p>
        </w:tc>
        <w:tc>
          <w:tcPr>
            <w:tcW w:w="2726" w:type="dxa"/>
            <w:tcMar>
              <w:top w:w="0" w:type="dxa"/>
              <w:left w:w="70" w:type="dxa"/>
              <w:bottom w:w="0" w:type="dxa"/>
              <w:right w:w="70" w:type="dxa"/>
            </w:tcMar>
            <w:vAlign w:val="center"/>
          </w:tcPr>
          <w:p>
            <w:pPr>
              <w:spacing w:line="288" w:lineRule="auto"/>
              <w:jc w:val="center"/>
              <w:rPr>
                <w:rFonts w:hint="eastAsia" w:ascii="宋体" w:hAnsi="宋体"/>
                <w:color w:val="000000" w:themeColor="text1"/>
                <w:szCs w:val="21"/>
                <w14:textFill>
                  <w14:solidFill>
                    <w14:schemeClr w14:val="tx1"/>
                  </w14:solidFill>
                </w14:textFill>
              </w:rPr>
            </w:pPr>
            <w:r>
              <w:rPr>
                <w:rFonts w:ascii="宋体" w:hAnsi="宋体"/>
                <w:color w:val="000000"/>
                <w:szCs w:val="21"/>
              </w:rPr>
              <w:t>GB/T 18886-2019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82"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hint="eastAsia" w:ascii="宋体" w:hAnsi="宋体"/>
                <w:color w:val="000000"/>
                <w:szCs w:val="21"/>
              </w:rPr>
              <w:t>耐酸汗渍色牢度</w:t>
            </w:r>
            <w:r>
              <w:rPr>
                <w:rFonts w:hint="eastAsia" w:ascii="宋体" w:hAnsi="宋体"/>
                <w:color w:val="000000"/>
                <w:szCs w:val="21"/>
                <w:vertAlign w:val="superscript"/>
              </w:rPr>
              <w:t>②</w:t>
            </w:r>
          </w:p>
        </w:tc>
        <w:tc>
          <w:tcPr>
            <w:tcW w:w="2457"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ascii="宋体" w:hAnsi="宋体"/>
                <w:color w:val="000000"/>
                <w:szCs w:val="21"/>
              </w:rPr>
              <w:t>GB 31701-2015</w:t>
            </w:r>
          </w:p>
          <w:p>
            <w:pPr>
              <w:spacing w:line="288" w:lineRule="auto"/>
              <w:jc w:val="center"/>
              <w:rPr>
                <w:rFonts w:ascii="宋体" w:hAnsi="宋体"/>
                <w:color w:val="000000"/>
                <w:szCs w:val="21"/>
              </w:rPr>
            </w:pPr>
            <w:r>
              <w:rPr>
                <w:rFonts w:hint="eastAsia" w:ascii="宋体" w:hAnsi="宋体" w:cs="仿宋"/>
                <w:color w:val="000000" w:themeColor="text1"/>
                <w:szCs w:val="21"/>
                <w14:textFill>
                  <w14:solidFill>
                    <w14:schemeClr w14:val="tx1"/>
                  </w14:solidFill>
                </w14:textFill>
              </w:rPr>
              <w:t>相应产品标准</w:t>
            </w:r>
          </w:p>
        </w:tc>
        <w:tc>
          <w:tcPr>
            <w:tcW w:w="2726"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ascii="宋体" w:hAnsi="宋体"/>
                <w:color w:val="000000"/>
                <w:szCs w:val="21"/>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82"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hint="eastAsia" w:ascii="宋体" w:hAnsi="宋体"/>
                <w:color w:val="000000"/>
                <w:szCs w:val="21"/>
              </w:rPr>
              <w:t>耐碱汗渍色牢度</w:t>
            </w:r>
            <w:r>
              <w:rPr>
                <w:rFonts w:hint="eastAsia" w:ascii="宋体" w:hAnsi="宋体"/>
                <w:color w:val="000000"/>
                <w:szCs w:val="21"/>
                <w:vertAlign w:val="superscript"/>
              </w:rPr>
              <w:t>②</w:t>
            </w:r>
          </w:p>
        </w:tc>
        <w:tc>
          <w:tcPr>
            <w:tcW w:w="2457"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ascii="宋体" w:hAnsi="宋体"/>
                <w:color w:val="000000"/>
                <w:szCs w:val="21"/>
              </w:rPr>
              <w:t>GB 31701-2015</w:t>
            </w:r>
          </w:p>
          <w:p>
            <w:pPr>
              <w:spacing w:line="288" w:lineRule="auto"/>
              <w:jc w:val="center"/>
              <w:rPr>
                <w:rFonts w:ascii="宋体" w:hAnsi="宋体"/>
                <w:color w:val="000000"/>
                <w:szCs w:val="21"/>
              </w:rPr>
            </w:pPr>
            <w:r>
              <w:rPr>
                <w:rFonts w:hint="eastAsia" w:ascii="宋体" w:hAnsi="宋体" w:cs="仿宋"/>
                <w:color w:val="000000" w:themeColor="text1"/>
                <w:szCs w:val="21"/>
                <w14:textFill>
                  <w14:solidFill>
                    <w14:schemeClr w14:val="tx1"/>
                  </w14:solidFill>
                </w14:textFill>
              </w:rPr>
              <w:t>相应产品标准</w:t>
            </w:r>
          </w:p>
        </w:tc>
        <w:tc>
          <w:tcPr>
            <w:tcW w:w="2726"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ascii="宋体" w:hAnsi="宋体"/>
                <w:color w:val="000000"/>
                <w:szCs w:val="21"/>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82"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288" w:lineRule="auto"/>
              <w:jc w:val="center"/>
              <w:rPr>
                <w:rFonts w:hint="eastAsia" w:ascii="宋体" w:hAnsi="宋体"/>
                <w:color w:val="000000"/>
                <w:szCs w:val="21"/>
              </w:rPr>
            </w:pPr>
            <w:r>
              <w:rPr>
                <w:rFonts w:hint="eastAsia" w:ascii="宋体" w:hAnsi="宋体"/>
                <w:color w:val="000000"/>
                <w:szCs w:val="21"/>
              </w:rPr>
              <w:t>耐水色牢度</w:t>
            </w:r>
            <w:r>
              <w:rPr>
                <w:rFonts w:hint="eastAsia" w:ascii="宋体" w:hAnsi="宋体"/>
                <w:color w:val="000000"/>
                <w:szCs w:val="21"/>
                <w:vertAlign w:val="superscript"/>
              </w:rPr>
              <w:t>②</w:t>
            </w:r>
          </w:p>
        </w:tc>
        <w:tc>
          <w:tcPr>
            <w:tcW w:w="2457"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ascii="宋体" w:hAnsi="宋体"/>
                <w:color w:val="000000"/>
                <w:szCs w:val="21"/>
              </w:rPr>
              <w:t>GB 31701-2015</w:t>
            </w:r>
          </w:p>
          <w:p>
            <w:pPr>
              <w:spacing w:line="288" w:lineRule="auto"/>
              <w:jc w:val="center"/>
              <w:rPr>
                <w:rFonts w:ascii="宋体" w:hAnsi="宋体"/>
                <w:color w:val="000000"/>
                <w:szCs w:val="21"/>
              </w:rPr>
            </w:pPr>
            <w:r>
              <w:rPr>
                <w:rFonts w:hint="eastAsia" w:ascii="宋体" w:hAnsi="宋体" w:cs="仿宋"/>
                <w:color w:val="000000" w:themeColor="text1"/>
                <w:szCs w:val="21"/>
                <w14:textFill>
                  <w14:solidFill>
                    <w14:schemeClr w14:val="tx1"/>
                  </w14:solidFill>
                </w14:textFill>
              </w:rPr>
              <w:t>相应产品标准</w:t>
            </w:r>
          </w:p>
        </w:tc>
        <w:tc>
          <w:tcPr>
            <w:tcW w:w="2726" w:type="dxa"/>
            <w:tcMar>
              <w:top w:w="0" w:type="dxa"/>
              <w:left w:w="70" w:type="dxa"/>
              <w:bottom w:w="0" w:type="dxa"/>
              <w:right w:w="70" w:type="dxa"/>
            </w:tcMar>
            <w:vAlign w:val="center"/>
          </w:tcPr>
          <w:p>
            <w:pPr>
              <w:spacing w:line="288" w:lineRule="auto"/>
              <w:jc w:val="center"/>
              <w:rPr>
                <w:rFonts w:ascii="宋体" w:hAnsi="宋体"/>
                <w:color w:val="000000"/>
                <w:szCs w:val="21"/>
              </w:rPr>
            </w:pPr>
            <w:r>
              <w:rPr>
                <w:rFonts w:ascii="宋体" w:hAnsi="宋体"/>
                <w:color w:val="000000"/>
                <w:szCs w:val="21"/>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82"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38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耐湿摩擦色牢度</w:t>
            </w:r>
            <w:r>
              <w:rPr>
                <w:rFonts w:hint="eastAsia" w:ascii="宋体" w:hAnsi="宋体"/>
                <w:color w:val="000000"/>
                <w:szCs w:val="21"/>
                <w:vertAlign w:val="superscript"/>
              </w:rPr>
              <w:t>②</w:t>
            </w:r>
          </w:p>
        </w:tc>
        <w:tc>
          <w:tcPr>
            <w:tcW w:w="2457" w:type="dxa"/>
            <w:tcMar>
              <w:top w:w="0" w:type="dxa"/>
              <w:left w:w="70" w:type="dxa"/>
              <w:bottom w:w="0" w:type="dxa"/>
              <w:right w:w="70" w:type="dxa"/>
            </w:tcMar>
            <w:vAlign w:val="center"/>
          </w:tcPr>
          <w:p>
            <w:pPr>
              <w:spacing w:line="380" w:lineRule="exact"/>
              <w:jc w:val="center"/>
              <w:rPr>
                <w:rFonts w:ascii="宋体" w:hAnsi="宋体"/>
                <w:color w:val="000000"/>
                <w:szCs w:val="21"/>
              </w:rPr>
            </w:pPr>
            <w:r>
              <w:rPr>
                <w:rFonts w:hint="eastAsia" w:ascii="宋体" w:hAnsi="宋体"/>
                <w:color w:val="000000"/>
                <w:szCs w:val="21"/>
              </w:rPr>
              <w:t>GB 31701-2015</w:t>
            </w:r>
          </w:p>
          <w:p>
            <w:pPr>
              <w:spacing w:line="380" w:lineRule="exact"/>
              <w:jc w:val="center"/>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相应产品标准</w:t>
            </w:r>
          </w:p>
        </w:tc>
        <w:tc>
          <w:tcPr>
            <w:tcW w:w="2726" w:type="dxa"/>
            <w:tcMar>
              <w:top w:w="0" w:type="dxa"/>
              <w:left w:w="70" w:type="dxa"/>
              <w:bottom w:w="0" w:type="dxa"/>
              <w:right w:w="70" w:type="dxa"/>
            </w:tcMar>
            <w:vAlign w:val="center"/>
          </w:tcPr>
          <w:p>
            <w:pPr>
              <w:spacing w:line="38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682" w:type="dxa"/>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宋体" w:hAnsi="宋体"/>
                <w:color w:val="000000"/>
                <w:szCs w:val="21"/>
              </w:rPr>
            </w:pPr>
          </w:p>
        </w:tc>
        <w:tc>
          <w:tcPr>
            <w:tcW w:w="2431" w:type="dxa"/>
            <w:tcMar>
              <w:top w:w="0" w:type="dxa"/>
              <w:left w:w="70" w:type="dxa"/>
              <w:bottom w:w="0" w:type="dxa"/>
              <w:right w:w="70" w:type="dxa"/>
            </w:tcMar>
            <w:vAlign w:val="center"/>
          </w:tcPr>
          <w:p>
            <w:pPr>
              <w:spacing w:line="38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纤维含量</w:t>
            </w:r>
          </w:p>
        </w:tc>
        <w:tc>
          <w:tcPr>
            <w:tcW w:w="2457" w:type="dxa"/>
            <w:tcMar>
              <w:top w:w="0" w:type="dxa"/>
              <w:left w:w="70" w:type="dxa"/>
              <w:bottom w:w="0" w:type="dxa"/>
              <w:right w:w="70" w:type="dxa"/>
            </w:tcMar>
            <w:vAlign w:val="center"/>
          </w:tcPr>
          <w:p>
            <w:pPr>
              <w:spacing w:line="380" w:lineRule="exact"/>
              <w:jc w:val="center"/>
              <w:rPr>
                <w:rFonts w:ascii="宋体" w:hAnsi="宋体"/>
                <w:color w:val="000000"/>
                <w:szCs w:val="21"/>
              </w:rPr>
            </w:pPr>
            <w:r>
              <w:rPr>
                <w:rFonts w:hint="eastAsia" w:ascii="宋体" w:hAnsi="宋体"/>
                <w:color w:val="000000"/>
                <w:szCs w:val="21"/>
              </w:rPr>
              <w:t>GB/T 29862-2013</w:t>
            </w:r>
          </w:p>
          <w:p>
            <w:pPr>
              <w:spacing w:line="380" w:lineRule="exact"/>
              <w:jc w:val="center"/>
              <w:rPr>
                <w:rFonts w:ascii="宋体" w:hAnsi="宋体"/>
                <w:color w:val="000000"/>
                <w:szCs w:val="21"/>
              </w:rPr>
            </w:pPr>
            <w:r>
              <w:rPr>
                <w:rFonts w:hint="eastAsia" w:ascii="宋体" w:hAnsi="宋体"/>
                <w:color w:val="000000"/>
                <w:szCs w:val="21"/>
              </w:rPr>
              <w:t>相应产品标准</w:t>
            </w:r>
          </w:p>
        </w:tc>
        <w:tc>
          <w:tcPr>
            <w:tcW w:w="2726" w:type="dxa"/>
            <w:tcMar>
              <w:top w:w="0" w:type="dxa"/>
              <w:left w:w="70" w:type="dxa"/>
              <w:bottom w:w="0" w:type="dxa"/>
              <w:right w:w="70" w:type="dxa"/>
            </w:tcMar>
            <w:vAlign w:val="center"/>
          </w:tcPr>
          <w:p>
            <w:pPr>
              <w:spacing w:line="38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GB/T 2910.1～24-2009</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GB/T 2910.101-2009</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GB/T 16988-2013</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01026-2017</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01095-2002</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01101-2008</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01103-2009</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01103-2009</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01112-2012</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01131-2016</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01132-2016</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30003-2009</w:t>
            </w:r>
          </w:p>
          <w:p>
            <w:pPr>
              <w:spacing w:line="38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FZ/T 40005-2009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23" w:hRule="atLeast"/>
          <w:jc w:val="center"/>
        </w:trPr>
        <w:tc>
          <w:tcPr>
            <w:tcW w:w="8296" w:type="dxa"/>
            <w:gridSpan w:val="4"/>
            <w:tcMar>
              <w:top w:w="0" w:type="dxa"/>
              <w:left w:w="70" w:type="dxa"/>
              <w:bottom w:w="0" w:type="dxa"/>
              <w:right w:w="70" w:type="dxa"/>
            </w:tcMar>
            <w:vAlign w:val="center"/>
          </w:tcPr>
          <w:p>
            <w:pPr>
              <w:spacing w:line="288" w:lineRule="auto"/>
              <w:jc w:val="left"/>
              <w:rPr>
                <w:rFonts w:ascii="宋体" w:hAnsi="宋体"/>
                <w:color w:val="000000"/>
                <w:szCs w:val="21"/>
              </w:rPr>
            </w:pPr>
            <w:r>
              <w:rPr>
                <w:rFonts w:hint="eastAsia" w:ascii="宋体" w:hAnsi="宋体"/>
                <w:color w:val="000000"/>
                <w:szCs w:val="21"/>
              </w:rPr>
              <w:t>备注：</w:t>
            </w:r>
          </w:p>
          <w:p>
            <w:pPr>
              <w:spacing w:line="288" w:lineRule="auto"/>
              <w:jc w:val="left"/>
              <w:rPr>
                <w:rFonts w:ascii="宋体" w:hAnsi="宋体"/>
                <w:color w:val="000000"/>
                <w:szCs w:val="21"/>
              </w:rPr>
            </w:pPr>
            <w:r>
              <w:rPr>
                <w:rFonts w:hint="eastAsia" w:ascii="宋体" w:hAnsi="宋体"/>
                <w:color w:val="000000"/>
                <w:szCs w:val="21"/>
              </w:rPr>
              <w:t>A、①纺织品可分解致癌芳香胺染料检测采用GC/MS定性，出现阳性结果时用HPLC/DAD进一步确认和定量；②仅考核面层（皮肤接触层），白色产品不检测。</w:t>
            </w:r>
          </w:p>
          <w:p>
            <w:pPr>
              <w:spacing w:line="288" w:lineRule="auto"/>
              <w:jc w:val="left"/>
              <w:rPr>
                <w:rFonts w:ascii="宋体" w:hAnsi="宋体"/>
                <w:color w:val="000000"/>
                <w:szCs w:val="21"/>
              </w:rPr>
            </w:pPr>
            <w:r>
              <w:rPr>
                <w:rFonts w:hint="eastAsia" w:ascii="宋体" w:hAnsi="宋体"/>
                <w:color w:val="000000"/>
                <w:szCs w:val="21"/>
              </w:rPr>
              <w:t>B、若样品量不能满足所有试验要求，按照</w:t>
            </w:r>
            <w:r>
              <w:rPr>
                <w:rFonts w:ascii="宋体" w:hAnsi="宋体"/>
                <w:color w:val="000000"/>
                <w:szCs w:val="21"/>
              </w:rPr>
              <w:t>异味、可分解致癌芳香胺染料、甲醛含量、pH值、重金属、邻苯二甲酸酯、纤维含量、耐湿摩擦色牢度、耐酸汗渍色牢度、耐碱汗渍色牢度、耐干摩擦色牢度、耐水色牢度</w:t>
            </w:r>
            <w:r>
              <w:rPr>
                <w:rFonts w:hint="eastAsia" w:ascii="宋体" w:hAnsi="宋体"/>
                <w:color w:val="000000"/>
                <w:szCs w:val="21"/>
              </w:rPr>
              <w:t>、耐唾液色牢度的取样顺序进行检测。</w:t>
            </w:r>
          </w:p>
          <w:p>
            <w:pPr>
              <w:spacing w:line="380" w:lineRule="exact"/>
              <w:rPr>
                <w:rFonts w:ascii="宋体" w:hAnsi="宋体"/>
                <w:color w:val="000000"/>
                <w:szCs w:val="21"/>
              </w:rPr>
            </w:pPr>
            <w:r>
              <w:rPr>
                <w:rFonts w:hint="eastAsia" w:ascii="宋体" w:hAnsi="宋体"/>
                <w:color w:val="000000"/>
                <w:szCs w:val="21"/>
              </w:rPr>
              <w:t>C、当样品不能满足某个试验项目要求时，该项目不予考核。</w:t>
            </w:r>
          </w:p>
        </w:tc>
      </w:tr>
    </w:tbl>
    <w:p>
      <w:pPr>
        <w:snapToGrid w:val="0"/>
        <w:spacing w:line="440" w:lineRule="exact"/>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w:t>
      </w:r>
    </w:p>
    <w:p>
      <w:pPr>
        <w:spacing w:line="440" w:lineRule="exact"/>
        <w:rPr>
          <w:rFonts w:ascii="黑体" w:hAnsi="黑体" w:eastAsia="黑体"/>
          <w:color w:val="000000"/>
          <w:szCs w:val="21"/>
        </w:rPr>
      </w:pPr>
      <w:r>
        <w:rPr>
          <w:rFonts w:hint="eastAsia" w:ascii="黑体" w:hAnsi="黑体" w:eastAsia="黑体"/>
          <w:color w:val="000000"/>
          <w:szCs w:val="21"/>
        </w:rPr>
        <w:t>3 判定规则</w:t>
      </w:r>
    </w:p>
    <w:p>
      <w:pPr>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 31701-2015 婴幼儿及儿童纺织产品安全技术规范</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w:t>
      </w:r>
      <w:r>
        <w:rPr>
          <w:rFonts w:ascii="宋体" w:hAnsi="宋体"/>
          <w:color w:val="000000"/>
          <w:szCs w:val="21"/>
        </w:rPr>
        <w:t>/</w:t>
      </w:r>
      <w:r>
        <w:rPr>
          <w:rFonts w:hint="eastAsia" w:ascii="宋体" w:hAnsi="宋体"/>
          <w:color w:val="000000"/>
          <w:szCs w:val="21"/>
        </w:rPr>
        <w:t>T 22797-2009</w:t>
      </w:r>
      <w:r>
        <w:rPr>
          <w:rFonts w:ascii="宋体" w:hAnsi="宋体"/>
          <w:color w:val="000000"/>
          <w:szCs w:val="21"/>
        </w:rPr>
        <w:t xml:space="preserve"> </w:t>
      </w:r>
      <w:r>
        <w:rPr>
          <w:rFonts w:hint="eastAsia" w:ascii="宋体" w:hAnsi="宋体"/>
          <w:color w:val="000000"/>
          <w:szCs w:val="21"/>
        </w:rPr>
        <w:t>床单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GB/T 29862-2013 纺织品 纤维含量的标识</w:t>
      </w:r>
    </w:p>
    <w:p>
      <w:pPr>
        <w:snapToGrid w:val="0"/>
        <w:spacing w:line="440" w:lineRule="exact"/>
        <w:ind w:firstLine="420" w:firstLineChars="200"/>
        <w:rPr>
          <w:rFonts w:ascii="宋体" w:hAnsi="宋体"/>
          <w:color w:val="000000"/>
          <w:szCs w:val="21"/>
        </w:rPr>
      </w:pPr>
      <w:r>
        <w:rPr>
          <w:rFonts w:ascii="宋体" w:hAnsi="宋体"/>
          <w:color w:val="000000"/>
          <w:szCs w:val="21"/>
        </w:rPr>
        <w:t xml:space="preserve">GB/T 33734-2017 </w:t>
      </w:r>
      <w:r>
        <w:rPr>
          <w:rFonts w:hint="eastAsia" w:ascii="宋体" w:hAnsi="宋体"/>
          <w:color w:val="000000"/>
          <w:szCs w:val="21"/>
        </w:rPr>
        <w:t>机织婴幼儿床上用品</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w:t>
      </w:r>
      <w:r>
        <w:rPr>
          <w:rFonts w:ascii="宋体" w:hAnsi="宋体"/>
          <w:color w:val="000000"/>
          <w:szCs w:val="21"/>
        </w:rPr>
        <w:t>/</w:t>
      </w:r>
      <w:r>
        <w:rPr>
          <w:rFonts w:hint="eastAsia" w:ascii="宋体" w:hAnsi="宋体"/>
          <w:color w:val="000000"/>
          <w:szCs w:val="21"/>
        </w:rPr>
        <w:t>T 62027-2015</w:t>
      </w:r>
      <w:r>
        <w:rPr>
          <w:rFonts w:ascii="宋体" w:hAnsi="宋体"/>
          <w:color w:val="000000"/>
          <w:szCs w:val="21"/>
        </w:rPr>
        <w:t xml:space="preserve"> </w:t>
      </w:r>
      <w:r>
        <w:rPr>
          <w:rFonts w:hint="eastAsia" w:ascii="宋体" w:hAnsi="宋体"/>
          <w:color w:val="000000"/>
          <w:szCs w:val="21"/>
        </w:rPr>
        <w:t>磨毛面料床单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w:t>
      </w:r>
      <w:r>
        <w:rPr>
          <w:rFonts w:ascii="宋体" w:hAnsi="宋体"/>
          <w:color w:val="000000"/>
          <w:szCs w:val="21"/>
        </w:rPr>
        <w:t>/</w:t>
      </w:r>
      <w:r>
        <w:rPr>
          <w:rFonts w:hint="eastAsia" w:ascii="宋体" w:hAnsi="宋体"/>
          <w:color w:val="000000"/>
          <w:szCs w:val="21"/>
        </w:rPr>
        <w:t>T 62028-2015</w:t>
      </w:r>
      <w:r>
        <w:rPr>
          <w:rFonts w:ascii="宋体" w:hAnsi="宋体"/>
          <w:color w:val="000000"/>
          <w:szCs w:val="21"/>
        </w:rPr>
        <w:t xml:space="preserve"> </w:t>
      </w:r>
      <w:r>
        <w:rPr>
          <w:rFonts w:hint="eastAsia" w:ascii="宋体" w:hAnsi="宋体"/>
          <w:color w:val="000000"/>
          <w:szCs w:val="21"/>
        </w:rPr>
        <w:t>针织床单</w:t>
      </w:r>
    </w:p>
    <w:p>
      <w:pPr>
        <w:snapToGrid w:val="0"/>
        <w:spacing w:line="440" w:lineRule="exact"/>
        <w:ind w:firstLine="420" w:firstLineChars="200"/>
        <w:rPr>
          <w:rFonts w:ascii="宋体" w:hAnsi="宋体"/>
          <w:color w:val="000000"/>
          <w:szCs w:val="21"/>
        </w:rPr>
      </w:pPr>
      <w:r>
        <w:rPr>
          <w:rFonts w:hint="eastAsia" w:ascii="宋体" w:hAnsi="宋体" w:cs="宋体"/>
          <w:color w:val="000000"/>
          <w:szCs w:val="21"/>
        </w:rPr>
        <w:t>相关的法律、行政法规、部门规章、规范性文件</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spacing w:line="440" w:lineRule="exact"/>
        <w:rPr>
          <w:rFonts w:ascii="宋体" w:hAnsi="宋体"/>
          <w:color w:val="000000"/>
          <w:szCs w:val="21"/>
        </w:rPr>
      </w:pPr>
      <w:r>
        <w:rPr>
          <w:rFonts w:hint="eastAsia" w:ascii="宋体" w:hAnsi="宋体"/>
          <w:color w:val="000000"/>
          <w:szCs w:val="21"/>
        </w:rPr>
        <w:t>3.2判定原则</w:t>
      </w:r>
    </w:p>
    <w:p>
      <w:pPr>
        <w:pStyle w:val="4"/>
        <w:adjustRightInd w:val="0"/>
        <w:snapToGrid w:val="0"/>
        <w:spacing w:line="440" w:lineRule="exact"/>
        <w:ind w:firstLine="420" w:firstLineChars="200"/>
        <w:rPr>
          <w:color w:val="000000"/>
          <w:szCs w:val="21"/>
        </w:rPr>
      </w:pPr>
      <w:r>
        <w:rPr>
          <w:rFonts w:hint="eastAsia"/>
          <w:color w:val="000000"/>
          <w:szCs w:val="21"/>
        </w:rPr>
        <w:t>经检验，检验项目全部合格，判定为被抽查产品合格；检验项目中任一项或一项以上不合格，判定为被抽查产品不合格。</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若被检产品明示的质量要求高于本规范中检验项目依据的标准要求时，应按被检产品明示的质量要求判定。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若被检产品明示的质量要求低于本规范中检验项目依据的强制性标准要求时，应按照强制性标准要求判定。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若被检产品明示的质量要求低于或包含规范中检验项目依据的推荐性标准要求时，应以被检产品明示的质量要求判定。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若被检产品明示的质量要求缺少本规范中检验项目依据的强制性标准要求时，应按照强制性标准要求判定。</w:t>
      </w:r>
    </w:p>
    <w:p>
      <w:pPr>
        <w:pStyle w:val="4"/>
        <w:adjustRightInd w:val="0"/>
        <w:snapToGrid w:val="0"/>
        <w:spacing w:line="440" w:lineRule="exact"/>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若被检产品明示的质量要求缺少本规范中检验项目依据的推荐性标准要求时，该项目不参与判定，但应在检验报告备注中进行说明。</w:t>
      </w:r>
    </w:p>
    <w:p>
      <w:pPr>
        <w:spacing w:line="440" w:lineRule="exact"/>
        <w:ind w:firstLine="407" w:firstLineChars="194"/>
      </w:pPr>
      <w:r>
        <w:rPr>
          <w:rFonts w:hint="eastAsia"/>
        </w:rPr>
        <w:t>若被检产品无明示产品标准或明示产品标准错误或不适用时，仅检验纤维含量和强制性标准要求项目并判定。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21FF2D"/>
    <w:multiLevelType w:val="singleLevel"/>
    <w:tmpl w:val="9121FF2D"/>
    <w:lvl w:ilvl="0" w:tentative="0">
      <w:start w:val="1"/>
      <w:numFmt w:val="decimal"/>
      <w:lvlText w:val="%1"/>
      <w:lvlJc w:val="left"/>
      <w:pPr>
        <w:tabs>
          <w:tab w:val="left" w:pos="420"/>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trackRevisions w:val="1"/>
  <w:documentProtection w:enforcement="0"/>
  <w:defaultTabStop w:val="5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617561D"/>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uiPriority w:val="99"/>
    <w:rPr>
      <w:b/>
      <w:bCs/>
    </w:rPr>
  </w:style>
  <w:style w:type="paragraph" w:styleId="3">
    <w:name w:val="annotation text"/>
    <w:basedOn w:val="1"/>
    <w:link w:val="15"/>
    <w:unhideWhenUsed/>
    <w:uiPriority w:val="99"/>
    <w:pPr>
      <w:jc w:val="left"/>
    </w:pPr>
  </w:style>
  <w:style w:type="paragraph" w:styleId="4">
    <w:name w:val="Plain Text"/>
    <w:basedOn w:val="1"/>
    <w:link w:val="12"/>
    <w:qFormat/>
    <w:uiPriority w:val="0"/>
    <w:rPr>
      <w:rFonts w:ascii="宋体" w:hAnsi="Courier New" w:eastAsia="宋体" w:cs="Times New Roman"/>
      <w:szCs w:val="20"/>
    </w:rPr>
  </w:style>
  <w:style w:type="paragraph" w:styleId="5">
    <w:name w:val="Balloon Text"/>
    <w:basedOn w:val="1"/>
    <w:link w:val="17"/>
    <w:unhideWhenUsed/>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unhideWhenUsed/>
    <w:uiPriority w:val="99"/>
    <w:rPr>
      <w:color w:val="0000FF"/>
      <w:u w:val="single"/>
    </w:rPr>
  </w:style>
  <w:style w:type="character" w:styleId="10">
    <w:name w:val="annotation reference"/>
    <w:basedOn w:val="8"/>
    <w:unhideWhenUsed/>
    <w:uiPriority w:val="99"/>
    <w:rPr>
      <w:sz w:val="21"/>
      <w:szCs w:val="21"/>
    </w:rPr>
  </w:style>
  <w:style w:type="character" w:customStyle="1" w:styleId="12">
    <w:name w:val="纯文本 字符"/>
    <w:basedOn w:val="8"/>
    <w:link w:val="4"/>
    <w:qFormat/>
    <w:uiPriority w:val="0"/>
    <w:rPr>
      <w:rFonts w:ascii="宋体" w:hAnsi="Courier New" w:eastAsia="宋体" w:cs="Times New Roman"/>
      <w:szCs w:val="20"/>
    </w:rPr>
  </w:style>
  <w:style w:type="character" w:customStyle="1" w:styleId="13">
    <w:name w:val="页眉 字符"/>
    <w:basedOn w:val="8"/>
    <w:link w:val="7"/>
    <w:uiPriority w:val="99"/>
    <w:rPr>
      <w:sz w:val="18"/>
      <w:szCs w:val="18"/>
    </w:rPr>
  </w:style>
  <w:style w:type="character" w:customStyle="1" w:styleId="14">
    <w:name w:val="页脚 字符"/>
    <w:basedOn w:val="8"/>
    <w:link w:val="6"/>
    <w:uiPriority w:val="99"/>
    <w:rPr>
      <w:sz w:val="18"/>
      <w:szCs w:val="18"/>
    </w:rPr>
  </w:style>
  <w:style w:type="character" w:customStyle="1" w:styleId="15">
    <w:name w:val="批注文字 字符"/>
    <w:basedOn w:val="8"/>
    <w:link w:val="3"/>
    <w:semiHidden/>
    <w:uiPriority w:val="99"/>
    <w:rPr>
      <w:rFonts w:asciiTheme="minorHAnsi" w:hAnsiTheme="minorHAnsi" w:eastAsiaTheme="minorEastAsia" w:cstheme="minorBidi"/>
      <w:kern w:val="2"/>
      <w:sz w:val="21"/>
      <w:szCs w:val="22"/>
    </w:rPr>
  </w:style>
  <w:style w:type="character" w:customStyle="1" w:styleId="16">
    <w:name w:val="批注主题 字符"/>
    <w:basedOn w:val="15"/>
    <w:link w:val="2"/>
    <w:semiHidden/>
    <w:uiPriority w:val="99"/>
    <w:rPr>
      <w:rFonts w:asciiTheme="minorHAnsi" w:hAnsiTheme="minorHAnsi" w:eastAsiaTheme="minorEastAsia" w:cstheme="minorBidi"/>
      <w:b/>
      <w:bCs/>
      <w:kern w:val="2"/>
      <w:sz w:val="21"/>
      <w:szCs w:val="22"/>
    </w:rPr>
  </w:style>
  <w:style w:type="character" w:customStyle="1" w:styleId="17">
    <w:name w:val="批注框文本 字符"/>
    <w:basedOn w:val="8"/>
    <w:link w:val="5"/>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305</Words>
  <Characters>1743</Characters>
  <Lines>14</Lines>
  <Paragraphs>4</Paragraphs>
  <TotalTime>0</TotalTime>
  <ScaleCrop>false</ScaleCrop>
  <LinksUpToDate>false</LinksUpToDate>
  <CharactersWithSpaces>2044</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2021-08-19T01:34:00Z</dcterms:created>
  <dc:creator>HP</dc:creator>
  <cp:lastModifiedBy>张健</cp:lastModifiedBy>
  <dcterms:modified xsi:type="dcterms:W3CDTF">2021-09-13T01:28:01Z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y fmtid="{D5CDD505-2E9C-101B-9397-08002B2CF9AE}" pid="3" name="ICV">
    <vt:lpwstr>3F09B3910CA14D2FBD350F03C1CB7252</vt:lpwstr>
  </property>
</Properties>
</file>