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重庆电热毯、电热垫及类似柔性发热器具产品质量监督抽查实施细则</w:t>
      </w: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1年</w:t>
      </w:r>
      <w:r>
        <w:rPr>
          <w:rFonts w:hint="eastAsia" w:ascii="方正小标宋简体" w:hAnsi="仿宋" w:eastAsia="方正小标宋简体" w:cs="方正仿宋简体"/>
          <w:color w:val="000000"/>
          <w:sz w:val="32"/>
          <w:szCs w:val="32"/>
          <w:lang w:eastAsia="zh-CN"/>
        </w:rPr>
        <w:t>三季度</w:t>
      </w:r>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在生产者、销售者的待销产品中随机抽取有产品质量检验合格证明或者以其他形式表明合格的、近期生产的产品。</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snapToGrid w:val="0"/>
        <w:spacing w:line="440" w:lineRule="exact"/>
        <w:ind w:firstLine="420" w:firstLineChars="200"/>
        <w:rPr>
          <w:rFonts w:ascii="宋体" w:hAnsi="宋体"/>
          <w:szCs w:val="21"/>
        </w:rPr>
      </w:pPr>
      <w:r>
        <w:rPr>
          <w:rFonts w:hint="eastAsia" w:ascii="宋体" w:hAnsi="宋体"/>
          <w:szCs w:val="21"/>
        </w:rPr>
        <w:t>同一生产者按照同一标准生产的同一商标、同一规格型号的产品</w:t>
      </w:r>
      <w:bookmarkStart w:id="0" w:name="_GoBack"/>
      <w:bookmarkEnd w:id="0"/>
      <w:r>
        <w:rPr>
          <w:rFonts w:hint="eastAsia" w:ascii="宋体" w:hAnsi="宋体"/>
          <w:szCs w:val="21"/>
        </w:rPr>
        <w:t>抽取样品2台，其中1台作为检验样品，1台作为备用样品。</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随机数一般可使用随机数表、随机数骰子或扑克牌等方法产生。</w:t>
      </w:r>
    </w:p>
    <w:p>
      <w:pPr>
        <w:snapToGrid w:val="0"/>
        <w:spacing w:line="440" w:lineRule="exact"/>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rFonts w:ascii="宋体" w:hAnsi="宋体"/>
          <w:szCs w:val="21"/>
        </w:rPr>
      </w:pPr>
      <w:r>
        <w:rPr>
          <w:rFonts w:hint="eastAsia" w:ascii="宋体" w:hAnsi="宋体"/>
          <w:szCs w:val="21"/>
        </w:rPr>
        <w:t>表  检验项目</w:t>
      </w:r>
    </w:p>
    <w:tbl>
      <w:tblPr>
        <w:tblStyle w:val="7"/>
        <w:tblW w:w="9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17" w:type="dxa"/>
          </w:tcPr>
          <w:p>
            <w:pPr>
              <w:snapToGrid w:val="0"/>
              <w:spacing w:line="440" w:lineRule="exact"/>
              <w:jc w:val="center"/>
              <w:rPr>
                <w:rFonts w:ascii="宋体" w:hAnsi="宋体"/>
                <w:szCs w:val="21"/>
              </w:rPr>
            </w:pPr>
            <w:r>
              <w:rPr>
                <w:rFonts w:hint="eastAsia" w:ascii="宋体" w:hAnsi="宋体"/>
                <w:szCs w:val="21"/>
              </w:rPr>
              <w:t>序号</w:t>
            </w:r>
          </w:p>
        </w:tc>
        <w:tc>
          <w:tcPr>
            <w:tcW w:w="2693" w:type="dxa"/>
          </w:tcPr>
          <w:p>
            <w:pPr>
              <w:snapToGrid w:val="0"/>
              <w:spacing w:line="440" w:lineRule="exact"/>
              <w:jc w:val="center"/>
              <w:rPr>
                <w:rFonts w:ascii="宋体" w:hAnsi="宋体"/>
                <w:szCs w:val="21"/>
              </w:rPr>
            </w:pPr>
            <w:r>
              <w:rPr>
                <w:rFonts w:hint="eastAsia" w:ascii="宋体" w:hAnsi="宋体"/>
                <w:szCs w:val="21"/>
              </w:rPr>
              <w:t>检验项目</w:t>
            </w:r>
          </w:p>
        </w:tc>
        <w:tc>
          <w:tcPr>
            <w:tcW w:w="2835" w:type="dxa"/>
          </w:tcPr>
          <w:p>
            <w:pPr>
              <w:snapToGrid w:val="0"/>
              <w:spacing w:line="440" w:lineRule="exact"/>
              <w:jc w:val="center"/>
              <w:rPr>
                <w:rFonts w:ascii="宋体" w:hAnsi="宋体"/>
                <w:szCs w:val="21"/>
              </w:rPr>
            </w:pPr>
            <w:r>
              <w:rPr>
                <w:rFonts w:hint="eastAsia" w:ascii="宋体" w:hAnsi="宋体"/>
                <w:szCs w:val="21"/>
              </w:rPr>
              <w:t>判定依据</w:t>
            </w:r>
          </w:p>
        </w:tc>
        <w:tc>
          <w:tcPr>
            <w:tcW w:w="2828" w:type="dxa"/>
          </w:tcPr>
          <w:p>
            <w:pPr>
              <w:snapToGrid w:val="0"/>
              <w:spacing w:line="440" w:lineRule="exact"/>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1</w:t>
            </w:r>
          </w:p>
        </w:tc>
        <w:tc>
          <w:tcPr>
            <w:tcW w:w="2693" w:type="dxa"/>
          </w:tcPr>
          <w:p>
            <w:pPr>
              <w:adjustRightInd w:val="0"/>
              <w:snapToGrid w:val="0"/>
              <w:jc w:val="center"/>
              <w:rPr>
                <w:rFonts w:ascii="宋体" w:hAnsi="宋体"/>
                <w:szCs w:val="21"/>
              </w:rPr>
            </w:pPr>
            <w:r>
              <w:rPr>
                <w:rFonts w:hint="eastAsia" w:ascii="宋体" w:hAnsi="宋体"/>
                <w:szCs w:val="21"/>
              </w:rPr>
              <w:t>对触及带电部件的防护</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2</w:t>
            </w:r>
          </w:p>
        </w:tc>
        <w:tc>
          <w:tcPr>
            <w:tcW w:w="2693" w:type="dxa"/>
          </w:tcPr>
          <w:p>
            <w:pPr>
              <w:adjustRightInd w:val="0"/>
              <w:snapToGrid w:val="0"/>
              <w:jc w:val="center"/>
              <w:rPr>
                <w:rFonts w:ascii="宋体" w:hAnsi="宋体"/>
                <w:szCs w:val="21"/>
              </w:rPr>
            </w:pPr>
            <w:r>
              <w:rPr>
                <w:rFonts w:hint="eastAsia" w:ascii="宋体" w:hAnsi="宋体"/>
                <w:szCs w:val="21"/>
              </w:rPr>
              <w:t>输入功率和电流</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3</w:t>
            </w:r>
          </w:p>
        </w:tc>
        <w:tc>
          <w:tcPr>
            <w:tcW w:w="2693" w:type="dxa"/>
          </w:tcPr>
          <w:p>
            <w:pPr>
              <w:adjustRightInd w:val="0"/>
              <w:snapToGrid w:val="0"/>
              <w:jc w:val="center"/>
              <w:rPr>
                <w:rFonts w:ascii="宋体" w:hAnsi="宋体"/>
                <w:color w:val="auto"/>
                <w:szCs w:val="21"/>
              </w:rPr>
            </w:pPr>
            <w:r>
              <w:rPr>
                <w:rFonts w:hint="eastAsia" w:ascii="宋体" w:hAnsi="宋体" w:eastAsia="宋体" w:cs="Times New Roman"/>
                <w:color w:val="auto"/>
                <w:szCs w:val="21"/>
              </w:rPr>
              <w:t>泄漏电流和电气强度</w:t>
            </w:r>
          </w:p>
        </w:tc>
        <w:tc>
          <w:tcPr>
            <w:tcW w:w="2835"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c>
          <w:tcPr>
            <w:tcW w:w="2828"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4</w:t>
            </w:r>
          </w:p>
        </w:tc>
        <w:tc>
          <w:tcPr>
            <w:tcW w:w="2693" w:type="dxa"/>
            <w:vAlign w:val="center"/>
          </w:tcPr>
          <w:p>
            <w:pPr>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稳定性和机械危险</w:t>
            </w:r>
          </w:p>
        </w:tc>
        <w:tc>
          <w:tcPr>
            <w:tcW w:w="2835"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c>
          <w:tcPr>
            <w:tcW w:w="2828"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5</w:t>
            </w:r>
          </w:p>
        </w:tc>
        <w:tc>
          <w:tcPr>
            <w:tcW w:w="2693" w:type="dxa"/>
            <w:vAlign w:val="center"/>
          </w:tcPr>
          <w:p>
            <w:pPr>
              <w:adjustRightInd w:val="0"/>
              <w:snapToGrid w:val="0"/>
              <w:jc w:val="center"/>
              <w:rPr>
                <w:rFonts w:ascii="宋体" w:hAnsi="宋体" w:eastAsia="宋体" w:cs="Times New Roman"/>
                <w:color w:val="auto"/>
                <w:szCs w:val="21"/>
              </w:rPr>
            </w:pPr>
            <w:r>
              <w:rPr>
                <w:rFonts w:hint="eastAsia" w:ascii="宋体" w:hAnsi="宋体"/>
                <w:color w:val="auto"/>
                <w:szCs w:val="21"/>
              </w:rPr>
              <w:t>结构（不包括第</w:t>
            </w:r>
            <w:r>
              <w:rPr>
                <w:rFonts w:ascii="宋体" w:hAnsi="宋体"/>
                <w:color w:val="auto"/>
                <w:szCs w:val="21"/>
              </w:rPr>
              <w:t>22.46</w:t>
            </w:r>
            <w:r>
              <w:rPr>
                <w:rFonts w:hint="eastAsia" w:ascii="宋体" w:hAnsi="宋体"/>
                <w:color w:val="auto"/>
                <w:szCs w:val="21"/>
              </w:rPr>
              <w:t>条的试验）</w:t>
            </w:r>
          </w:p>
        </w:tc>
        <w:tc>
          <w:tcPr>
            <w:tcW w:w="2835"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c>
          <w:tcPr>
            <w:tcW w:w="2828" w:type="dxa"/>
            <w:vAlign w:val="center"/>
          </w:tcPr>
          <w:p>
            <w:pPr>
              <w:adjustRightInd w:val="0"/>
              <w:snapToGrid w:val="0"/>
              <w:jc w:val="center"/>
              <w:rPr>
                <w:rFonts w:ascii="宋体" w:hAnsi="宋体"/>
                <w:color w:val="auto"/>
                <w:szCs w:val="21"/>
              </w:rPr>
            </w:pPr>
            <w:r>
              <w:rPr>
                <w:rFonts w:ascii="宋体" w:hAnsi="宋体"/>
                <w:color w:val="auto"/>
                <w:szCs w:val="21"/>
              </w:rPr>
              <w:t>GB 4706.1</w:t>
            </w:r>
            <w:r>
              <w:rPr>
                <w:rFonts w:hint="eastAsia" w:ascii="宋体" w:hAnsi="宋体"/>
                <w:color w:val="auto"/>
                <w:szCs w:val="21"/>
              </w:rPr>
              <w:t>-2005</w:t>
            </w:r>
          </w:p>
          <w:p>
            <w:pPr>
              <w:adjustRightInd w:val="0"/>
              <w:snapToGrid w:val="0"/>
              <w:jc w:val="center"/>
              <w:rPr>
                <w:rFonts w:ascii="宋体" w:hAnsi="宋体"/>
                <w:color w:val="auto"/>
                <w:szCs w:val="21"/>
              </w:rPr>
            </w:pPr>
            <w:r>
              <w:rPr>
                <w:rFonts w:ascii="宋体" w:hAnsi="宋体"/>
                <w:color w:val="auto"/>
                <w:szCs w:val="21"/>
              </w:rPr>
              <w:t>GB 4706.8</w:t>
            </w:r>
            <w:r>
              <w:rPr>
                <w:rFonts w:hint="eastAsia" w:ascii="宋体" w:hAnsi="宋体"/>
                <w:color w:val="auto"/>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6</w:t>
            </w:r>
          </w:p>
        </w:tc>
        <w:tc>
          <w:tcPr>
            <w:tcW w:w="2693" w:type="dxa"/>
          </w:tcPr>
          <w:p>
            <w:pPr>
              <w:adjustRightInd w:val="0"/>
              <w:snapToGrid w:val="0"/>
              <w:jc w:val="center"/>
              <w:rPr>
                <w:rFonts w:ascii="宋体" w:hAnsi="宋体"/>
                <w:color w:val="FF0000"/>
                <w:szCs w:val="21"/>
              </w:rPr>
            </w:pPr>
            <w:r>
              <w:rPr>
                <w:rFonts w:hint="eastAsia" w:ascii="宋体" w:hAnsi="宋体" w:eastAsia="宋体" w:cs="Times New Roman"/>
                <w:color w:val="auto"/>
                <w:szCs w:val="21"/>
              </w:rPr>
              <w:t>内部布线</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7</w:t>
            </w:r>
          </w:p>
        </w:tc>
        <w:tc>
          <w:tcPr>
            <w:tcW w:w="2693" w:type="dxa"/>
          </w:tcPr>
          <w:p>
            <w:pPr>
              <w:adjustRightInd w:val="0"/>
              <w:snapToGrid w:val="0"/>
              <w:jc w:val="center"/>
              <w:rPr>
                <w:rFonts w:ascii="宋体" w:hAnsi="宋体"/>
                <w:szCs w:val="21"/>
              </w:rPr>
            </w:pPr>
            <w:r>
              <w:rPr>
                <w:rFonts w:hint="eastAsia" w:ascii="宋体" w:hAnsi="宋体"/>
                <w:szCs w:val="21"/>
              </w:rPr>
              <w:t>电源连接和外部软线</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17" w:type="dxa"/>
          </w:tcPr>
          <w:p>
            <w:pPr>
              <w:snapToGrid w:val="0"/>
              <w:spacing w:line="440" w:lineRule="exact"/>
              <w:jc w:val="center"/>
              <w:rPr>
                <w:rFonts w:hint="default" w:ascii="宋体" w:hAnsi="宋体"/>
                <w:szCs w:val="21"/>
                <w:highlight w:val="none"/>
                <w:lang w:val="en-US" w:eastAsia="zh-CN"/>
              </w:rPr>
            </w:pPr>
            <w:r>
              <w:rPr>
                <w:rFonts w:hint="eastAsia" w:ascii="宋体" w:hAnsi="宋体"/>
                <w:szCs w:val="21"/>
                <w:highlight w:val="none"/>
                <w:lang w:val="en-US" w:eastAsia="zh-CN"/>
              </w:rPr>
              <w:t>8</w:t>
            </w:r>
          </w:p>
        </w:tc>
        <w:tc>
          <w:tcPr>
            <w:tcW w:w="2693" w:type="dxa"/>
          </w:tcPr>
          <w:p>
            <w:pPr>
              <w:adjustRightInd w:val="0"/>
              <w:snapToGrid w:val="0"/>
              <w:jc w:val="center"/>
              <w:rPr>
                <w:rFonts w:hint="eastAsia" w:ascii="宋体" w:hAnsi="宋体"/>
                <w:szCs w:val="21"/>
              </w:rPr>
            </w:pPr>
            <w:r>
              <w:rPr>
                <w:rFonts w:hint="eastAsia" w:ascii="宋体" w:hAnsi="宋体" w:cs="方正仿宋_GBK"/>
                <w:color w:val="000000" w:themeColor="text1"/>
                <w:kern w:val="0"/>
                <w:sz w:val="21"/>
                <w:szCs w:val="21"/>
                <w:lang w:bidi="ar"/>
                <w14:textFill>
                  <w14:solidFill>
                    <w14:schemeClr w14:val="tx1"/>
                  </w14:solidFill>
                </w14:textFill>
              </w:rPr>
              <w:t>非正常工作（只进行折叠的试验）</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17" w:type="dxa"/>
          </w:tcPr>
          <w:p>
            <w:pPr>
              <w:snapToGrid w:val="0"/>
              <w:spacing w:line="440" w:lineRule="exact"/>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9</w:t>
            </w:r>
          </w:p>
        </w:tc>
        <w:tc>
          <w:tcPr>
            <w:tcW w:w="2693" w:type="dxa"/>
          </w:tcPr>
          <w:p>
            <w:pPr>
              <w:adjustRightInd w:val="0"/>
              <w:snapToGrid w:val="0"/>
              <w:jc w:val="center"/>
              <w:rPr>
                <w:rFonts w:ascii="宋体" w:hAnsi="宋体"/>
                <w:szCs w:val="21"/>
              </w:rPr>
            </w:pPr>
            <w:r>
              <w:rPr>
                <w:rFonts w:hint="eastAsia" w:ascii="宋体" w:hAnsi="宋体"/>
                <w:szCs w:val="21"/>
              </w:rPr>
              <w:t>电气间隙、爬电距离和固体绝缘</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rPr>
              <w:t>-2008</w:t>
            </w:r>
          </w:p>
        </w:tc>
      </w:tr>
    </w:tbl>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w:t>
      </w:r>
    </w:p>
    <w:p>
      <w:pPr>
        <w:snapToGrid w:val="0"/>
        <w:spacing w:line="440" w:lineRule="exact"/>
        <w:ind w:firstLine="359" w:firstLineChars="171"/>
        <w:rPr>
          <w:rFonts w:ascii="宋体" w:hAnsi="宋体"/>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widowControl/>
        <w:shd w:val="clear" w:color="auto" w:fill="FFFFFF"/>
        <w:spacing w:line="360" w:lineRule="atLeast"/>
        <w:ind w:firstLine="420" w:firstLineChars="200"/>
        <w:jc w:val="left"/>
        <w:outlineLvl w:val="0"/>
        <w:rPr>
          <w:rFonts w:ascii="宋体" w:hAnsi="宋体"/>
          <w:szCs w:val="21"/>
        </w:rPr>
      </w:pPr>
      <w:r>
        <w:rPr>
          <w:rFonts w:hint="eastAsia" w:ascii="宋体" w:hAnsi="宋体"/>
          <w:szCs w:val="21"/>
        </w:rPr>
        <w:t>GB 4706.1-2005 《家用和类似用途电器的安全 第1部分：通用要求》</w:t>
      </w:r>
    </w:p>
    <w:p>
      <w:pPr>
        <w:pStyle w:val="2"/>
        <w:shd w:val="clear" w:color="auto" w:fill="FFFFFF"/>
        <w:spacing w:before="0" w:beforeAutospacing="0" w:after="0" w:afterAutospacing="0" w:line="360" w:lineRule="atLeast"/>
        <w:ind w:firstLine="420" w:firstLineChars="200"/>
        <w:rPr>
          <w:b w:val="0"/>
          <w:bCs w:val="0"/>
          <w:kern w:val="2"/>
          <w:sz w:val="21"/>
          <w:szCs w:val="21"/>
        </w:rPr>
      </w:pPr>
      <w:r>
        <w:rPr>
          <w:rFonts w:hint="eastAsia"/>
          <w:b w:val="0"/>
          <w:bCs w:val="0"/>
          <w:kern w:val="2"/>
          <w:sz w:val="21"/>
          <w:szCs w:val="21"/>
        </w:rPr>
        <w:t>GB 4706.8-2008 《家用和类似用途电器的安全 电热毯、电热垫及类似柔性发热器具》</w:t>
      </w:r>
    </w:p>
    <w:p>
      <w:pPr>
        <w:pStyle w:val="2"/>
        <w:shd w:val="clear" w:color="auto" w:fill="FFFFFF"/>
        <w:spacing w:before="0" w:beforeAutospacing="0" w:after="0" w:afterAutospacing="0" w:line="360" w:lineRule="atLeast"/>
        <w:ind w:firstLine="420" w:firstLineChars="200"/>
        <w:rPr>
          <w:b w:val="0"/>
          <w:bCs w:val="0"/>
          <w:kern w:val="2"/>
          <w:sz w:val="21"/>
          <w:szCs w:val="21"/>
        </w:rPr>
      </w:pPr>
      <w:r>
        <w:rPr>
          <w:rFonts w:hint="eastAsia"/>
          <w:b w:val="0"/>
          <w:bCs w:val="0"/>
          <w:kern w:val="2"/>
          <w:sz w:val="21"/>
          <w:szCs w:val="21"/>
        </w:rPr>
        <w:t>相关的法律、行政法规、部门规章、规范性文件</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p>
    <w:p>
      <w:pPr>
        <w:snapToGrid w:val="0"/>
        <w:spacing w:line="440" w:lineRule="exact"/>
        <w:rPr>
          <w:rFonts w:ascii="宋体" w:hAnsi="宋体"/>
          <w:szCs w:val="21"/>
        </w:rPr>
      </w:pPr>
    </w:p>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Sim Sun">
    <w:altName w:val="宋体"/>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32A"/>
    <w:rsid w:val="00DF65D3"/>
    <w:rsid w:val="00F3532A"/>
    <w:rsid w:val="0CAD579C"/>
    <w:rsid w:val="2B365066"/>
    <w:rsid w:val="40432B48"/>
    <w:rsid w:val="4EE76ED6"/>
    <w:rsid w:val="57ED41D8"/>
    <w:rsid w:val="69CF2D25"/>
    <w:rsid w:val="72063CB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Times New Roman"/>
      <w:b/>
      <w:bCs/>
      <w:kern w:val="36"/>
      <w:sz w:val="48"/>
      <w:szCs w:val="48"/>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标题 1 Char"/>
    <w:basedOn w:val="5"/>
    <w:link w:val="2"/>
    <w:qFormat/>
    <w:uiPriority w:val="9"/>
    <w:rPr>
      <w:b/>
      <w:bCs/>
      <w:kern w:val="44"/>
      <w:sz w:val="44"/>
      <w:szCs w:val="44"/>
    </w:rPr>
  </w:style>
  <w:style w:type="character" w:customStyle="1" w:styleId="11">
    <w:name w:val="标题 1 Char1"/>
    <w:link w:val="2"/>
    <w:qFormat/>
    <w:uiPriority w:val="9"/>
    <w:rPr>
      <w:rFonts w:ascii="宋体" w:hAnsi="宋体" w:eastAsia="宋体" w:cs="Times New Roman"/>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224</Words>
  <Characters>1281</Characters>
  <Lines>10</Lines>
  <Paragraphs>3</Paragraphs>
  <ScaleCrop>false</ScaleCrop>
  <LinksUpToDate>false</LinksUpToDate>
  <CharactersWithSpaces>1502</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2020-09-11T07:26:00Z</dcterms:created>
  <dc:creator>pc</dc:creator>
  <cp:lastModifiedBy>张健</cp:lastModifiedBy>
  <dcterms:modified xsi:type="dcterms:W3CDTF">2021-09-13T01:40:26Z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