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重庆市室内加热器产品质量监督抽查实施细则</w:t>
      </w:r>
    </w:p>
    <w:p>
      <w:pPr>
        <w:snapToGrid w:val="0"/>
        <w:spacing w:line="360" w:lineRule="auto"/>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（202</w:t>
      </w:r>
      <w:r>
        <w:rPr>
          <w:rFonts w:hint="eastAsia" w:ascii="方正小标宋简体" w:hAnsi="仿宋" w:eastAsia="方正小标宋简体" w:cs="方正仿宋简体"/>
          <w:color w:val="000000"/>
          <w:sz w:val="32"/>
          <w:szCs w:val="32"/>
          <w:lang w:val="en-US" w:eastAsia="zh-CN"/>
        </w:rPr>
        <w:t>1年三季度</w:t>
      </w:r>
      <w:r>
        <w:rPr>
          <w:rFonts w:hint="eastAsia" w:ascii="方正小标宋简体" w:hAnsi="仿宋" w:eastAsia="方正小标宋简体" w:cs="方正仿宋简体"/>
          <w:color w:val="000000"/>
          <w:sz w:val="32"/>
          <w:szCs w:val="32"/>
        </w:rPr>
        <w:t>）</w:t>
      </w:r>
    </w:p>
    <w:p>
      <w:pPr>
        <w:snapToGrid w:val="0"/>
        <w:spacing w:line="440" w:lineRule="exact"/>
        <w:ind w:firstLine="359" w:firstLineChars="171"/>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szCs w:val="21"/>
        </w:rPr>
      </w:pPr>
      <w:r>
        <w:rPr>
          <w:rFonts w:hint="eastAsia" w:ascii="宋体" w:hAnsi="宋体"/>
          <w:szCs w:val="21"/>
        </w:rPr>
        <w:t>在生产者、销售者的待销产品中随机抽取有产品质量检验合格证明或者以其他形式表明合格的、近期生产的产品。</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抽查样品基数满足抽样数量即可。</w:t>
      </w:r>
    </w:p>
    <w:p>
      <w:pPr>
        <w:snapToGrid w:val="0"/>
        <w:spacing w:line="440" w:lineRule="exact"/>
        <w:ind w:firstLine="420" w:firstLineChars="200"/>
        <w:rPr>
          <w:rFonts w:hint="eastAsia" w:ascii="宋体" w:hAnsi="宋体"/>
          <w:color w:val="000000"/>
          <w:szCs w:val="21"/>
        </w:rPr>
      </w:pPr>
      <w:r>
        <w:rPr>
          <w:rFonts w:hint="eastAsia" w:ascii="宋体" w:hAnsi="宋体"/>
          <w:szCs w:val="21"/>
        </w:rPr>
        <w:t>同一生产者按照同一标准生产的同一商标、同一规格型号的产品</w:t>
      </w:r>
      <w:bookmarkStart w:id="0" w:name="_GoBack"/>
      <w:bookmarkEnd w:id="0"/>
      <w:r>
        <w:rPr>
          <w:rFonts w:hint="eastAsia" w:ascii="宋体" w:hAnsi="宋体"/>
          <w:color w:val="000000"/>
          <w:szCs w:val="21"/>
        </w:rPr>
        <w:t>抽取样品2台，其中1台作为检验样品，1台作为备用样品。</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随机数一般可使用随机数表、随机数骰子或扑克牌等方法产生。</w:t>
      </w:r>
    </w:p>
    <w:p>
      <w:pPr>
        <w:widowControl/>
        <w:jc w:val="left"/>
        <w:rPr>
          <w:rFonts w:hint="eastAsia"/>
          <w:szCs w:val="20"/>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napToGrid w:val="0"/>
        <w:spacing w:line="440" w:lineRule="exact"/>
        <w:ind w:firstLine="420" w:firstLineChars="200"/>
        <w:jc w:val="left"/>
        <w:rPr>
          <w:rFonts w:hint="eastAsia" w:ascii="宋体" w:hAnsi="宋体"/>
          <w:color w:val="000000"/>
          <w:szCs w:val="21"/>
        </w:rPr>
      </w:pPr>
      <w:r>
        <w:rPr>
          <w:rFonts w:hint="eastAsia" w:ascii="宋体" w:hAnsi="宋体"/>
          <w:color w:val="000000"/>
          <w:szCs w:val="21"/>
        </w:rPr>
        <w:t xml:space="preserve"> </w:t>
      </w:r>
    </w:p>
    <w:p>
      <w:pPr>
        <w:snapToGrid w:val="0"/>
        <w:spacing w:line="440" w:lineRule="exact"/>
        <w:jc w:val="center"/>
        <w:rPr>
          <w:rFonts w:hint="eastAsia" w:ascii="宋体" w:hAnsi="宋体"/>
          <w:color w:val="000000"/>
          <w:szCs w:val="21"/>
        </w:rPr>
      </w:pPr>
      <w:r>
        <w:rPr>
          <w:rFonts w:hint="eastAsia" w:ascii="宋体" w:hAnsi="宋体"/>
          <w:color w:val="000000"/>
          <w:szCs w:val="21"/>
        </w:rPr>
        <w:t xml:space="preserve">表1  </w:t>
      </w:r>
      <w:r>
        <w:rPr>
          <w:rFonts w:ascii="宋体" w:hAnsi="宋体"/>
          <w:color w:val="000000"/>
          <w:szCs w:val="21"/>
        </w:rPr>
        <w:t>检验项目</w:t>
      </w:r>
      <w:r>
        <w:rPr>
          <w:rFonts w:hint="eastAsia" w:ascii="宋体" w:hAnsi="宋体"/>
          <w:color w:val="000000"/>
          <w:szCs w:val="21"/>
        </w:rPr>
        <w:t>和</w:t>
      </w:r>
      <w:r>
        <w:rPr>
          <w:rFonts w:ascii="宋体" w:hAnsi="宋体"/>
          <w:color w:val="000000"/>
          <w:szCs w:val="21"/>
        </w:rPr>
        <w:t>依据</w:t>
      </w:r>
    </w:p>
    <w:tbl>
      <w:tblPr>
        <w:tblStyle w:val="3"/>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693"/>
        <w:gridCol w:w="2835"/>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blHeader/>
        </w:trPr>
        <w:tc>
          <w:tcPr>
            <w:tcW w:w="817" w:type="dxa"/>
            <w:vAlign w:val="center"/>
          </w:tcPr>
          <w:p>
            <w:pPr>
              <w:snapToGrid w:val="0"/>
              <w:spacing w:line="440" w:lineRule="exact"/>
              <w:jc w:val="center"/>
              <w:rPr>
                <w:rFonts w:hint="eastAsia" w:ascii="宋体" w:hAnsi="宋体"/>
                <w:b/>
                <w:color w:val="000000"/>
                <w:szCs w:val="21"/>
              </w:rPr>
            </w:pPr>
            <w:r>
              <w:rPr>
                <w:rFonts w:hint="eastAsia" w:ascii="宋体" w:hAnsi="宋体"/>
                <w:b/>
                <w:color w:val="000000"/>
                <w:szCs w:val="21"/>
              </w:rPr>
              <w:t>序号</w:t>
            </w:r>
          </w:p>
        </w:tc>
        <w:tc>
          <w:tcPr>
            <w:tcW w:w="2693" w:type="dxa"/>
            <w:vAlign w:val="center"/>
          </w:tcPr>
          <w:p>
            <w:pPr>
              <w:snapToGrid w:val="0"/>
              <w:spacing w:line="440" w:lineRule="exact"/>
              <w:jc w:val="center"/>
              <w:rPr>
                <w:rFonts w:hint="eastAsia" w:ascii="宋体" w:hAnsi="宋体"/>
                <w:b/>
                <w:color w:val="000000"/>
                <w:szCs w:val="21"/>
              </w:rPr>
            </w:pPr>
            <w:r>
              <w:rPr>
                <w:rFonts w:hint="eastAsia" w:ascii="宋体" w:hAnsi="宋体"/>
                <w:b/>
                <w:color w:val="000000"/>
                <w:szCs w:val="21"/>
              </w:rPr>
              <w:t>检验项目</w:t>
            </w:r>
          </w:p>
        </w:tc>
        <w:tc>
          <w:tcPr>
            <w:tcW w:w="2835" w:type="dxa"/>
            <w:vAlign w:val="center"/>
          </w:tcPr>
          <w:p>
            <w:pPr>
              <w:snapToGrid w:val="0"/>
              <w:spacing w:line="440" w:lineRule="exact"/>
              <w:jc w:val="center"/>
              <w:rPr>
                <w:rFonts w:hint="eastAsia" w:ascii="宋体" w:hAnsi="宋体"/>
                <w:b/>
                <w:color w:val="000000"/>
                <w:szCs w:val="21"/>
              </w:rPr>
            </w:pPr>
            <w:r>
              <w:rPr>
                <w:rFonts w:hint="eastAsia" w:ascii="宋体" w:hAnsi="宋体"/>
                <w:b/>
                <w:color w:val="000000"/>
                <w:szCs w:val="21"/>
              </w:rPr>
              <w:t>判定依据</w:t>
            </w:r>
          </w:p>
        </w:tc>
        <w:tc>
          <w:tcPr>
            <w:tcW w:w="2828" w:type="dxa"/>
            <w:vAlign w:val="center"/>
          </w:tcPr>
          <w:p>
            <w:pPr>
              <w:snapToGrid w:val="0"/>
              <w:spacing w:line="440" w:lineRule="exact"/>
              <w:jc w:val="center"/>
              <w:rPr>
                <w:rFonts w:hint="eastAsia" w:ascii="宋体" w:hAnsi="宋体"/>
                <w:b/>
                <w:color w:val="000000"/>
                <w:szCs w:val="21"/>
              </w:rPr>
            </w:pPr>
            <w:r>
              <w:rPr>
                <w:rFonts w:hint="eastAsia" w:ascii="宋体" w:hAnsi="宋体"/>
                <w:b/>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17" w:type="dxa"/>
            <w:vAlign w:val="top"/>
          </w:tcPr>
          <w:p>
            <w:pPr>
              <w:snapToGrid w:val="0"/>
              <w:spacing w:line="440" w:lineRule="exact"/>
              <w:jc w:val="center"/>
              <w:rPr>
                <w:rFonts w:hint="eastAsia" w:ascii="宋体" w:hAnsi="宋体"/>
                <w:color w:val="000000"/>
                <w:szCs w:val="21"/>
              </w:rPr>
            </w:pPr>
            <w:r>
              <w:rPr>
                <w:rFonts w:hint="eastAsia" w:ascii="宋体" w:hAnsi="宋体"/>
                <w:color w:val="000000"/>
                <w:szCs w:val="21"/>
              </w:rPr>
              <w:t xml:space="preserve"> 1</w:t>
            </w:r>
          </w:p>
        </w:tc>
        <w:tc>
          <w:tcPr>
            <w:tcW w:w="2693" w:type="dxa"/>
            <w:vAlign w:val="center"/>
          </w:tcPr>
          <w:p>
            <w:pPr>
              <w:adjustRightInd w:val="0"/>
              <w:snapToGrid w:val="0"/>
              <w:jc w:val="center"/>
              <w:rPr>
                <w:rFonts w:hint="eastAsia" w:ascii="宋体" w:hAnsi="宋体"/>
                <w:color w:val="000000"/>
                <w:szCs w:val="21"/>
              </w:rPr>
            </w:pPr>
            <w:r>
              <w:rPr>
                <w:rFonts w:hint="eastAsia" w:ascii="宋体" w:hAnsi="宋体"/>
                <w:color w:val="000000"/>
                <w:szCs w:val="21"/>
              </w:rPr>
              <w:t>对触及带电部件的防护</w:t>
            </w:r>
          </w:p>
        </w:tc>
        <w:tc>
          <w:tcPr>
            <w:tcW w:w="2835" w:type="dxa"/>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hint="eastAsia"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c>
          <w:tcPr>
            <w:tcW w:w="2828" w:type="dxa"/>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hint="eastAsia"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17" w:type="dxa"/>
            <w:vAlign w:val="top"/>
          </w:tcPr>
          <w:p>
            <w:pPr>
              <w:snapToGrid w:val="0"/>
              <w:spacing w:line="440" w:lineRule="exact"/>
              <w:jc w:val="center"/>
              <w:rPr>
                <w:rFonts w:hint="eastAsia" w:ascii="宋体" w:hAnsi="宋体"/>
                <w:color w:val="000000"/>
                <w:szCs w:val="21"/>
              </w:rPr>
            </w:pPr>
            <w:r>
              <w:rPr>
                <w:rFonts w:hint="eastAsia" w:ascii="宋体" w:hAnsi="宋体"/>
                <w:color w:val="000000"/>
                <w:szCs w:val="21"/>
              </w:rPr>
              <w:t>2</w:t>
            </w:r>
          </w:p>
        </w:tc>
        <w:tc>
          <w:tcPr>
            <w:tcW w:w="2693" w:type="dxa"/>
            <w:vAlign w:val="center"/>
          </w:tcPr>
          <w:p>
            <w:pPr>
              <w:adjustRightInd w:val="0"/>
              <w:snapToGrid w:val="0"/>
              <w:jc w:val="center"/>
              <w:rPr>
                <w:rFonts w:hint="eastAsia" w:ascii="宋体" w:hAnsi="宋体"/>
                <w:color w:val="000000"/>
                <w:szCs w:val="21"/>
              </w:rPr>
            </w:pPr>
            <w:r>
              <w:rPr>
                <w:rFonts w:hint="eastAsia" w:ascii="宋体" w:hAnsi="宋体"/>
                <w:color w:val="000000"/>
                <w:szCs w:val="21"/>
              </w:rPr>
              <w:t>输入功率和电流</w:t>
            </w:r>
          </w:p>
        </w:tc>
        <w:tc>
          <w:tcPr>
            <w:tcW w:w="2835" w:type="dxa"/>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hint="eastAsia"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c>
          <w:tcPr>
            <w:tcW w:w="2828" w:type="dxa"/>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hint="eastAsia"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17" w:type="dxa"/>
            <w:vAlign w:val="top"/>
          </w:tcPr>
          <w:p>
            <w:pPr>
              <w:snapToGrid w:val="0"/>
              <w:spacing w:line="440" w:lineRule="exact"/>
              <w:jc w:val="center"/>
              <w:rPr>
                <w:rFonts w:hint="eastAsia" w:ascii="宋体" w:hAnsi="宋体"/>
                <w:color w:val="000000"/>
                <w:szCs w:val="21"/>
              </w:rPr>
            </w:pPr>
            <w:r>
              <w:rPr>
                <w:rFonts w:hint="eastAsia" w:ascii="宋体" w:hAnsi="宋体"/>
                <w:color w:val="000000"/>
                <w:szCs w:val="21"/>
                <w:lang w:val="en-US" w:eastAsia="zh-CN"/>
              </w:rPr>
              <w:t>3</w:t>
            </w:r>
          </w:p>
        </w:tc>
        <w:tc>
          <w:tcPr>
            <w:tcW w:w="2693" w:type="dxa"/>
            <w:vAlign w:val="center"/>
          </w:tcPr>
          <w:p>
            <w:pPr>
              <w:adjustRightInd w:val="0"/>
              <w:snapToGrid w:val="0"/>
              <w:jc w:val="center"/>
              <w:rPr>
                <w:rFonts w:hint="eastAsia" w:ascii="宋体" w:hAnsi="宋体"/>
                <w:color w:val="000000"/>
                <w:szCs w:val="21"/>
              </w:rPr>
            </w:pPr>
            <w:r>
              <w:rPr>
                <w:rFonts w:hint="eastAsia" w:ascii="宋体" w:hAnsi="宋体"/>
                <w:color w:val="000000"/>
                <w:szCs w:val="21"/>
              </w:rPr>
              <w:t>工作温度下的电气绝缘和泄漏电流</w:t>
            </w:r>
          </w:p>
        </w:tc>
        <w:tc>
          <w:tcPr>
            <w:tcW w:w="2835" w:type="dxa"/>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hint="eastAsia"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c>
          <w:tcPr>
            <w:tcW w:w="2828" w:type="dxa"/>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hint="eastAsia"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top"/>
          </w:tcPr>
          <w:p>
            <w:pPr>
              <w:snapToGrid w:val="0"/>
              <w:spacing w:line="440" w:lineRule="exact"/>
              <w:jc w:val="center"/>
              <w:rPr>
                <w:rFonts w:hint="eastAsia" w:ascii="宋体" w:hAnsi="宋体"/>
                <w:color w:val="000000"/>
                <w:szCs w:val="21"/>
              </w:rPr>
            </w:pPr>
            <w:r>
              <w:rPr>
                <w:rFonts w:hint="eastAsia" w:ascii="宋体" w:hAnsi="宋体"/>
                <w:color w:val="000000"/>
                <w:szCs w:val="21"/>
                <w:lang w:val="en-US" w:eastAsia="zh-CN"/>
              </w:rPr>
              <w:t>4</w:t>
            </w:r>
          </w:p>
        </w:tc>
        <w:tc>
          <w:tcPr>
            <w:tcW w:w="2693" w:type="dxa"/>
            <w:vAlign w:val="center"/>
          </w:tcPr>
          <w:p>
            <w:pPr>
              <w:adjustRightInd w:val="0"/>
              <w:snapToGrid w:val="0"/>
              <w:jc w:val="center"/>
              <w:rPr>
                <w:rFonts w:hint="eastAsia" w:ascii="宋体" w:hAnsi="宋体"/>
                <w:color w:val="000000"/>
                <w:szCs w:val="21"/>
              </w:rPr>
            </w:pPr>
            <w:r>
              <w:rPr>
                <w:rFonts w:hint="eastAsia" w:ascii="宋体" w:hAnsi="宋体"/>
                <w:color w:val="000000"/>
                <w:szCs w:val="21"/>
              </w:rPr>
              <w:t>稳定性和机械危险</w:t>
            </w:r>
          </w:p>
        </w:tc>
        <w:tc>
          <w:tcPr>
            <w:tcW w:w="2835" w:type="dxa"/>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hint="eastAsia"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c>
          <w:tcPr>
            <w:tcW w:w="2828" w:type="dxa"/>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hint="eastAsia"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top"/>
          </w:tcPr>
          <w:p>
            <w:pPr>
              <w:snapToGrid w:val="0"/>
              <w:spacing w:line="440" w:lineRule="exact"/>
              <w:jc w:val="center"/>
              <w:rPr>
                <w:rFonts w:hint="eastAsia" w:ascii="宋体" w:hAnsi="宋体"/>
                <w:color w:val="000000"/>
                <w:szCs w:val="21"/>
              </w:rPr>
            </w:pPr>
            <w:r>
              <w:rPr>
                <w:rFonts w:hint="eastAsia" w:ascii="宋体" w:hAnsi="宋体"/>
                <w:color w:val="000000"/>
                <w:szCs w:val="21"/>
                <w:lang w:val="en-US" w:eastAsia="zh-CN"/>
              </w:rPr>
              <w:t>5</w:t>
            </w:r>
          </w:p>
        </w:tc>
        <w:tc>
          <w:tcPr>
            <w:tcW w:w="2693" w:type="dxa"/>
            <w:vAlign w:val="center"/>
          </w:tcPr>
          <w:p>
            <w:pPr>
              <w:adjustRightInd w:val="0"/>
              <w:snapToGrid w:val="0"/>
              <w:jc w:val="center"/>
              <w:rPr>
                <w:rFonts w:hint="eastAsia" w:ascii="宋体" w:hAnsi="宋体"/>
                <w:color w:val="000000"/>
                <w:szCs w:val="21"/>
              </w:rPr>
            </w:pPr>
            <w:r>
              <w:rPr>
                <w:rFonts w:hint="eastAsia" w:ascii="宋体" w:hAnsi="宋体"/>
                <w:color w:val="000000"/>
                <w:szCs w:val="21"/>
              </w:rPr>
              <w:t>结构</w:t>
            </w:r>
            <w:r>
              <w:rPr>
                <w:rFonts w:hint="eastAsia" w:ascii="宋体" w:hAnsi="宋体" w:eastAsia="宋体" w:cs="Times New Roman"/>
                <w:color w:val="000000"/>
                <w:kern w:val="2"/>
                <w:sz w:val="21"/>
                <w:szCs w:val="21"/>
                <w:lang w:bidi="ar-SA"/>
              </w:rPr>
              <w:t>（不包括22.46条的试验）</w:t>
            </w:r>
          </w:p>
        </w:tc>
        <w:tc>
          <w:tcPr>
            <w:tcW w:w="2835" w:type="dxa"/>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hint="eastAsia"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c>
          <w:tcPr>
            <w:tcW w:w="2828" w:type="dxa"/>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hint="eastAsia"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top"/>
          </w:tcPr>
          <w:p>
            <w:pPr>
              <w:snapToGrid w:val="0"/>
              <w:spacing w:line="440" w:lineRule="exact"/>
              <w:jc w:val="center"/>
              <w:rPr>
                <w:rFonts w:hint="eastAsia" w:ascii="宋体" w:hAnsi="宋体"/>
                <w:color w:val="000000"/>
                <w:szCs w:val="21"/>
              </w:rPr>
            </w:pPr>
            <w:r>
              <w:rPr>
                <w:rFonts w:hint="eastAsia" w:ascii="宋体" w:hAnsi="宋体"/>
                <w:color w:val="000000"/>
                <w:szCs w:val="21"/>
                <w:lang w:val="en-US" w:eastAsia="zh-CN"/>
              </w:rPr>
              <w:t>6</w:t>
            </w:r>
          </w:p>
        </w:tc>
        <w:tc>
          <w:tcPr>
            <w:tcW w:w="2693" w:type="dxa"/>
            <w:vAlign w:val="center"/>
          </w:tcPr>
          <w:p>
            <w:pPr>
              <w:adjustRightInd w:val="0"/>
              <w:snapToGrid w:val="0"/>
              <w:jc w:val="center"/>
              <w:rPr>
                <w:rFonts w:hint="eastAsia" w:ascii="宋体" w:hAnsi="宋体"/>
                <w:color w:val="000000"/>
                <w:szCs w:val="21"/>
              </w:rPr>
            </w:pPr>
            <w:r>
              <w:rPr>
                <w:rFonts w:hint="eastAsia" w:ascii="宋体" w:hAnsi="宋体"/>
                <w:color w:val="000000"/>
                <w:szCs w:val="21"/>
              </w:rPr>
              <w:t>内部布线</w:t>
            </w:r>
          </w:p>
        </w:tc>
        <w:tc>
          <w:tcPr>
            <w:tcW w:w="2835" w:type="dxa"/>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hint="eastAsia"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c>
          <w:tcPr>
            <w:tcW w:w="2828" w:type="dxa"/>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hint="eastAsia"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top"/>
          </w:tcPr>
          <w:p>
            <w:pPr>
              <w:snapToGrid w:val="0"/>
              <w:spacing w:line="440" w:lineRule="exact"/>
              <w:jc w:val="center"/>
              <w:rPr>
                <w:rFonts w:hint="eastAsia" w:ascii="宋体" w:hAnsi="宋体"/>
                <w:color w:val="000000"/>
                <w:szCs w:val="21"/>
              </w:rPr>
            </w:pPr>
            <w:r>
              <w:rPr>
                <w:rFonts w:hint="eastAsia" w:ascii="宋体" w:hAnsi="宋体"/>
                <w:color w:val="000000"/>
                <w:szCs w:val="21"/>
                <w:lang w:val="en-US" w:eastAsia="zh-CN"/>
              </w:rPr>
              <w:t>7</w:t>
            </w:r>
          </w:p>
        </w:tc>
        <w:tc>
          <w:tcPr>
            <w:tcW w:w="2693" w:type="dxa"/>
            <w:vAlign w:val="center"/>
          </w:tcPr>
          <w:p>
            <w:pPr>
              <w:adjustRightInd w:val="0"/>
              <w:snapToGrid w:val="0"/>
              <w:jc w:val="center"/>
              <w:rPr>
                <w:rFonts w:hint="eastAsia" w:ascii="宋体" w:hAnsi="宋体"/>
                <w:color w:val="000000"/>
                <w:szCs w:val="21"/>
              </w:rPr>
            </w:pPr>
            <w:r>
              <w:rPr>
                <w:rFonts w:hint="eastAsia" w:ascii="宋体" w:hAnsi="宋体"/>
                <w:color w:val="000000"/>
                <w:szCs w:val="21"/>
              </w:rPr>
              <w:t>电源连接和外部软线</w:t>
            </w:r>
          </w:p>
        </w:tc>
        <w:tc>
          <w:tcPr>
            <w:tcW w:w="2835" w:type="dxa"/>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hint="eastAsia"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c>
          <w:tcPr>
            <w:tcW w:w="2828" w:type="dxa"/>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hint="eastAsia"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top"/>
          </w:tcPr>
          <w:p>
            <w:pPr>
              <w:snapToGrid w:val="0"/>
              <w:spacing w:line="440" w:lineRule="exact"/>
              <w:jc w:val="center"/>
              <w:rPr>
                <w:rFonts w:hint="eastAsia" w:ascii="宋体" w:hAnsi="宋体"/>
                <w:color w:val="000000"/>
                <w:szCs w:val="21"/>
              </w:rPr>
            </w:pPr>
            <w:r>
              <w:rPr>
                <w:rFonts w:hint="eastAsia" w:ascii="宋体" w:hAnsi="宋体"/>
                <w:color w:val="000000"/>
                <w:szCs w:val="21"/>
                <w:lang w:val="en-US" w:eastAsia="zh-CN"/>
              </w:rPr>
              <w:t>8</w:t>
            </w:r>
          </w:p>
        </w:tc>
        <w:tc>
          <w:tcPr>
            <w:tcW w:w="2693" w:type="dxa"/>
            <w:vAlign w:val="center"/>
          </w:tcPr>
          <w:p>
            <w:pPr>
              <w:adjustRightInd w:val="0"/>
              <w:snapToGrid w:val="0"/>
              <w:jc w:val="center"/>
              <w:rPr>
                <w:rFonts w:hint="eastAsia" w:ascii="宋体" w:hAnsi="宋体"/>
                <w:color w:val="000000"/>
                <w:szCs w:val="21"/>
              </w:rPr>
            </w:pPr>
            <w:r>
              <w:rPr>
                <w:rFonts w:hint="eastAsia" w:ascii="宋体" w:hAnsi="宋体"/>
                <w:color w:val="000000"/>
                <w:szCs w:val="21"/>
              </w:rPr>
              <w:t>接地措施</w:t>
            </w:r>
          </w:p>
        </w:tc>
        <w:tc>
          <w:tcPr>
            <w:tcW w:w="2835" w:type="dxa"/>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c>
          <w:tcPr>
            <w:tcW w:w="2828" w:type="dxa"/>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Borders>
              <w:bottom w:val="single" w:color="auto" w:sz="4" w:space="0"/>
            </w:tcBorders>
            <w:vAlign w:val="top"/>
          </w:tcPr>
          <w:p>
            <w:pPr>
              <w:snapToGrid w:val="0"/>
              <w:spacing w:line="440" w:lineRule="exact"/>
              <w:jc w:val="center"/>
              <w:rPr>
                <w:rFonts w:hint="eastAsia" w:ascii="宋体" w:hAnsi="宋体"/>
                <w:color w:val="000000"/>
                <w:szCs w:val="21"/>
              </w:rPr>
            </w:pPr>
            <w:r>
              <w:rPr>
                <w:rFonts w:hint="eastAsia" w:ascii="宋体" w:hAnsi="宋体"/>
                <w:color w:val="000000"/>
                <w:szCs w:val="21"/>
                <w:lang w:val="en-US" w:eastAsia="zh-CN"/>
              </w:rPr>
              <w:t>9</w:t>
            </w:r>
          </w:p>
        </w:tc>
        <w:tc>
          <w:tcPr>
            <w:tcW w:w="2693" w:type="dxa"/>
            <w:tcBorders>
              <w:bottom w:val="single" w:color="auto" w:sz="4" w:space="0"/>
            </w:tcBorders>
            <w:vAlign w:val="center"/>
          </w:tcPr>
          <w:p>
            <w:pPr>
              <w:adjustRightInd w:val="0"/>
              <w:snapToGrid w:val="0"/>
              <w:jc w:val="center"/>
              <w:rPr>
                <w:rFonts w:hint="eastAsia" w:ascii="宋体" w:hAnsi="宋体"/>
                <w:color w:val="000000"/>
                <w:szCs w:val="21"/>
              </w:rPr>
            </w:pPr>
            <w:r>
              <w:rPr>
                <w:rFonts w:hint="eastAsia" w:ascii="宋体" w:hAnsi="宋体"/>
                <w:color w:val="000000"/>
                <w:szCs w:val="21"/>
              </w:rPr>
              <w:t>螺钉和连接</w:t>
            </w:r>
          </w:p>
        </w:tc>
        <w:tc>
          <w:tcPr>
            <w:tcW w:w="2835" w:type="dxa"/>
            <w:tcBorders>
              <w:bottom w:val="single" w:color="auto" w:sz="4" w:space="0"/>
            </w:tcBorders>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c>
          <w:tcPr>
            <w:tcW w:w="2828" w:type="dxa"/>
            <w:tcBorders>
              <w:bottom w:val="single" w:color="auto" w:sz="4" w:space="0"/>
            </w:tcBorders>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top"/>
          </w:tcPr>
          <w:p>
            <w:pPr>
              <w:snapToGrid w:val="0"/>
              <w:spacing w:line="440" w:lineRule="exact"/>
              <w:jc w:val="center"/>
              <w:rPr>
                <w:rFonts w:hint="eastAsia" w:ascii="宋体" w:hAnsi="宋体"/>
                <w:color w:val="000000"/>
                <w:szCs w:val="21"/>
              </w:rPr>
            </w:pPr>
            <w:r>
              <w:rPr>
                <w:rFonts w:hint="eastAsia" w:ascii="宋体" w:hAnsi="宋体"/>
                <w:color w:val="000000"/>
                <w:szCs w:val="21"/>
              </w:rPr>
              <w:t>1</w:t>
            </w:r>
            <w:r>
              <w:rPr>
                <w:rFonts w:hint="eastAsia" w:ascii="宋体" w:hAnsi="宋体"/>
                <w:color w:val="000000"/>
                <w:szCs w:val="21"/>
                <w:lang w:val="en-US" w:eastAsia="zh-CN"/>
              </w:rPr>
              <w:t>0</w:t>
            </w:r>
          </w:p>
        </w:tc>
        <w:tc>
          <w:tcPr>
            <w:tcW w:w="26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color w:val="000000"/>
                <w:szCs w:val="21"/>
              </w:rPr>
            </w:pPr>
            <w:r>
              <w:rPr>
                <w:rFonts w:hint="eastAsia" w:ascii="宋体" w:hAnsi="宋体"/>
                <w:color w:val="000000"/>
                <w:szCs w:val="21"/>
              </w:rPr>
              <w:t>电气间隙、爬电距离和固体绝缘</w:t>
            </w: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c>
          <w:tcPr>
            <w:tcW w:w="282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trPr>
        <w:tc>
          <w:tcPr>
            <w:tcW w:w="817" w:type="dxa"/>
            <w:tcBorders>
              <w:top w:val="single" w:color="auto" w:sz="4" w:space="0"/>
              <w:left w:val="single" w:color="auto" w:sz="4" w:space="0"/>
              <w:bottom w:val="single" w:color="auto" w:sz="4" w:space="0"/>
              <w:right w:val="single" w:color="auto" w:sz="4" w:space="0"/>
            </w:tcBorders>
            <w:vAlign w:val="top"/>
          </w:tcPr>
          <w:p>
            <w:pPr>
              <w:snapToGrid w:val="0"/>
              <w:spacing w:line="440" w:lineRule="exact"/>
              <w:jc w:val="center"/>
              <w:rPr>
                <w:rFonts w:hint="default" w:ascii="宋体" w:hAnsi="宋体" w:eastAsia="宋体"/>
                <w:color w:val="000000"/>
                <w:szCs w:val="21"/>
                <w:lang w:val="en-US" w:eastAsia="zh-CN"/>
              </w:rPr>
            </w:pPr>
            <w:r>
              <w:rPr>
                <w:rFonts w:hint="eastAsia" w:ascii="宋体" w:hAnsi="宋体"/>
                <w:color w:val="000000"/>
                <w:szCs w:val="21"/>
                <w:lang w:val="en-US" w:eastAsia="zh-CN"/>
              </w:rPr>
              <w:t>11</w:t>
            </w:r>
          </w:p>
        </w:tc>
        <w:tc>
          <w:tcPr>
            <w:tcW w:w="26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color w:val="000000"/>
                <w:szCs w:val="21"/>
              </w:rPr>
            </w:pPr>
            <w:r>
              <w:rPr>
                <w:rFonts w:hint="eastAsia" w:ascii="宋体" w:hAnsi="宋体" w:cs="方正仿宋_GBK"/>
                <w:color w:val="000000" w:themeColor="text1"/>
                <w:kern w:val="0"/>
                <w:sz w:val="21"/>
                <w:szCs w:val="21"/>
                <w:lang w:bidi="ar"/>
                <w14:textFill>
                  <w14:solidFill>
                    <w14:schemeClr w14:val="tx1"/>
                  </w14:solidFill>
                </w14:textFill>
              </w:rPr>
              <w:t>非正常工作（不包括第 19.11.4 条</w:t>
            </w:r>
            <w:r>
              <w:rPr>
                <w:rFonts w:hint="eastAsia" w:ascii="宋体" w:hAnsi="宋体" w:cs="方正仿宋_GBK"/>
                <w:color w:val="000000" w:themeColor="text1"/>
                <w:sz w:val="21"/>
                <w:szCs w:val="21"/>
                <w14:textFill>
                  <w14:solidFill>
                    <w14:schemeClr w14:val="tx1"/>
                  </w14:solidFill>
                </w14:textFill>
              </w:rPr>
              <w:t xml:space="preserve"> </w:t>
            </w:r>
            <w:r>
              <w:rPr>
                <w:rFonts w:hint="eastAsia" w:ascii="宋体" w:hAnsi="宋体" w:cs="方正仿宋_GBK"/>
                <w:color w:val="000000" w:themeColor="text1"/>
                <w:kern w:val="0"/>
                <w:sz w:val="21"/>
                <w:szCs w:val="21"/>
                <w:lang w:bidi="ar"/>
                <w14:textFill>
                  <w14:solidFill>
                    <w14:schemeClr w14:val="tx1"/>
                  </w14:solidFill>
                </w14:textFill>
              </w:rPr>
              <w:t>的试验）</w:t>
            </w: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eastAsia="宋体" w:cs="Times New Roman"/>
                <w:color w:val="000000"/>
                <w:kern w:val="2"/>
                <w:sz w:val="21"/>
                <w:szCs w:val="21"/>
                <w:lang w:val="en-US" w:eastAsia="zh-CN" w:bidi="ar-SA"/>
              </w:rPr>
            </w:pPr>
            <w:r>
              <w:rPr>
                <w:rFonts w:ascii="宋体" w:hAnsi="宋体"/>
                <w:color w:val="000000"/>
                <w:szCs w:val="21"/>
              </w:rPr>
              <w:t xml:space="preserve"> GB 4706.</w:t>
            </w:r>
            <w:r>
              <w:rPr>
                <w:rFonts w:hint="eastAsia" w:ascii="宋体" w:hAnsi="宋体"/>
                <w:color w:val="000000"/>
                <w:szCs w:val="21"/>
              </w:rPr>
              <w:t>23-2007</w:t>
            </w:r>
          </w:p>
        </w:tc>
        <w:tc>
          <w:tcPr>
            <w:tcW w:w="282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eastAsia="宋体" w:cs="Times New Roman"/>
                <w:color w:val="000000"/>
                <w:kern w:val="2"/>
                <w:sz w:val="21"/>
                <w:szCs w:val="21"/>
                <w:lang w:val="en-US" w:eastAsia="zh-CN" w:bidi="ar-SA"/>
              </w:rPr>
            </w:pPr>
            <w:r>
              <w:rPr>
                <w:rFonts w:ascii="宋体" w:hAnsi="宋体"/>
                <w:color w:val="000000"/>
                <w:szCs w:val="21"/>
              </w:rPr>
              <w:t xml:space="preserve"> GB 4706.</w:t>
            </w:r>
            <w:r>
              <w:rPr>
                <w:rFonts w:hint="eastAsia" w:ascii="宋体" w:hAnsi="宋体"/>
                <w:color w:val="000000"/>
                <w:szCs w:val="21"/>
              </w:rPr>
              <w:t>23-2007</w:t>
            </w:r>
          </w:p>
        </w:tc>
      </w:tr>
    </w:tbl>
    <w:p>
      <w:pPr>
        <w:snapToGrid w:val="0"/>
        <w:spacing w:line="440" w:lineRule="exact"/>
        <w:ind w:firstLine="359" w:firstLineChars="171"/>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w:t>
      </w:r>
    </w:p>
    <w:p>
      <w:pPr>
        <w:snapToGrid w:val="0"/>
        <w:spacing w:line="440" w:lineRule="exact"/>
        <w:ind w:firstLine="359" w:firstLineChars="171"/>
        <w:rPr>
          <w:rFonts w:ascii="宋体" w:hAnsi="宋体"/>
          <w:color w:val="000000"/>
          <w:szCs w:val="21"/>
        </w:rPr>
      </w:pPr>
    </w:p>
    <w:p>
      <w:pPr>
        <w:spacing w:line="360" w:lineRule="auto"/>
        <w:rPr>
          <w:rFonts w:hint="eastAsia"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color w:val="000000"/>
          <w:szCs w:val="21"/>
        </w:rPr>
      </w:pPr>
      <w:r>
        <w:rPr>
          <w:rFonts w:ascii="宋体" w:hAnsi="宋体"/>
          <w:color w:val="000000"/>
          <w:szCs w:val="21"/>
        </w:rPr>
        <w:t>GB 4706.1-2005</w:t>
      </w:r>
      <w:r>
        <w:rPr>
          <w:rFonts w:hint="eastAsia" w:ascii="宋体" w:hAnsi="宋体"/>
          <w:color w:val="000000"/>
          <w:szCs w:val="21"/>
        </w:rPr>
        <w:t>《家用和类似用途电器的安全</w:t>
      </w:r>
      <w:r>
        <w:rPr>
          <w:rFonts w:ascii="宋体" w:hAnsi="宋体"/>
          <w:color w:val="000000"/>
          <w:szCs w:val="21"/>
        </w:rPr>
        <w:t xml:space="preserve">  </w:t>
      </w:r>
      <w:r>
        <w:rPr>
          <w:rFonts w:hint="eastAsia" w:ascii="宋体" w:hAnsi="宋体"/>
          <w:color w:val="000000"/>
          <w:szCs w:val="21"/>
        </w:rPr>
        <w:t>第一部分：通用要求》</w:t>
      </w:r>
    </w:p>
    <w:p>
      <w:pPr>
        <w:snapToGrid w:val="0"/>
        <w:spacing w:line="440" w:lineRule="exact"/>
        <w:ind w:firstLine="420" w:firstLineChars="200"/>
        <w:rPr>
          <w:rFonts w:ascii="宋体" w:hAnsi="宋体"/>
          <w:color w:val="000000"/>
          <w:szCs w:val="21"/>
        </w:rPr>
      </w:pPr>
      <w:r>
        <w:rPr>
          <w:rFonts w:ascii="宋体" w:hAnsi="宋体"/>
          <w:color w:val="000000"/>
          <w:szCs w:val="21"/>
        </w:rPr>
        <w:t>GB 4706.2</w:t>
      </w:r>
      <w:r>
        <w:rPr>
          <w:rFonts w:hint="eastAsia" w:ascii="宋体" w:hAnsi="宋体"/>
          <w:color w:val="000000"/>
          <w:szCs w:val="21"/>
        </w:rPr>
        <w:t>3</w:t>
      </w:r>
      <w:r>
        <w:rPr>
          <w:rFonts w:ascii="宋体" w:hAnsi="宋体"/>
          <w:color w:val="000000"/>
          <w:szCs w:val="21"/>
        </w:rPr>
        <w:t>-200</w:t>
      </w:r>
      <w:r>
        <w:rPr>
          <w:rFonts w:hint="eastAsia" w:ascii="宋体" w:hAnsi="宋体"/>
          <w:color w:val="000000"/>
          <w:szCs w:val="21"/>
        </w:rPr>
        <w:t>7《家用和类似用途电器的安全</w:t>
      </w:r>
      <w:r>
        <w:rPr>
          <w:rFonts w:ascii="宋体" w:hAnsi="宋体"/>
          <w:color w:val="000000"/>
          <w:szCs w:val="21"/>
        </w:rPr>
        <w:t xml:space="preserve"> </w:t>
      </w:r>
      <w:r>
        <w:rPr>
          <w:rFonts w:hint="eastAsia" w:ascii="宋体" w:hAnsi="宋体"/>
          <w:color w:val="000000"/>
          <w:szCs w:val="21"/>
        </w:rPr>
        <w:t>第2部分：室内加热器的特殊要求》</w:t>
      </w:r>
      <w:r>
        <w:rPr>
          <w:rFonts w:ascii="宋体" w:hAnsi="宋体"/>
          <w:color w:val="000000"/>
          <w:szCs w:val="21"/>
        </w:rPr>
        <w:t xml:space="preserve"> </w:t>
      </w:r>
    </w:p>
    <w:p>
      <w:pPr>
        <w:widowControl w:val="0"/>
        <w:snapToGrid w:val="0"/>
        <w:spacing w:line="440" w:lineRule="exact"/>
        <w:ind w:firstLine="420" w:firstLineChars="200"/>
        <w:jc w:val="both"/>
        <w:rPr>
          <w:rFonts w:ascii="宋体" w:hAns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经检验，检验项目全部合格，判定为被抽查产品合格；检验项目中任一项或一项以上不合格，判定为被抽查产品不合格。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585DCB"/>
    <w:rsid w:val="11E21FA2"/>
    <w:rsid w:val="12605427"/>
    <w:rsid w:val="5F585DC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2021-08-30T01:46:00Z</dcterms:created>
  <dc:creator>陈思宇</dc:creator>
  <cp:lastModifiedBy>张健</cp:lastModifiedBy>
  <dcterms:modified xsi:type="dcterms:W3CDTF">2021-09-13T01:41:05Z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