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方正仿宋_GBK"/>
          <w:kern w:val="2"/>
          <w:szCs w:val="32"/>
        </w:rPr>
      </w:pPr>
    </w:p>
    <w:p>
      <w:pPr>
        <w:spacing w:line="579" w:lineRule="exact"/>
        <w:rPr>
          <w:rFonts w:ascii="方正仿宋_GBK"/>
          <w:kern w:val="2"/>
          <w:szCs w:val="32"/>
        </w:rPr>
      </w:pPr>
    </w:p>
    <w:p>
      <w:pPr>
        <w:spacing w:line="1600" w:lineRule="exact"/>
        <w:jc w:val="distribute"/>
        <w:rPr>
          <w:rFonts w:eastAsia="方正小标宋_GBK"/>
          <w:b/>
          <w:bCs/>
          <w:color w:val="FF0000"/>
          <w:w w:val="52"/>
          <w:sz w:val="110"/>
        </w:rPr>
      </w:pPr>
      <w:r>
        <w:rPr>
          <w:rFonts w:hint="eastAsia" w:eastAsia="方正小标宋_GBK"/>
          <w:b/>
          <w:bCs/>
          <w:color w:val="FF0000"/>
          <w:w w:val="52"/>
          <w:sz w:val="110"/>
        </w:rPr>
        <w:t>城口县人力资源和社会保障局文件</w:t>
      </w:r>
    </w:p>
    <w:p>
      <w:pPr>
        <w:spacing w:line="579" w:lineRule="exact"/>
        <w:jc w:val="center"/>
        <w:rPr>
          <w:rFonts w:eastAsia="方正楷体_GBK"/>
        </w:rPr>
      </w:pPr>
      <w:r>
        <w:rPr>
          <w:rFonts w:hint="eastAsia"/>
        </w:rPr>
        <w:t>城人社发〔2022〕627号</w:t>
      </w:r>
    </w:p>
    <w:p>
      <w:pPr>
        <w:spacing w:line="579" w:lineRule="exact"/>
        <w:jc w:val="center"/>
      </w:pPr>
      <w:r>
        <w:pict>
          <v:line id="_x0000_s1026" o:spid="_x0000_s1026" o:spt="20" style="position:absolute;left:0pt;margin-left:0pt;margin-top:8pt;height:0pt;width:442.9pt;z-index:251659264;mso-width-relative:page;mso-height-relative:page;" stroked="t" coordsize="21600,21600" o:gfxdata="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SkPx0AAAAAIBAAAPAAAAAAAAAAEAIAAAACIAAABkcnMv&#10;ZG93bnJldi54bWxQSwECFAAUAAAACACHTuJALygNmdIBAACOAwAADgAAAAAAAAABACAAAAAfAQAA&#10;ZHJzL2Uyb0RvYy54bWxQSwUGAAAAAAYABgBZAQAAYwUAAAAA&#10;">
            <v:path arrowok="t"/>
            <v:fill focussize="0,0"/>
            <v:stroke weight="2.25pt" color="#FF0000"/>
            <v:imagedata o:title=""/>
            <o:lock v:ext="edit"/>
          </v:line>
        </w:pict>
      </w:r>
    </w:p>
    <w:p>
      <w:pPr>
        <w:spacing w:line="560" w:lineRule="exact"/>
        <w:jc w:val="center"/>
        <w:rPr>
          <w:rFonts w:ascii="方正小标宋_GBK" w:eastAsia="方正小标宋_GBK"/>
          <w:sz w:val="44"/>
          <w:szCs w:val="44"/>
        </w:rPr>
      </w:pPr>
      <w:r>
        <w:rPr>
          <w:rFonts w:hint="eastAsia" w:ascii="方正小标宋_GBK" w:eastAsia="方正小标宋_GBK"/>
          <w:spacing w:val="1"/>
          <w:w w:val="99"/>
          <w:kern w:val="0"/>
          <w:sz w:val="44"/>
          <w:szCs w:val="44"/>
          <w:fitText w:val="5668" w:id="-1421175039"/>
        </w:rPr>
        <w:t>城口县人力资源和社会保障</w:t>
      </w:r>
      <w:r>
        <w:rPr>
          <w:rFonts w:hint="eastAsia" w:ascii="方正小标宋_GBK" w:eastAsia="方正小标宋_GBK"/>
          <w:spacing w:val="7"/>
          <w:w w:val="99"/>
          <w:kern w:val="0"/>
          <w:sz w:val="44"/>
          <w:szCs w:val="44"/>
          <w:fitText w:val="5668" w:id="-1421175039"/>
        </w:rPr>
        <w:t>局</w:t>
      </w:r>
    </w:p>
    <w:p>
      <w:pPr>
        <w:spacing w:line="560" w:lineRule="exact"/>
        <w:jc w:val="center"/>
        <w:rPr>
          <w:rFonts w:ascii="方正小标宋_GBK" w:eastAsia="方正小标宋_GBK"/>
          <w:sz w:val="44"/>
          <w:szCs w:val="44"/>
        </w:rPr>
      </w:pPr>
      <w:r>
        <w:rPr>
          <w:rFonts w:hint="eastAsia" w:ascii="方正小标宋_GBK" w:eastAsia="方正小标宋_GBK"/>
          <w:spacing w:val="153"/>
          <w:kern w:val="0"/>
          <w:sz w:val="44"/>
          <w:szCs w:val="44"/>
          <w:fitText w:val="5668" w:id="-1421175038"/>
        </w:rPr>
        <w:t>城口县乡村振兴</w:t>
      </w:r>
      <w:r>
        <w:rPr>
          <w:rFonts w:hint="eastAsia" w:ascii="方正小标宋_GBK" w:eastAsia="方正小标宋_GBK"/>
          <w:spacing w:val="3"/>
          <w:kern w:val="0"/>
          <w:sz w:val="44"/>
          <w:szCs w:val="44"/>
          <w:fitText w:val="5668" w:id="-1421175038"/>
        </w:rPr>
        <w:t>局</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关于印发《脱贫人口就业帮扶攻坚行动方案》的通知</w:t>
      </w:r>
    </w:p>
    <w:p>
      <w:pPr>
        <w:spacing w:line="560" w:lineRule="exact"/>
        <w:rPr>
          <w:szCs w:val="32"/>
        </w:rPr>
      </w:pPr>
    </w:p>
    <w:p>
      <w:pPr>
        <w:spacing w:line="560" w:lineRule="exact"/>
        <w:rPr>
          <w:szCs w:val="32"/>
        </w:rPr>
      </w:pPr>
      <w:r>
        <w:rPr>
          <w:rFonts w:hint="eastAsia"/>
          <w:szCs w:val="32"/>
        </w:rPr>
        <w:t>各乡镇人民政府、街道办事处：</w:t>
      </w:r>
    </w:p>
    <w:p>
      <w:pPr>
        <w:spacing w:line="560" w:lineRule="exact"/>
        <w:ind w:firstLine="632" w:firstLineChars="200"/>
        <w:rPr>
          <w:szCs w:val="32"/>
        </w:rPr>
      </w:pPr>
      <w:r>
        <w:rPr>
          <w:rFonts w:hint="eastAsia"/>
          <w:szCs w:val="32"/>
        </w:rPr>
        <w:t>现将《脱贫人口就业帮扶攻坚行动方案》印发给你们，请按照方案要求，认真抓好贯彻落实。</w:t>
      </w:r>
    </w:p>
    <w:p>
      <w:pPr>
        <w:spacing w:line="560" w:lineRule="exact"/>
        <w:ind w:firstLine="632" w:firstLineChars="200"/>
        <w:rPr>
          <w:szCs w:val="32"/>
        </w:rPr>
      </w:pPr>
    </w:p>
    <w:p>
      <w:pPr>
        <w:spacing w:line="560" w:lineRule="exact"/>
        <w:ind w:firstLine="632" w:firstLineChars="200"/>
        <w:rPr>
          <w:szCs w:val="32"/>
        </w:rPr>
      </w:pPr>
    </w:p>
    <w:p>
      <w:pPr>
        <w:spacing w:line="560" w:lineRule="exact"/>
        <w:ind w:firstLine="632" w:firstLineChars="200"/>
        <w:rPr>
          <w:szCs w:val="32"/>
        </w:rPr>
      </w:pPr>
    </w:p>
    <w:p>
      <w:pPr>
        <w:spacing w:line="560" w:lineRule="exact"/>
        <w:ind w:firstLine="3732" w:firstLineChars="1200"/>
        <w:jc w:val="right"/>
        <w:rPr>
          <w:szCs w:val="32"/>
        </w:rPr>
      </w:pPr>
      <w:r>
        <w:rPr>
          <w:rFonts w:hint="eastAsia"/>
          <w:spacing w:val="1"/>
          <w:w w:val="98"/>
          <w:kern w:val="0"/>
          <w:szCs w:val="32"/>
          <w:fitText w:val="4108" w:id="-1421175037"/>
        </w:rPr>
        <w:t>城口县人力资源和社会保障</w:t>
      </w:r>
      <w:r>
        <w:rPr>
          <w:rFonts w:hint="eastAsia"/>
          <w:spacing w:val="19"/>
          <w:w w:val="98"/>
          <w:kern w:val="0"/>
          <w:szCs w:val="32"/>
          <w:fitText w:val="4108" w:id="-1421175037"/>
        </w:rPr>
        <w:t>局</w:t>
      </w:r>
    </w:p>
    <w:p>
      <w:pPr>
        <w:spacing w:line="560" w:lineRule="exact"/>
        <w:ind w:firstLine="3752" w:firstLineChars="700"/>
        <w:jc w:val="right"/>
        <w:rPr>
          <w:szCs w:val="32"/>
        </w:rPr>
      </w:pPr>
      <w:r>
        <w:rPr>
          <w:rFonts w:hint="eastAsia"/>
          <w:spacing w:val="110"/>
          <w:kern w:val="0"/>
          <w:szCs w:val="32"/>
          <w:fitText w:val="4108" w:id="-1421175036"/>
        </w:rPr>
        <w:t>城口县乡村振兴</w:t>
      </w:r>
      <w:r>
        <w:rPr>
          <w:rFonts w:hint="eastAsia"/>
          <w:spacing w:val="4"/>
          <w:kern w:val="0"/>
          <w:szCs w:val="32"/>
          <w:fitText w:val="4108" w:id="-1421175036"/>
        </w:rPr>
        <w:t>局</w:t>
      </w:r>
    </w:p>
    <w:p>
      <w:pPr>
        <w:spacing w:line="560" w:lineRule="exact"/>
        <w:ind w:firstLine="5530" w:firstLineChars="1750"/>
        <w:rPr>
          <w:szCs w:val="32"/>
        </w:rPr>
      </w:pPr>
      <w:r>
        <w:rPr>
          <w:rFonts w:hint="eastAsia"/>
          <w:szCs w:val="32"/>
        </w:rPr>
        <w:t>2022年11月</w:t>
      </w:r>
      <w:r>
        <w:rPr>
          <w:rFonts w:hint="eastAsia"/>
          <w:szCs w:val="32"/>
          <w:lang w:val="en-US" w:eastAsia="zh-CN"/>
        </w:rPr>
        <w:t>23</w:t>
      </w:r>
      <w:r>
        <w:rPr>
          <w:rFonts w:hint="eastAsia"/>
          <w:szCs w:val="32"/>
        </w:rPr>
        <w:t>日</w:t>
      </w:r>
    </w:p>
    <w:p>
      <w:pPr>
        <w:tabs>
          <w:tab w:val="left" w:pos="7302"/>
        </w:tabs>
        <w:spacing w:line="579" w:lineRule="exact"/>
        <w:jc w:val="center"/>
        <w:rPr>
          <w:rFonts w:ascii="方正小标宋_GBK" w:eastAsia="方正小标宋_GBK"/>
          <w:sz w:val="44"/>
          <w:szCs w:val="44"/>
        </w:rPr>
      </w:pPr>
    </w:p>
    <w:p>
      <w:pPr>
        <w:tabs>
          <w:tab w:val="left" w:pos="7302"/>
        </w:tabs>
        <w:spacing w:line="560" w:lineRule="exact"/>
        <w:jc w:val="center"/>
        <w:rPr>
          <w:rFonts w:ascii="方正小标宋_GBK" w:eastAsia="方正小标宋_GBK"/>
          <w:sz w:val="44"/>
          <w:szCs w:val="44"/>
        </w:rPr>
      </w:pPr>
      <w:r>
        <w:rPr>
          <w:rFonts w:hint="eastAsia" w:ascii="方正小标宋_GBK" w:eastAsia="方正小标宋_GBK"/>
          <w:sz w:val="44"/>
          <w:szCs w:val="44"/>
        </w:rPr>
        <w:t>城口县脱贫人口就业帮扶攻坚行动方案</w:t>
      </w:r>
    </w:p>
    <w:p>
      <w:pPr>
        <w:tabs>
          <w:tab w:val="left" w:pos="7302"/>
        </w:tabs>
        <w:spacing w:line="560" w:lineRule="exact"/>
        <w:ind w:firstLine="632" w:firstLineChars="200"/>
        <w:rPr>
          <w:szCs w:val="32"/>
        </w:rPr>
      </w:pPr>
    </w:p>
    <w:p>
      <w:pPr>
        <w:tabs>
          <w:tab w:val="left" w:pos="7302"/>
        </w:tabs>
        <w:spacing w:line="560" w:lineRule="exact"/>
        <w:ind w:firstLine="632" w:firstLineChars="200"/>
        <w:rPr>
          <w:color w:val="000000" w:themeColor="text1"/>
          <w:szCs w:val="32"/>
        </w:rPr>
      </w:pPr>
      <w:r>
        <w:rPr>
          <w:rFonts w:hint="eastAsia"/>
          <w:color w:val="000000" w:themeColor="text1"/>
          <w:szCs w:val="32"/>
        </w:rPr>
        <w:t>为贯彻落实党中央、国务院决策部署和市委、市政府、县委、县政府工作要求，集中帮扶脱贫人口（含防止返贫监测对象，下同）就业创业，保持脱贫人口务工规模总体稳定，不断巩固拓展脱贫攻坚成果，助力乡村振兴，全面完成国家、市级巩固拓展脱贫攻坚成果</w:t>
      </w:r>
      <w:r>
        <w:rPr>
          <w:rFonts w:hint="eastAsia"/>
          <w:color w:val="000000" w:themeColor="text1"/>
          <w:szCs w:val="32"/>
          <w:lang w:eastAsia="zh-CN"/>
        </w:rPr>
        <w:t>同</w:t>
      </w:r>
      <w:r>
        <w:rPr>
          <w:rFonts w:hint="eastAsia"/>
          <w:color w:val="000000" w:themeColor="text1"/>
          <w:szCs w:val="32"/>
        </w:rPr>
        <w:t>乡村振兴有效衔接目标任务及重点帮扶县考核目标任务，特制定本</w:t>
      </w:r>
      <w:bookmarkStart w:id="0" w:name="_GoBack"/>
      <w:bookmarkEnd w:id="0"/>
      <w:r>
        <w:rPr>
          <w:rFonts w:hint="eastAsia"/>
          <w:color w:val="000000" w:themeColor="text1"/>
          <w:szCs w:val="32"/>
        </w:rPr>
        <w:t>方案。</w:t>
      </w:r>
    </w:p>
    <w:p>
      <w:pPr>
        <w:tabs>
          <w:tab w:val="left" w:pos="7302"/>
        </w:tabs>
        <w:spacing w:line="560" w:lineRule="exact"/>
        <w:ind w:firstLine="632" w:firstLineChars="200"/>
        <w:rPr>
          <w:rFonts w:ascii="方正黑体_GBK" w:eastAsia="方正黑体_GBK"/>
          <w:color w:val="000000" w:themeColor="text1"/>
          <w:szCs w:val="32"/>
        </w:rPr>
      </w:pPr>
      <w:r>
        <w:rPr>
          <w:rFonts w:hint="eastAsia" w:ascii="方正黑体_GBK" w:eastAsia="方正黑体_GBK"/>
          <w:color w:val="000000" w:themeColor="text1"/>
          <w:szCs w:val="32"/>
        </w:rPr>
        <w:t>一、行动主题</w:t>
      </w:r>
    </w:p>
    <w:p>
      <w:pPr>
        <w:tabs>
          <w:tab w:val="left" w:pos="7302"/>
        </w:tabs>
        <w:spacing w:line="560" w:lineRule="exact"/>
        <w:ind w:firstLine="632" w:firstLineChars="200"/>
        <w:rPr>
          <w:color w:val="000000" w:themeColor="text1"/>
          <w:szCs w:val="32"/>
        </w:rPr>
      </w:pPr>
      <w:r>
        <w:rPr>
          <w:rFonts w:hint="eastAsia"/>
          <w:color w:val="000000" w:themeColor="text1"/>
          <w:szCs w:val="32"/>
        </w:rPr>
        <w:t>集中攻坚，全面就业，稳步增收。</w:t>
      </w:r>
    </w:p>
    <w:p>
      <w:pPr>
        <w:tabs>
          <w:tab w:val="left" w:pos="7302"/>
        </w:tabs>
        <w:spacing w:line="560" w:lineRule="exact"/>
        <w:ind w:firstLine="632" w:firstLineChars="200"/>
        <w:rPr>
          <w:rFonts w:ascii="方正黑体_GBK" w:eastAsia="方正黑体_GBK"/>
          <w:color w:val="000000" w:themeColor="text1"/>
          <w:szCs w:val="32"/>
        </w:rPr>
      </w:pPr>
      <w:r>
        <w:rPr>
          <w:rFonts w:hint="eastAsia" w:ascii="方正黑体_GBK" w:eastAsia="方正黑体_GBK"/>
          <w:color w:val="000000" w:themeColor="text1"/>
          <w:szCs w:val="32"/>
        </w:rPr>
        <w:t>二、行动时间</w:t>
      </w:r>
    </w:p>
    <w:p>
      <w:pPr>
        <w:tabs>
          <w:tab w:val="left" w:pos="7302"/>
        </w:tabs>
        <w:spacing w:line="560" w:lineRule="exact"/>
        <w:ind w:firstLine="632" w:firstLineChars="200"/>
        <w:rPr>
          <w:color w:val="000000" w:themeColor="text1"/>
          <w:szCs w:val="32"/>
        </w:rPr>
      </w:pPr>
      <w:r>
        <w:rPr>
          <w:rFonts w:hint="eastAsia"/>
          <w:color w:val="000000" w:themeColor="text1"/>
          <w:szCs w:val="32"/>
        </w:rPr>
        <w:t>2022年11月－12月。</w:t>
      </w:r>
    </w:p>
    <w:p>
      <w:pPr>
        <w:tabs>
          <w:tab w:val="left" w:pos="7302"/>
        </w:tabs>
        <w:spacing w:line="560" w:lineRule="exact"/>
        <w:ind w:firstLine="632" w:firstLineChars="200"/>
        <w:rPr>
          <w:rFonts w:ascii="方正黑体_GBK" w:eastAsia="方正黑体_GBK"/>
          <w:color w:val="000000" w:themeColor="text1"/>
          <w:szCs w:val="32"/>
        </w:rPr>
      </w:pPr>
      <w:r>
        <w:rPr>
          <w:rFonts w:hint="eastAsia" w:ascii="方正黑体_GBK" w:eastAsia="方正黑体_GBK"/>
          <w:color w:val="000000" w:themeColor="text1"/>
          <w:szCs w:val="32"/>
        </w:rPr>
        <w:t>三、服务对象</w:t>
      </w:r>
    </w:p>
    <w:p>
      <w:pPr>
        <w:tabs>
          <w:tab w:val="left" w:pos="7302"/>
        </w:tabs>
        <w:spacing w:line="560" w:lineRule="exact"/>
        <w:ind w:firstLine="632" w:firstLineChars="200"/>
        <w:rPr>
          <w:color w:val="000000" w:themeColor="text1"/>
          <w:szCs w:val="32"/>
        </w:rPr>
      </w:pPr>
      <w:r>
        <w:rPr>
          <w:rFonts w:hint="eastAsia"/>
          <w:color w:val="000000" w:themeColor="text1"/>
          <w:szCs w:val="32"/>
        </w:rPr>
        <w:t>我县脱贫人口。</w:t>
      </w:r>
    </w:p>
    <w:p>
      <w:pPr>
        <w:tabs>
          <w:tab w:val="left" w:pos="7302"/>
        </w:tabs>
        <w:spacing w:line="560" w:lineRule="exact"/>
        <w:ind w:firstLine="632" w:firstLineChars="200"/>
        <w:rPr>
          <w:rFonts w:ascii="方正黑体_GBK" w:eastAsia="方正黑体_GBK"/>
          <w:color w:val="000000" w:themeColor="text1"/>
          <w:szCs w:val="32"/>
        </w:rPr>
      </w:pPr>
      <w:r>
        <w:rPr>
          <w:rFonts w:hint="eastAsia" w:ascii="方正黑体_GBK" w:eastAsia="方正黑体_GBK"/>
          <w:color w:val="000000" w:themeColor="text1"/>
          <w:szCs w:val="32"/>
        </w:rPr>
        <w:t>四、行动目标</w:t>
      </w:r>
    </w:p>
    <w:p>
      <w:pPr>
        <w:tabs>
          <w:tab w:val="left" w:pos="7302"/>
        </w:tabs>
        <w:spacing w:line="560" w:lineRule="exact"/>
        <w:ind w:firstLine="632" w:firstLineChars="200"/>
        <w:rPr>
          <w:color w:val="000000" w:themeColor="text1"/>
          <w:szCs w:val="32"/>
        </w:rPr>
      </w:pPr>
      <w:r>
        <w:rPr>
          <w:rFonts w:hint="eastAsia"/>
          <w:color w:val="000000" w:themeColor="text1"/>
          <w:szCs w:val="32"/>
        </w:rPr>
        <w:t>集中利用2个月的时间实施攻坚行动，对脱贫人口开展务工</w:t>
      </w:r>
    </w:p>
    <w:p>
      <w:pPr>
        <w:tabs>
          <w:tab w:val="left" w:pos="7302"/>
        </w:tabs>
        <w:spacing w:line="560" w:lineRule="exact"/>
        <w:rPr>
          <w:color w:val="000000" w:themeColor="text1"/>
          <w:szCs w:val="32"/>
        </w:rPr>
      </w:pPr>
      <w:r>
        <w:rPr>
          <w:rFonts w:hint="eastAsia"/>
          <w:color w:val="000000" w:themeColor="text1"/>
          <w:szCs w:val="32"/>
        </w:rPr>
        <w:t>信息摸排、精准就业帮扶、落实扶持政策，促进有劳动能力有就业意愿的脱贫人口应就业尽就业，确保“零就业”家庭动态清零，乡村公益性岗位规模保持稳定，就业帮扶车间数量和吸纳就业人数稳中有增。2022年巩固拓展脱贫攻坚成果同乡村振兴有效衔接中期评估反馈问题全部销号，并举一反三，建立和完善工作制度，扎实工作作风，防止类似问题再次发生。</w:t>
      </w:r>
    </w:p>
    <w:p>
      <w:pPr>
        <w:tabs>
          <w:tab w:val="left" w:pos="7302"/>
        </w:tabs>
        <w:spacing w:line="560" w:lineRule="exact"/>
        <w:ind w:firstLine="632" w:firstLineChars="200"/>
        <w:rPr>
          <w:rFonts w:ascii="方正黑体_GBK" w:eastAsia="方正黑体_GBK"/>
          <w:color w:val="000000" w:themeColor="text1"/>
          <w:szCs w:val="32"/>
        </w:rPr>
      </w:pPr>
      <w:r>
        <w:rPr>
          <w:rFonts w:hint="eastAsia" w:ascii="方正黑体_GBK" w:eastAsia="方正黑体_GBK"/>
          <w:color w:val="000000" w:themeColor="text1"/>
          <w:szCs w:val="32"/>
        </w:rPr>
        <w:t>五、主要任务</w:t>
      </w:r>
    </w:p>
    <w:p>
      <w:pPr>
        <w:tabs>
          <w:tab w:val="left" w:pos="7302"/>
        </w:tabs>
        <w:spacing w:line="560" w:lineRule="exact"/>
        <w:ind w:firstLine="632" w:firstLineChars="200"/>
        <w:rPr>
          <w:color w:val="000000" w:themeColor="text1"/>
          <w:szCs w:val="32"/>
        </w:rPr>
      </w:pPr>
      <w:r>
        <w:rPr>
          <w:rFonts w:hint="eastAsia" w:ascii="方正楷体_GBK" w:eastAsia="方正楷体_GBK"/>
          <w:color w:val="000000" w:themeColor="text1"/>
          <w:szCs w:val="32"/>
        </w:rPr>
        <w:t>（一）加强劳动力及务工就业信息动态更新。</w:t>
      </w:r>
      <w:r>
        <w:rPr>
          <w:rFonts w:hint="eastAsia" w:ascii="方正仿宋_GBK"/>
          <w:color w:val="000000" w:themeColor="text1"/>
          <w:szCs w:val="32"/>
        </w:rPr>
        <w:t>各乡镇、街道要</w:t>
      </w:r>
      <w:r>
        <w:rPr>
          <w:rFonts w:hint="eastAsia" w:ascii="方正仿宋_GBK"/>
          <w:color w:val="000000" w:themeColor="text1"/>
        </w:rPr>
        <w:t>充分发挥乡、村两级干部、劳务经济协管员、劳务经纪人、网格员、帮扶干部作用，通过入户走访、电话联系等方式对已建立的劳动力信息台账进一步精准信息。县就业和人才中心</w:t>
      </w:r>
      <w:r>
        <w:rPr>
          <w:rFonts w:hint="eastAsia"/>
          <w:color w:val="000000" w:themeColor="text1"/>
          <w:szCs w:val="32"/>
        </w:rPr>
        <w:t>牵头</w:t>
      </w:r>
      <w:r>
        <w:rPr>
          <w:rFonts w:hint="eastAsia" w:ascii="方正仿宋_GBK"/>
          <w:color w:val="000000" w:themeColor="text1"/>
        </w:rPr>
        <w:t>负责指导乡镇、街道精准建立劳动力信息台账和脱贫人口就业帮扶台账。</w:t>
      </w:r>
      <w:r>
        <w:rPr>
          <w:rFonts w:hint="eastAsia"/>
          <w:color w:val="000000" w:themeColor="text1"/>
          <w:szCs w:val="32"/>
        </w:rPr>
        <w:t>县乡村振兴局牵头指导乡镇、街道做好防返贫监测信息系统中务工就业信息的动态更新工作，11月底前要对系统中的人员务工信息开展一次全面核实，人员就业状态、务工地点等信息发生变化的，要及时更新，保证数据真实性。建立部门间数据共享交互机制，通过人力资源信息库、就业系统、社保系统与防返贫监测信息系统的数据比对，及时反馈务工人员的差异信息，对已就业人员信息做到“应录尽录”，确保脱贫人口务工规模不低于年度目标任务数，脱贫人口就业信息准确度力争达到100%。</w:t>
      </w:r>
    </w:p>
    <w:p>
      <w:pPr>
        <w:tabs>
          <w:tab w:val="left" w:pos="7302"/>
        </w:tabs>
        <w:spacing w:line="560" w:lineRule="exact"/>
        <w:ind w:firstLine="632" w:firstLineChars="200"/>
        <w:rPr>
          <w:color w:val="000000" w:themeColor="text1"/>
          <w:szCs w:val="32"/>
        </w:rPr>
      </w:pPr>
      <w:r>
        <w:rPr>
          <w:rFonts w:hint="eastAsia" w:ascii="方正楷体_GBK" w:eastAsia="方正楷体_GBK"/>
          <w:color w:val="000000" w:themeColor="text1"/>
          <w:szCs w:val="32"/>
        </w:rPr>
        <w:t>（二）加强未就业脱贫人口就业帮扶。</w:t>
      </w:r>
      <w:r>
        <w:rPr>
          <w:rFonts w:hint="eastAsia" w:ascii="方正仿宋_GBK"/>
          <w:color w:val="000000" w:themeColor="text1"/>
          <w:szCs w:val="32"/>
        </w:rPr>
        <w:t>各乡镇、街道</w:t>
      </w:r>
      <w:r>
        <w:rPr>
          <w:rFonts w:hint="eastAsia"/>
          <w:color w:val="000000" w:themeColor="text1"/>
          <w:szCs w:val="32"/>
        </w:rPr>
        <w:t>要加强对未就业脱贫人口，特别是易地搬迁脱贫人口、雨露计划毕业生等重点群体的就业帮扶，针对不同需求，实施精准服务。对就业意愿不足的，开展1次政策宣讲、1次职业指导，帮助提振信心。对技能不足的，提供至少1个培训项目。对有就业意愿的，提供至少3个适合的岗位。充分挖掘岗位潜力，分层分类筛选用人单位和就业岗位，大力组织开展线上、线下招聘活动，利用“金秋十月”招聘周、农民工专项招聘、高校毕业生专项招聘活动，为求职者和用人单位搭建求职招工平台。</w:t>
      </w:r>
      <w:r>
        <w:rPr>
          <w:rFonts w:hint="eastAsia" w:ascii="方正仿宋_GBK"/>
          <w:color w:val="000000" w:themeColor="text1"/>
          <w:szCs w:val="32"/>
        </w:rPr>
        <w:t>乡镇、街道</w:t>
      </w:r>
      <w:r>
        <w:rPr>
          <w:rFonts w:hint="eastAsia"/>
          <w:color w:val="000000" w:themeColor="text1"/>
          <w:szCs w:val="32"/>
        </w:rPr>
        <w:t>要加强就业岗位精准推送，帮助未就业劳动力甄选岗位，当好就业“媒婆”，促进人岗匹配，增加就业收入。</w:t>
      </w:r>
    </w:p>
    <w:p>
      <w:pPr>
        <w:tabs>
          <w:tab w:val="left" w:pos="7302"/>
        </w:tabs>
        <w:spacing w:line="560" w:lineRule="exact"/>
        <w:ind w:firstLine="632" w:firstLineChars="200"/>
        <w:rPr>
          <w:color w:val="000000" w:themeColor="text1"/>
          <w:szCs w:val="32"/>
        </w:rPr>
      </w:pPr>
      <w:r>
        <w:rPr>
          <w:rFonts w:hint="eastAsia" w:ascii="方正楷体_GBK" w:eastAsia="方正楷体_GBK"/>
          <w:color w:val="000000" w:themeColor="text1"/>
          <w:szCs w:val="32"/>
        </w:rPr>
        <w:t>（三）加强公益性岗位规范管理。</w:t>
      </w:r>
      <w:r>
        <w:rPr>
          <w:rFonts w:hint="eastAsia" w:ascii="方正仿宋_GBK"/>
          <w:color w:val="000000" w:themeColor="text1"/>
          <w:szCs w:val="32"/>
        </w:rPr>
        <w:t>各乡镇、街道</w:t>
      </w:r>
      <w:r>
        <w:rPr>
          <w:rFonts w:hint="eastAsia"/>
          <w:color w:val="000000" w:themeColor="text1"/>
          <w:szCs w:val="32"/>
        </w:rPr>
        <w:t>要按照“岗位按需开发、规模总体稳定、规范有序管理”的原则，统筹用好各类乡村公益性岗位，托底安置符合就业困难人员条件的弱劳力、半劳力和无法外出、无业可就的脱贫人口，进一步提高公益性岗位开发管理工作的精准性。乡镇、街道要对所有在岗公益性岗位履职情况进行不定时抽查、检查，核实岗位人员是否确实在岗履职，工作效果是否达标，坚决防止有“顶岗”“替岗”“脱岗”情况发生。</w:t>
      </w:r>
      <w:r>
        <w:rPr>
          <w:rFonts w:hint="eastAsia" w:ascii="方正仿宋_GBK"/>
          <w:color w:val="000000" w:themeColor="text1"/>
          <w:szCs w:val="32"/>
        </w:rPr>
        <w:t>乡镇、街道</w:t>
      </w:r>
      <w:r>
        <w:rPr>
          <w:rFonts w:hint="eastAsia"/>
          <w:color w:val="000000" w:themeColor="text1"/>
          <w:szCs w:val="32"/>
        </w:rPr>
        <w:t>要督促指导村、社区做好日常考勤管理，规范建立考勤、考核档案资料，及时纠正查处吃空饷、安置不符合条件人员、冒名顶替、优亲厚友、变相发钱等违规行为，坚决清退违规在岗人员。</w:t>
      </w:r>
    </w:p>
    <w:p>
      <w:pPr>
        <w:tabs>
          <w:tab w:val="left" w:pos="7302"/>
        </w:tabs>
        <w:spacing w:line="560" w:lineRule="exact"/>
        <w:ind w:firstLine="632" w:firstLineChars="200"/>
        <w:rPr>
          <w:color w:val="000000" w:themeColor="text1"/>
          <w:szCs w:val="32"/>
        </w:rPr>
      </w:pPr>
      <w:r>
        <w:rPr>
          <w:rFonts w:hint="eastAsia" w:ascii="方正楷体_GBK" w:eastAsia="方正楷体_GBK"/>
          <w:color w:val="000000" w:themeColor="text1"/>
          <w:szCs w:val="32"/>
        </w:rPr>
        <w:t>（四）提高就业帮扶车间带动能力。</w:t>
      </w:r>
      <w:r>
        <w:rPr>
          <w:rFonts w:hint="eastAsia"/>
          <w:color w:val="000000" w:themeColor="text1"/>
          <w:szCs w:val="32"/>
        </w:rPr>
        <w:t>紧盯巩固拓展脱贫攻坚成果同乡村振兴有效衔接目标任务，县乡村振兴局、县人力社保局要加强沟通，采取有力措施，鼓励、指导乡镇、街道和市场主体创建一批符合我县发展实情的就业帮扶车间。继续对已建成的就业帮扶车间开展工作指导，加强政策宣传，落实带动就业奖补政策，帮扶已建车间正常运行，稳岗拓岗并举，持续扩大脱贫人口车间就业规模。</w:t>
      </w:r>
      <w:r>
        <w:rPr>
          <w:rFonts w:hint="eastAsia" w:ascii="方正仿宋_GBK"/>
          <w:color w:val="000000" w:themeColor="text1"/>
          <w:szCs w:val="32"/>
        </w:rPr>
        <w:t>各乡镇、街道</w:t>
      </w:r>
      <w:r>
        <w:rPr>
          <w:rFonts w:hint="eastAsia"/>
          <w:color w:val="000000" w:themeColor="text1"/>
          <w:szCs w:val="32"/>
        </w:rPr>
        <w:t>要对辖区内所有车间开展一次调查走访，了解车间生产经营状况，核查就业帮扶车间带动就业情况，积极帮助企业稳定、扩大生产，积极组织未外出务工脱贫人口到车间就业，引导车间优先吸纳脱贫人口。乡镇、街道要督促存在问题的就业帮扶车间在11月25日前完成整改，确保车间吸纳脱贫人口就业人数不低于上年底。要加强车间、带动就业情况核定，严防“数字就业”，确保账实相符、账账相符。</w:t>
      </w:r>
    </w:p>
    <w:p>
      <w:pPr>
        <w:tabs>
          <w:tab w:val="left" w:pos="7302"/>
        </w:tabs>
        <w:spacing w:line="560" w:lineRule="exact"/>
        <w:ind w:firstLine="632" w:firstLineChars="200"/>
        <w:rPr>
          <w:color w:val="000000" w:themeColor="text1"/>
          <w:szCs w:val="32"/>
        </w:rPr>
      </w:pPr>
      <w:r>
        <w:rPr>
          <w:rFonts w:hint="eastAsia" w:ascii="方正楷体_GBK" w:eastAsia="方正楷体_GBK"/>
          <w:color w:val="000000" w:themeColor="text1"/>
          <w:szCs w:val="32"/>
        </w:rPr>
        <w:t>（五）加快稳岗就业帮扶政策落实力度。</w:t>
      </w:r>
      <w:r>
        <w:rPr>
          <w:rFonts w:hint="eastAsia"/>
          <w:color w:val="000000" w:themeColor="text1"/>
          <w:szCs w:val="32"/>
        </w:rPr>
        <w:t xml:space="preserve">市人力社保局会同市乡村振兴局根据脱贫人口外出务工实名制信息每周下发跨区域交通补助人员名单，县就业和人才中心要及时将补助人员名单分解下发至各乡镇、街道进行脱贫人口外出务工信息核实，各乡镇、街道要在规定时间内完成核实工作并收集准确的银行账户信息，以便尽快发放补助。跨区域交通补助资金发放后，要及时告知脱贫人口，确保“应知尽知”。要及时启动跨区域交通补助补差工作，及时收集返乡脱贫人口报销交通补助的有关发票、凭证等资料，在规定时间内向县就业和人才中心申报补贴资金。乡镇、街道要加大就业创业服务补助、社会保险补贴、创业担保贷款及贴息政策宣传力度，优化经办服务流程，便利脱贫人口及用人单位申请享受。 </w:t>
      </w:r>
    </w:p>
    <w:p>
      <w:pPr>
        <w:pStyle w:val="8"/>
        <w:ind w:firstLine="711"/>
        <w:rPr>
          <w:rFonts w:ascii="方正仿宋_GBK" w:eastAsia="方正仿宋_GBK"/>
          <w:color w:val="000000" w:themeColor="text1"/>
          <w:sz w:val="32"/>
          <w:szCs w:val="32"/>
        </w:rPr>
      </w:pPr>
      <w:r>
        <w:rPr>
          <w:rFonts w:hint="eastAsia" w:ascii="方正楷体_GBK" w:hAnsi="Times New Roman" w:eastAsia="方正楷体_GBK" w:cs="Times New Roman"/>
          <w:color w:val="000000" w:themeColor="text1"/>
          <w:sz w:val="32"/>
          <w:szCs w:val="32"/>
        </w:rPr>
        <w:t>（六）推动鲁渝劳务协作升级。</w:t>
      </w:r>
      <w:r>
        <w:rPr>
          <w:rFonts w:hint="eastAsia" w:ascii="Times New Roman" w:hAnsi="Times New Roman" w:eastAsia="方正仿宋_GBK" w:cs="Times New Roman"/>
          <w:color w:val="000000" w:themeColor="text1"/>
          <w:sz w:val="32"/>
          <w:szCs w:val="32"/>
        </w:rPr>
        <w:t>各乡镇、街道要对照《城口县2022年鲁渝劳务协作转移就业补贴实施细则》（城农组办发〔2022〕2号），及时通知符合条件的对象申报相关补助政策，收集申报资料并按程序向县就业和人才中心申报。按照东</w:t>
      </w:r>
      <w:r>
        <w:rPr>
          <w:rFonts w:ascii="Times New Roman" w:hAnsi="Times New Roman" w:eastAsia="方正仿宋_GBK" w:cs="Times New Roman"/>
          <w:color w:val="000000" w:themeColor="text1"/>
          <w:sz w:val="32"/>
          <w:szCs w:val="32"/>
        </w:rPr>
        <w:t>西部协作</w:t>
      </w:r>
      <w:r>
        <w:rPr>
          <w:rFonts w:hint="eastAsia" w:ascii="Times New Roman" w:hAnsi="Times New Roman" w:eastAsia="方正仿宋_GBK" w:cs="Times New Roman"/>
          <w:color w:val="000000" w:themeColor="text1"/>
          <w:sz w:val="32"/>
          <w:szCs w:val="32"/>
        </w:rPr>
        <w:t>工作</w:t>
      </w:r>
      <w:r>
        <w:rPr>
          <w:rFonts w:ascii="Times New Roman" w:hAnsi="Times New Roman" w:eastAsia="方正仿宋_GBK" w:cs="Times New Roman"/>
          <w:color w:val="000000" w:themeColor="text1"/>
          <w:sz w:val="32"/>
          <w:szCs w:val="32"/>
        </w:rPr>
        <w:t>考核要求，</w:t>
      </w:r>
      <w:r>
        <w:rPr>
          <w:rFonts w:hint="eastAsia" w:ascii="Times New Roman" w:hAnsi="Times New Roman" w:eastAsia="方正仿宋_GBK" w:cs="Times New Roman"/>
          <w:color w:val="000000" w:themeColor="text1"/>
          <w:sz w:val="32"/>
          <w:szCs w:val="32"/>
        </w:rPr>
        <w:t>县人力社保局、县乡村振兴局、乡镇（街道）要</w:t>
      </w:r>
      <w:r>
        <w:rPr>
          <w:rFonts w:ascii="Times New Roman" w:hAnsi="Times New Roman" w:eastAsia="方正仿宋_GBK" w:cs="Times New Roman"/>
          <w:color w:val="000000" w:themeColor="text1"/>
          <w:sz w:val="32"/>
          <w:szCs w:val="32"/>
        </w:rPr>
        <w:t>及时了解掌握</w:t>
      </w:r>
      <w:r>
        <w:rPr>
          <w:rFonts w:hint="eastAsia" w:ascii="Times New Roman" w:hAnsi="Times New Roman" w:eastAsia="方正仿宋_GBK" w:cs="Times New Roman"/>
          <w:color w:val="000000" w:themeColor="text1"/>
          <w:sz w:val="32"/>
          <w:szCs w:val="32"/>
        </w:rPr>
        <w:t>鲁渝劳务协作</w:t>
      </w:r>
      <w:r>
        <w:rPr>
          <w:rFonts w:ascii="Times New Roman" w:hAnsi="Times New Roman" w:eastAsia="方正仿宋_GBK" w:cs="Times New Roman"/>
          <w:color w:val="000000" w:themeColor="text1"/>
          <w:sz w:val="32"/>
          <w:szCs w:val="32"/>
        </w:rPr>
        <w:t>考核</w:t>
      </w:r>
      <w:r>
        <w:rPr>
          <w:rFonts w:hint="eastAsia" w:ascii="Times New Roman" w:hAnsi="Times New Roman" w:eastAsia="方正仿宋_GBK" w:cs="Times New Roman"/>
          <w:color w:val="000000" w:themeColor="text1"/>
          <w:sz w:val="32"/>
          <w:szCs w:val="32"/>
        </w:rPr>
        <w:t>指标</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对照目标任务及时查漏补缺，</w:t>
      </w:r>
      <w:r>
        <w:rPr>
          <w:rFonts w:ascii="Times New Roman" w:hAnsi="Times New Roman" w:eastAsia="方正仿宋_GBK" w:cs="Times New Roman"/>
          <w:color w:val="000000" w:themeColor="text1"/>
          <w:sz w:val="32"/>
          <w:szCs w:val="32"/>
        </w:rPr>
        <w:t>做到三方</w:t>
      </w:r>
      <w:r>
        <w:rPr>
          <w:rFonts w:hint="eastAsia" w:ascii="方正仿宋_GBK" w:eastAsia="方正仿宋_GBK"/>
          <w:color w:val="000000" w:themeColor="text1"/>
          <w:sz w:val="32"/>
          <w:szCs w:val="32"/>
        </w:rPr>
        <w:t>数据统一、台账统一。要提前做好考核迎检准备，做实数据统计，准确理解指标解释要求，拓宽统计渠道，做到数据“应统尽统”。要全面开展问题自查自纠，进一步完善就业工作台账，按要求准备好佐证资料，保证数据质量，总结经验做法。</w:t>
      </w:r>
    </w:p>
    <w:p>
      <w:pPr>
        <w:tabs>
          <w:tab w:val="left" w:pos="7302"/>
        </w:tabs>
        <w:spacing w:line="560" w:lineRule="exact"/>
        <w:ind w:firstLine="632" w:firstLineChars="200"/>
        <w:rPr>
          <w:rFonts w:ascii="方正黑体_GBK" w:eastAsia="方正黑体_GBK"/>
          <w:color w:val="000000" w:themeColor="text1"/>
          <w:szCs w:val="32"/>
        </w:rPr>
      </w:pPr>
      <w:r>
        <w:rPr>
          <w:rFonts w:hint="eastAsia" w:ascii="方正黑体_GBK" w:eastAsia="方正黑体_GBK"/>
          <w:color w:val="000000" w:themeColor="text1"/>
          <w:szCs w:val="32"/>
        </w:rPr>
        <w:t>六、保障措施</w:t>
      </w:r>
    </w:p>
    <w:p>
      <w:pPr>
        <w:tabs>
          <w:tab w:val="left" w:pos="7302"/>
        </w:tabs>
        <w:spacing w:line="560" w:lineRule="exact"/>
        <w:ind w:firstLine="632" w:firstLineChars="200"/>
        <w:rPr>
          <w:color w:val="000000" w:themeColor="text1"/>
          <w:szCs w:val="32"/>
        </w:rPr>
      </w:pPr>
      <w:r>
        <w:rPr>
          <w:rFonts w:hint="eastAsia" w:ascii="方正楷体_GBK" w:eastAsia="方正楷体_GBK"/>
          <w:color w:val="000000" w:themeColor="text1"/>
          <w:szCs w:val="32"/>
        </w:rPr>
        <w:t>（一）加强组织领导。</w:t>
      </w:r>
      <w:r>
        <w:rPr>
          <w:rFonts w:hint="eastAsia"/>
          <w:color w:val="000000" w:themeColor="text1"/>
          <w:szCs w:val="32"/>
        </w:rPr>
        <w:t>各乡镇、街道要提高思想认识，牢牢把握抓好脱贫人口稳岗就业工作的重大意义，高度重视此次攻坚行动，将其作为巩固拓展脱贫攻坚成果，推动乡村振兴的重要举措。要明确责任领导，进一步强化统筹调度，精心组织实施，细化工作举措，落实专人负责，明确责任分工、时间进度、工作要求，将脱贫人口稳岗就业工作抓细抓好抓实。</w:t>
      </w:r>
    </w:p>
    <w:p>
      <w:pPr>
        <w:tabs>
          <w:tab w:val="left" w:pos="7302"/>
        </w:tabs>
        <w:spacing w:line="560" w:lineRule="exact"/>
        <w:ind w:firstLine="632" w:firstLineChars="200"/>
        <w:rPr>
          <w:color w:val="000000" w:themeColor="text1"/>
          <w:szCs w:val="32"/>
        </w:rPr>
      </w:pPr>
      <w:r>
        <w:rPr>
          <w:rFonts w:hint="eastAsia" w:ascii="方正楷体_GBK" w:eastAsia="方正楷体_GBK"/>
          <w:color w:val="000000" w:themeColor="text1"/>
          <w:szCs w:val="32"/>
        </w:rPr>
        <w:t>（二）强化工作调度。</w:t>
      </w:r>
      <w:r>
        <w:rPr>
          <w:rFonts w:hint="eastAsia"/>
          <w:color w:val="000000" w:themeColor="text1"/>
          <w:szCs w:val="32"/>
        </w:rPr>
        <w:t>县人力社保局、县乡村振兴局将按周调度脱贫人口就业数据完成情况，适时对各乡镇、街道脱贫人口就业帮扶工作进行调研指导，确保各项工作落实到位。各乡镇、街道要充分发挥村社干部、劳务经纪人、防返贫监测信息员等各类就业帮扶力量作用，凝聚多方合力，共同做好脱贫人口稳岗就业情况监测和工作调度。</w:t>
      </w:r>
    </w:p>
    <w:p>
      <w:pPr>
        <w:tabs>
          <w:tab w:val="left" w:pos="7302"/>
        </w:tabs>
        <w:spacing w:line="560" w:lineRule="exact"/>
        <w:ind w:firstLine="632" w:firstLineChars="200"/>
        <w:rPr>
          <w:color w:val="000000" w:themeColor="text1"/>
          <w:szCs w:val="32"/>
        </w:rPr>
      </w:pPr>
      <w:r>
        <w:rPr>
          <w:rFonts w:hint="eastAsia" w:ascii="方正楷体_GBK" w:eastAsia="方正楷体_GBK"/>
          <w:color w:val="000000" w:themeColor="text1"/>
          <w:szCs w:val="32"/>
        </w:rPr>
        <w:t>（三）加强宣传总结。</w:t>
      </w:r>
      <w:r>
        <w:rPr>
          <w:rFonts w:hint="eastAsia"/>
          <w:color w:val="000000" w:themeColor="text1"/>
          <w:szCs w:val="32"/>
        </w:rPr>
        <w:t>各乡镇、街道要紧扣攻坚行动主题，运用新闻媒体、微博微信、召开院坝会、入户调查等渠道，开展形式多样、内容丰富的宣传活动。发挥典型示范作用，要积极选树一批脱贫人口稳岗就业典型，总结宣传推广一批“立得住、叫得响、推得开”的就业帮扶好经验好做法，激发脱贫人口就业创业的内生动力。</w:t>
      </w:r>
    </w:p>
    <w:p>
      <w:pPr>
        <w:tabs>
          <w:tab w:val="left" w:pos="7302"/>
        </w:tabs>
        <w:spacing w:line="579" w:lineRule="exact"/>
        <w:ind w:firstLine="632" w:firstLineChars="200"/>
        <w:rPr>
          <w:color w:val="000000" w:themeColor="text1"/>
          <w:szCs w:val="32"/>
        </w:rPr>
      </w:pPr>
      <w:r>
        <w:rPr>
          <w:rFonts w:hint="eastAsia" w:ascii="方正楷体_GBK" w:eastAsia="方正楷体_GBK"/>
          <w:color w:val="000000" w:themeColor="text1"/>
          <w:szCs w:val="32"/>
        </w:rPr>
        <w:t>（四）强化结果运用。</w:t>
      </w:r>
      <w:r>
        <w:rPr>
          <w:color w:val="000000" w:themeColor="text1"/>
          <w:szCs w:val="32"/>
        </w:rPr>
        <w:t>强化跟踪督办</w:t>
      </w:r>
      <w:r>
        <w:rPr>
          <w:rFonts w:hint="eastAsia"/>
          <w:color w:val="000000" w:themeColor="text1"/>
          <w:szCs w:val="32"/>
        </w:rPr>
        <w:t>和严格考核</w:t>
      </w:r>
      <w:r>
        <w:rPr>
          <w:color w:val="000000" w:themeColor="text1"/>
          <w:szCs w:val="32"/>
        </w:rPr>
        <w:t>，</w:t>
      </w:r>
      <w:r>
        <w:rPr>
          <w:rFonts w:hint="eastAsia"/>
          <w:color w:val="000000" w:themeColor="text1"/>
          <w:szCs w:val="32"/>
        </w:rPr>
        <w:t>将脱贫人口稳岗就业工作纳入巩固拓展脱贫攻坚成果同乡村振兴有效衔接双月督查重点内容，作为巩固拓展脱贫攻坚成果同乡村振兴有效衔接工作平时考核指标，</w:t>
      </w:r>
      <w:r>
        <w:rPr>
          <w:color w:val="000000" w:themeColor="text1"/>
          <w:szCs w:val="32"/>
        </w:rPr>
        <w:t>对</w:t>
      </w:r>
      <w:r>
        <w:rPr>
          <w:rFonts w:hint="eastAsia"/>
          <w:color w:val="000000" w:themeColor="text1"/>
          <w:szCs w:val="32"/>
        </w:rPr>
        <w:t>工作不落实、落实不到位的将严格考核扣分</w:t>
      </w:r>
      <w:r>
        <w:rPr>
          <w:color w:val="000000" w:themeColor="text1"/>
          <w:szCs w:val="32"/>
        </w:rPr>
        <w:t>。</w:t>
      </w: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rPr>
          <w:szCs w:val="32"/>
        </w:rPr>
      </w:pPr>
      <w:r>
        <w:rPr>
          <w:rFonts w:hint="eastAsia"/>
          <w:szCs w:val="32"/>
        </w:rPr>
        <w:t xml:space="preserve">    </w:t>
      </w: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ind w:firstLine="632" w:firstLineChars="200"/>
        <w:rPr>
          <w:szCs w:val="32"/>
        </w:rPr>
      </w:pPr>
    </w:p>
    <w:p>
      <w:pPr>
        <w:tabs>
          <w:tab w:val="left" w:pos="7302"/>
        </w:tabs>
        <w:spacing w:line="560" w:lineRule="exact"/>
        <w:rPr>
          <w:szCs w:val="32"/>
        </w:rPr>
      </w:pPr>
      <w:r>
        <w:rPr>
          <w:rFonts w:hint="eastAsia"/>
          <w:szCs w:val="32"/>
        </w:rPr>
        <w:t xml:space="preserve">    </w:t>
      </w:r>
    </w:p>
    <w:p>
      <w:pPr>
        <w:tabs>
          <w:tab w:val="left" w:pos="7302"/>
        </w:tabs>
        <w:spacing w:line="560" w:lineRule="exact"/>
        <w:ind w:firstLine="632" w:firstLineChars="200"/>
        <w:rPr>
          <w:szCs w:val="32"/>
        </w:rPr>
      </w:pPr>
    </w:p>
    <w:p>
      <w:pPr>
        <w:tabs>
          <w:tab w:val="left" w:pos="7302"/>
        </w:tabs>
        <w:spacing w:line="560" w:lineRule="exact"/>
        <w:rPr>
          <w:szCs w:val="32"/>
        </w:rPr>
      </w:pPr>
      <w:r>
        <w:rPr>
          <w:rFonts w:hint="eastAsia"/>
          <w:szCs w:val="32"/>
        </w:rPr>
        <w:t xml:space="preserve">    </w:t>
      </w:r>
    </w:p>
    <w:p>
      <w:pPr>
        <w:tabs>
          <w:tab w:val="left" w:pos="7302"/>
        </w:tabs>
        <w:spacing w:line="560" w:lineRule="exact"/>
        <w:rPr>
          <w:szCs w:val="32"/>
        </w:rPr>
      </w:pPr>
    </w:p>
    <w:p>
      <w:pPr>
        <w:tabs>
          <w:tab w:val="left" w:pos="7302"/>
        </w:tabs>
        <w:spacing w:line="560" w:lineRule="exact"/>
        <w:rPr>
          <w:szCs w:val="32"/>
        </w:rPr>
      </w:pPr>
    </w:p>
    <w:p>
      <w:pPr>
        <w:tabs>
          <w:tab w:val="left" w:pos="7302"/>
        </w:tabs>
        <w:spacing w:line="560" w:lineRule="exact"/>
        <w:rPr>
          <w:szCs w:val="32"/>
        </w:rPr>
      </w:pPr>
    </w:p>
    <w:p>
      <w:pPr>
        <w:tabs>
          <w:tab w:val="left" w:pos="7302"/>
        </w:tabs>
        <w:spacing w:line="560" w:lineRule="exact"/>
        <w:rPr>
          <w:szCs w:val="32"/>
        </w:rPr>
      </w:pPr>
    </w:p>
    <w:p>
      <w:pPr>
        <w:tabs>
          <w:tab w:val="left" w:pos="7302"/>
        </w:tabs>
        <w:spacing w:line="560" w:lineRule="exact"/>
        <w:rPr>
          <w:szCs w:val="32"/>
        </w:rPr>
      </w:pPr>
      <w:r>
        <w:rPr>
          <w:rFonts w:ascii="方正仿宋_GBK"/>
          <w:szCs w:val="32"/>
        </w:rPr>
        <w:pict>
          <v:shape id="_x0000_s1029" o:spid="_x0000_s1029" o:spt="32" type="#_x0000_t32" style="position:absolute;left:0pt;margin-left:0.25pt;margin-top:27.3pt;height:0pt;width:442.2pt;z-index:251660288;mso-width-relative:page;mso-height-relative:page;" o:connectortype="straight" filled="f" coordsize="21600,21600">
            <v:path arrowok="t"/>
            <v:fill on="f" focussize="0,0"/>
            <v:stroke weight="1pt"/>
            <v:imagedata o:title=""/>
            <o:lock v:ext="edit"/>
          </v:shape>
        </w:pict>
      </w:r>
      <w:r>
        <w:rPr>
          <w:rFonts w:hint="eastAsia"/>
          <w:szCs w:val="32"/>
        </w:rPr>
        <w:t xml:space="preserve">    </w:t>
      </w:r>
    </w:p>
    <w:p>
      <w:pPr>
        <w:tabs>
          <w:tab w:val="left" w:pos="7302"/>
        </w:tabs>
        <w:spacing w:line="560" w:lineRule="exact"/>
        <w:ind w:firstLine="276" w:firstLineChars="100"/>
        <w:rPr>
          <w:szCs w:val="32"/>
        </w:rPr>
      </w:pPr>
      <w:r>
        <w:rPr>
          <w:rFonts w:ascii="方正仿宋_GBK"/>
          <w:sz w:val="28"/>
          <w:szCs w:val="28"/>
        </w:rPr>
        <w:pict>
          <v:shape id="_x0000_s1030" o:spid="_x0000_s1030" o:spt="32" type="#_x0000_t32" style="position:absolute;left:0pt;margin-left:0.25pt;margin-top:29.9pt;height:0pt;width:442.2pt;z-index:251661312;mso-width-relative:page;mso-height-relative:page;" o:connectortype="straight" filled="f" coordsize="21600,21600">
            <v:path arrowok="t"/>
            <v:fill on="f" focussize="0,0"/>
            <v:stroke weight="1pt"/>
            <v:imagedata o:title=""/>
            <o:lock v:ext="edit"/>
          </v:shape>
        </w:pict>
      </w:r>
      <w:r>
        <w:rPr>
          <w:rFonts w:hint="eastAsia" w:ascii="方正仿宋_GBK"/>
          <w:sz w:val="28"/>
          <w:szCs w:val="28"/>
        </w:rPr>
        <w:t xml:space="preserve">城口县人力资源和社会保障局              </w:t>
      </w:r>
      <w:r>
        <w:rPr>
          <w:sz w:val="28"/>
          <w:szCs w:val="28"/>
        </w:rPr>
        <w:t>202</w:t>
      </w:r>
      <w:r>
        <w:rPr>
          <w:rFonts w:hint="eastAsia"/>
          <w:sz w:val="28"/>
          <w:szCs w:val="28"/>
        </w:rPr>
        <w:t>2</w:t>
      </w:r>
      <w:r>
        <w:rPr>
          <w:sz w:val="28"/>
          <w:szCs w:val="28"/>
        </w:rPr>
        <w:t>年</w:t>
      </w:r>
      <w:r>
        <w:rPr>
          <w:rFonts w:hint="eastAsia"/>
          <w:sz w:val="28"/>
          <w:szCs w:val="28"/>
        </w:rPr>
        <w:t>11</w:t>
      </w:r>
      <w:r>
        <w:rPr>
          <w:sz w:val="28"/>
          <w:szCs w:val="28"/>
        </w:rPr>
        <w:t>月</w:t>
      </w:r>
      <w:r>
        <w:rPr>
          <w:rFonts w:hint="eastAsia"/>
          <w:sz w:val="28"/>
          <w:szCs w:val="28"/>
          <w:lang w:val="en-US" w:eastAsia="zh-CN"/>
        </w:rPr>
        <w:t>23</w:t>
      </w:r>
      <w:r>
        <w:rPr>
          <w:rFonts w:hint="eastAsia" w:ascii="方正仿宋_GBK"/>
          <w:sz w:val="28"/>
          <w:szCs w:val="28"/>
        </w:rPr>
        <w:t>日印发</w:t>
      </w:r>
    </w:p>
    <w:sectPr>
      <w:footerReference r:id="rId3" w:type="default"/>
      <w:footerReference r:id="rId4" w:type="even"/>
      <w:pgSz w:w="11906" w:h="16838"/>
      <w:pgMar w:top="2098" w:right="1474" w:bottom="1985" w:left="1588" w:header="851" w:footer="158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rPr>
        <w:rFonts w:ascii="宋体" w:hAnsi="宋体" w:eastAsia="宋体"/>
        <w:sz w:val="28"/>
        <w:szCs w:val="28"/>
      </w:rPr>
    </w:pPr>
    <w:r>
      <w:rPr>
        <w:rFonts w:hint="eastAsia" w:ascii="宋体" w:hAnsi="宋体" w:eastAsia="宋体"/>
        <w:sz w:val="28"/>
        <w:szCs w:val="21"/>
      </w:rPr>
      <w:t>—</w:t>
    </w:r>
    <w:r>
      <w:rPr>
        <w:rFonts w:ascii="宋体" w:hAnsi="宋体" w:eastAsia="宋体"/>
        <w:sz w:val="28"/>
        <w:szCs w:val="21"/>
      </w:rPr>
      <w:t xml:space="preserve"> </w:t>
    </w:r>
    <w:r>
      <w:rPr>
        <w:rFonts w:ascii="宋体" w:hAnsi="宋体" w:eastAsia="宋体"/>
        <w:sz w:val="28"/>
        <w:szCs w:val="21"/>
      </w:rPr>
      <w:fldChar w:fldCharType="begin"/>
    </w:r>
    <w:r>
      <w:rPr>
        <w:rFonts w:ascii="宋体" w:hAnsi="宋体" w:eastAsia="宋体"/>
        <w:sz w:val="28"/>
        <w:szCs w:val="21"/>
      </w:rPr>
      <w:instrText xml:space="preserve"> PAGE </w:instrText>
    </w:r>
    <w:r>
      <w:rPr>
        <w:rFonts w:ascii="宋体" w:hAnsi="宋体" w:eastAsia="宋体"/>
        <w:sz w:val="28"/>
        <w:szCs w:val="21"/>
      </w:rPr>
      <w:fldChar w:fldCharType="separate"/>
    </w:r>
    <w:r>
      <w:rPr>
        <w:rFonts w:ascii="宋体" w:hAnsi="宋体" w:eastAsia="宋体"/>
        <w:sz w:val="28"/>
        <w:szCs w:val="21"/>
      </w:rPr>
      <w:t>7</w:t>
    </w:r>
    <w:r>
      <w:rPr>
        <w:rFonts w:ascii="宋体" w:hAnsi="宋体" w:eastAsia="宋体"/>
        <w:sz w:val="28"/>
        <w:szCs w:val="21"/>
      </w:rPr>
      <w:fldChar w:fldCharType="end"/>
    </w:r>
    <w:r>
      <w:rPr>
        <w:rFonts w:ascii="宋体" w:hAnsi="宋体" w:eastAsia="宋体"/>
        <w:sz w:val="28"/>
        <w:szCs w:val="21"/>
      </w:rPr>
      <w:t xml:space="preserve"> </w:t>
    </w:r>
    <w:r>
      <w:rPr>
        <w:rFonts w:hint="eastAsia" w:ascii="宋体" w:hAnsi="宋体" w:eastAsia="宋体"/>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Pr>
        <w:rFonts w:ascii="宋体" w:hAnsi="宋体" w:eastAsia="宋体"/>
        <w:sz w:val="28"/>
        <w:szCs w:val="28"/>
      </w:rPr>
    </w:pPr>
    <w:r>
      <w:rPr>
        <w:rFonts w:hint="eastAsia" w:ascii="宋体" w:hAnsi="宋体" w:eastAsia="宋体"/>
        <w:sz w:val="28"/>
        <w:szCs w:val="21"/>
      </w:rPr>
      <w:t>—</w:t>
    </w:r>
    <w:r>
      <w:rPr>
        <w:rFonts w:ascii="宋体" w:hAnsi="宋体" w:eastAsia="宋体"/>
        <w:sz w:val="28"/>
        <w:szCs w:val="21"/>
      </w:rPr>
      <w:t xml:space="preserve"> </w:t>
    </w:r>
    <w:r>
      <w:rPr>
        <w:rFonts w:ascii="宋体" w:hAnsi="宋体" w:eastAsia="宋体"/>
        <w:sz w:val="28"/>
        <w:szCs w:val="21"/>
      </w:rPr>
      <w:fldChar w:fldCharType="begin"/>
    </w:r>
    <w:r>
      <w:rPr>
        <w:rFonts w:ascii="宋体" w:hAnsi="宋体" w:eastAsia="宋体"/>
        <w:sz w:val="28"/>
        <w:szCs w:val="21"/>
      </w:rPr>
      <w:instrText xml:space="preserve"> PAGE </w:instrText>
    </w:r>
    <w:r>
      <w:rPr>
        <w:rFonts w:ascii="宋体" w:hAnsi="宋体" w:eastAsia="宋体"/>
        <w:sz w:val="28"/>
        <w:szCs w:val="21"/>
      </w:rPr>
      <w:fldChar w:fldCharType="separate"/>
    </w:r>
    <w:r>
      <w:rPr>
        <w:rFonts w:ascii="宋体" w:hAnsi="宋体" w:eastAsia="宋体"/>
        <w:sz w:val="28"/>
        <w:szCs w:val="21"/>
      </w:rPr>
      <w:t>8</w:t>
    </w:r>
    <w:r>
      <w:rPr>
        <w:rFonts w:ascii="宋体" w:hAnsi="宋体" w:eastAsia="宋体"/>
        <w:sz w:val="28"/>
        <w:szCs w:val="21"/>
      </w:rPr>
      <w:fldChar w:fldCharType="end"/>
    </w:r>
    <w:r>
      <w:rPr>
        <w:rFonts w:ascii="宋体" w:hAnsi="宋体" w:eastAsia="宋体"/>
        <w:sz w:val="28"/>
        <w:szCs w:val="21"/>
      </w:rPr>
      <w:t xml:space="preserve"> </w:t>
    </w:r>
    <w:r>
      <w:rPr>
        <w:rFonts w:hint="eastAsia" w:ascii="宋体" w:hAnsi="宋体" w:eastAsia="宋体"/>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ODhiMTY3ZmM3MTlhMmQ1M2JhY2EwODgwYjgxZDllNTMifQ=="/>
  </w:docVars>
  <w:rsids>
    <w:rsidRoot w:val="00172A27"/>
    <w:rsid w:val="00050BB2"/>
    <w:rsid w:val="000918CF"/>
    <w:rsid w:val="000A3705"/>
    <w:rsid w:val="000B3B4E"/>
    <w:rsid w:val="000C1306"/>
    <w:rsid w:val="000D4644"/>
    <w:rsid w:val="000F0210"/>
    <w:rsid w:val="001037BD"/>
    <w:rsid w:val="00114ACD"/>
    <w:rsid w:val="00145A33"/>
    <w:rsid w:val="00161722"/>
    <w:rsid w:val="00172A27"/>
    <w:rsid w:val="001811A8"/>
    <w:rsid w:val="001819A2"/>
    <w:rsid w:val="001D6EB5"/>
    <w:rsid w:val="001F3AA0"/>
    <w:rsid w:val="00252C9E"/>
    <w:rsid w:val="002608BE"/>
    <w:rsid w:val="00264997"/>
    <w:rsid w:val="00280855"/>
    <w:rsid w:val="0029391F"/>
    <w:rsid w:val="00296893"/>
    <w:rsid w:val="002C0C6E"/>
    <w:rsid w:val="002E0B79"/>
    <w:rsid w:val="00320D5D"/>
    <w:rsid w:val="00323293"/>
    <w:rsid w:val="00360C9D"/>
    <w:rsid w:val="003930FA"/>
    <w:rsid w:val="003C3C06"/>
    <w:rsid w:val="003D072B"/>
    <w:rsid w:val="003E3A6E"/>
    <w:rsid w:val="00406CC7"/>
    <w:rsid w:val="00423D3E"/>
    <w:rsid w:val="004515DD"/>
    <w:rsid w:val="00490BBC"/>
    <w:rsid w:val="004C21F1"/>
    <w:rsid w:val="004D57E6"/>
    <w:rsid w:val="004D6FED"/>
    <w:rsid w:val="004E12DC"/>
    <w:rsid w:val="004F16AF"/>
    <w:rsid w:val="005568F4"/>
    <w:rsid w:val="005818C1"/>
    <w:rsid w:val="00583C8B"/>
    <w:rsid w:val="005963F7"/>
    <w:rsid w:val="005A4C99"/>
    <w:rsid w:val="005B73F2"/>
    <w:rsid w:val="005B7F68"/>
    <w:rsid w:val="005C5E6D"/>
    <w:rsid w:val="005D64CA"/>
    <w:rsid w:val="006505B9"/>
    <w:rsid w:val="00684FC5"/>
    <w:rsid w:val="00693055"/>
    <w:rsid w:val="006B67FE"/>
    <w:rsid w:val="006C36F6"/>
    <w:rsid w:val="006F690C"/>
    <w:rsid w:val="007421A2"/>
    <w:rsid w:val="00764963"/>
    <w:rsid w:val="007D25AE"/>
    <w:rsid w:val="008116BE"/>
    <w:rsid w:val="00835251"/>
    <w:rsid w:val="008503BB"/>
    <w:rsid w:val="0086058D"/>
    <w:rsid w:val="00880DF5"/>
    <w:rsid w:val="00887595"/>
    <w:rsid w:val="008A08C2"/>
    <w:rsid w:val="008A1C66"/>
    <w:rsid w:val="008D292B"/>
    <w:rsid w:val="008F3128"/>
    <w:rsid w:val="0090613E"/>
    <w:rsid w:val="0091526A"/>
    <w:rsid w:val="009227FE"/>
    <w:rsid w:val="00934AC6"/>
    <w:rsid w:val="0098448A"/>
    <w:rsid w:val="009A5AF7"/>
    <w:rsid w:val="009B76DC"/>
    <w:rsid w:val="009D5773"/>
    <w:rsid w:val="009F2F83"/>
    <w:rsid w:val="00A22537"/>
    <w:rsid w:val="00A35490"/>
    <w:rsid w:val="00A523A5"/>
    <w:rsid w:val="00A64931"/>
    <w:rsid w:val="00AA51A7"/>
    <w:rsid w:val="00AC0A74"/>
    <w:rsid w:val="00AF0F1A"/>
    <w:rsid w:val="00B11EFA"/>
    <w:rsid w:val="00B50D57"/>
    <w:rsid w:val="00B643DC"/>
    <w:rsid w:val="00B97391"/>
    <w:rsid w:val="00BC7F85"/>
    <w:rsid w:val="00BD0E75"/>
    <w:rsid w:val="00BE6387"/>
    <w:rsid w:val="00BF0DDE"/>
    <w:rsid w:val="00C40735"/>
    <w:rsid w:val="00C56296"/>
    <w:rsid w:val="00C741D0"/>
    <w:rsid w:val="00C92975"/>
    <w:rsid w:val="00CD4D35"/>
    <w:rsid w:val="00D01879"/>
    <w:rsid w:val="00D20B63"/>
    <w:rsid w:val="00D20ED4"/>
    <w:rsid w:val="00D21C0F"/>
    <w:rsid w:val="00D67CC2"/>
    <w:rsid w:val="00D8131B"/>
    <w:rsid w:val="00DA21C6"/>
    <w:rsid w:val="00DD7F6C"/>
    <w:rsid w:val="00DF627B"/>
    <w:rsid w:val="00E04CED"/>
    <w:rsid w:val="00E170BC"/>
    <w:rsid w:val="00E41D8B"/>
    <w:rsid w:val="00E46488"/>
    <w:rsid w:val="00E75383"/>
    <w:rsid w:val="00EA0CCF"/>
    <w:rsid w:val="00EC6600"/>
    <w:rsid w:val="00EE6A41"/>
    <w:rsid w:val="00EE6CF7"/>
    <w:rsid w:val="00F1307D"/>
    <w:rsid w:val="00F767D4"/>
    <w:rsid w:val="00F8246D"/>
    <w:rsid w:val="00F847BD"/>
    <w:rsid w:val="00FF3EE0"/>
    <w:rsid w:val="01304AA9"/>
    <w:rsid w:val="06224373"/>
    <w:rsid w:val="069E16A2"/>
    <w:rsid w:val="088D2344"/>
    <w:rsid w:val="091434E8"/>
    <w:rsid w:val="0FEE10E1"/>
    <w:rsid w:val="14204FEE"/>
    <w:rsid w:val="17F151F1"/>
    <w:rsid w:val="18AF324F"/>
    <w:rsid w:val="25C559E0"/>
    <w:rsid w:val="264548B4"/>
    <w:rsid w:val="2EF81EB2"/>
    <w:rsid w:val="2F5D4312"/>
    <w:rsid w:val="303971D8"/>
    <w:rsid w:val="30B45AFB"/>
    <w:rsid w:val="32644365"/>
    <w:rsid w:val="331C02D5"/>
    <w:rsid w:val="334D2ED8"/>
    <w:rsid w:val="36CD4AE9"/>
    <w:rsid w:val="37C7645B"/>
    <w:rsid w:val="39DE1D07"/>
    <w:rsid w:val="3A411426"/>
    <w:rsid w:val="3B6B0985"/>
    <w:rsid w:val="495F59D8"/>
    <w:rsid w:val="5B395099"/>
    <w:rsid w:val="5C787034"/>
    <w:rsid w:val="5CEF21FC"/>
    <w:rsid w:val="5E9C5168"/>
    <w:rsid w:val="60C00655"/>
    <w:rsid w:val="6408055A"/>
    <w:rsid w:val="658178BC"/>
    <w:rsid w:val="690F15D2"/>
    <w:rsid w:val="78176B93"/>
    <w:rsid w:val="7BB2221F"/>
    <w:rsid w:val="7F9D025C"/>
    <w:rsid w:val="EDF33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 id="V:Rule2"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z w:val="32"/>
      <w:szCs w:val="24"/>
      <w:lang w:val="en-US" w:eastAsia="zh-CN" w:bidi="ar-SA"/>
    </w:rPr>
  </w:style>
  <w:style w:type="paragraph" w:styleId="2">
    <w:name w:val="heading 3"/>
    <w:basedOn w:val="1"/>
    <w:next w:val="1"/>
    <w:qFormat/>
    <w:uiPriority w:val="0"/>
    <w:pPr>
      <w:keepNext/>
      <w:keepLines/>
      <w:spacing w:line="413" w:lineRule="auto"/>
      <w:outlineLvl w:val="2"/>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720" w:firstLineChars="225"/>
    </w:pPr>
    <w:rPr>
      <w:rFonts w:hint="eastAsia" w:ascii="仿宋_GB2312" w:hAnsi="Calibri" w:eastAsia="仿宋_GB2312"/>
    </w:rPr>
  </w:style>
  <w:style w:type="paragraph" w:styleId="4">
    <w:name w:val="Date"/>
    <w:basedOn w:val="1"/>
    <w:next w:val="1"/>
    <w:qFormat/>
    <w:uiPriority w:val="0"/>
    <w:pPr>
      <w:ind w:left="100" w:leftChars="2500"/>
    </w:pPr>
  </w:style>
  <w:style w:type="paragraph" w:styleId="5">
    <w:name w:val="Balloon Text"/>
    <w:basedOn w:val="1"/>
    <w:qFormat/>
    <w:uiPriority w:val="0"/>
    <w:rPr>
      <w:sz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Char1"/>
    <w:basedOn w:val="1"/>
    <w:qFormat/>
    <w:uiPriority w:val="0"/>
    <w:pPr>
      <w:widowControl/>
      <w:spacing w:line="240" w:lineRule="exact"/>
      <w:jc w:val="left"/>
    </w:pPr>
    <w:rPr>
      <w:szCs w:val="20"/>
    </w:rPr>
  </w:style>
  <w:style w:type="paragraph" w:customStyle="1" w:styleId="15">
    <w:name w:val="Char"/>
    <w:basedOn w:val="1"/>
    <w:qFormat/>
    <w:uiPriority w:val="0"/>
    <w:pPr>
      <w:widowControl/>
      <w:spacing w:line="240" w:lineRule="exact"/>
      <w:jc w:val="left"/>
    </w:pPr>
  </w:style>
  <w:style w:type="character" w:customStyle="1" w:styleId="16">
    <w:name w:val="HTML 预设格式 Char"/>
    <w:basedOn w:val="10"/>
    <w:link w:val="8"/>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3039</Words>
  <Characters>148</Characters>
  <Lines>1</Lines>
  <Paragraphs>6</Paragraphs>
  <TotalTime>375</TotalTime>
  <ScaleCrop>false</ScaleCrop>
  <LinksUpToDate>false</LinksUpToDate>
  <CharactersWithSpaces>3181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2014-12-26T00:18:00Z</dcterms:created>
  <dc:creator>微软用户</dc:creator>
  <cp:lastModifiedBy>张志远</cp:lastModifiedBy>
  <cp:lastPrinted>2019-03-25T09:27:00Z</cp:lastPrinted>
  <dcterms:modified xsi:type="dcterms:W3CDTF">2023-09-13T11:27:45Z</dcterms:modified>
  <dc:title>城口县旅游局</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70C5D51D083C42689B836F4EE5F71FFE</vt:lpwstr>
  </property>
</Properties>
</file>