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AE" w:rsidRDefault="00AF03AE">
      <w:pPr>
        <w:spacing w:line="579" w:lineRule="exact"/>
        <w:jc w:val="center"/>
        <w:rPr>
          <w:kern w:val="2"/>
          <w:szCs w:val="32"/>
        </w:rPr>
      </w:pPr>
    </w:p>
    <w:p w:rsidR="00AF03AE" w:rsidRDefault="00C25EA0">
      <w:pPr>
        <w:spacing w:line="579" w:lineRule="exact"/>
        <w:jc w:val="center"/>
        <w:rPr>
          <w:rFonts w:eastAsia="方正楷体_GBK"/>
        </w:rPr>
      </w:pPr>
      <w:proofErr w:type="gramStart"/>
      <w:r>
        <w:t>城发改委</w:t>
      </w:r>
      <w:proofErr w:type="gramEnd"/>
      <w:r>
        <w:rPr>
          <w:rFonts w:hint="eastAsia"/>
        </w:rPr>
        <w:t>投资</w:t>
      </w:r>
      <w:r>
        <w:t>〔</w:t>
      </w:r>
      <w:r>
        <w:t>202</w:t>
      </w:r>
      <w:r>
        <w:rPr>
          <w:rFonts w:hint="eastAsia"/>
        </w:rPr>
        <w:t>6</w:t>
      </w:r>
      <w:r>
        <w:t>〕</w:t>
      </w:r>
      <w:r>
        <w:rPr>
          <w:rFonts w:hint="eastAsia"/>
        </w:rPr>
        <w:t>183</w:t>
      </w:r>
      <w:r>
        <w:t>号</w:t>
      </w:r>
    </w:p>
    <w:p w:rsidR="00AF03AE" w:rsidRDefault="00AF03AE">
      <w:pPr>
        <w:spacing w:line="579" w:lineRule="exact"/>
        <w:jc w:val="center"/>
      </w:pPr>
    </w:p>
    <w:p w:rsidR="00AF03AE" w:rsidRDefault="00AF03AE">
      <w:pPr>
        <w:spacing w:line="579" w:lineRule="exact"/>
        <w:jc w:val="center"/>
      </w:pPr>
    </w:p>
    <w:p w:rsidR="00AF03AE" w:rsidRDefault="00C25EA0">
      <w:pPr>
        <w:spacing w:line="579" w:lineRule="exact"/>
        <w:jc w:val="center"/>
        <w:rPr>
          <w:rFonts w:eastAsia="方正小标宋_GBK"/>
          <w:sz w:val="44"/>
          <w:szCs w:val="44"/>
        </w:rPr>
      </w:pPr>
      <w:r>
        <w:rPr>
          <w:rFonts w:eastAsia="方正小标宋_GBK"/>
          <w:sz w:val="44"/>
          <w:szCs w:val="44"/>
        </w:rPr>
        <w:t>城口县发展和改革委员会</w:t>
      </w:r>
    </w:p>
    <w:p w:rsidR="00AF03AE" w:rsidRDefault="00C25EA0">
      <w:pPr>
        <w:snapToGrid w:val="0"/>
        <w:spacing w:line="579" w:lineRule="exact"/>
        <w:jc w:val="center"/>
      </w:pPr>
      <w:r>
        <w:rPr>
          <w:rFonts w:eastAsia="方正小标宋_GBK"/>
          <w:sz w:val="44"/>
          <w:szCs w:val="44"/>
        </w:rPr>
        <w:t>关于</w:t>
      </w:r>
      <w:r>
        <w:rPr>
          <w:rFonts w:eastAsia="方正小标宋_GBK"/>
          <w:sz w:val="44"/>
          <w:szCs w:val="44"/>
        </w:rPr>
        <w:t>城口县</w:t>
      </w:r>
      <w:r>
        <w:rPr>
          <w:rFonts w:eastAsia="方正小标宋_GBK"/>
          <w:sz w:val="44"/>
          <w:szCs w:val="44"/>
        </w:rPr>
        <w:t>2026</w:t>
      </w:r>
      <w:r>
        <w:rPr>
          <w:rFonts w:eastAsia="方正小标宋_GBK"/>
          <w:sz w:val="44"/>
          <w:szCs w:val="44"/>
        </w:rPr>
        <w:t>年巴山镇龙王村中药材基地及配套设施建设项目</w:t>
      </w:r>
      <w:r>
        <w:rPr>
          <w:rFonts w:eastAsia="方正小标宋_GBK" w:hint="eastAsia"/>
          <w:sz w:val="44"/>
          <w:szCs w:val="44"/>
        </w:rPr>
        <w:t>立项及</w:t>
      </w:r>
      <w:r>
        <w:rPr>
          <w:rFonts w:eastAsia="方正小标宋_GBK"/>
          <w:sz w:val="44"/>
          <w:szCs w:val="44"/>
        </w:rPr>
        <w:t>概算的批复</w:t>
      </w:r>
    </w:p>
    <w:p w:rsidR="00AF03AE" w:rsidRDefault="00AF03AE">
      <w:pPr>
        <w:spacing w:line="579" w:lineRule="exact"/>
        <w:rPr>
          <w:szCs w:val="32"/>
        </w:rPr>
      </w:pPr>
    </w:p>
    <w:p w:rsidR="00AF03AE" w:rsidRDefault="00C25EA0">
      <w:pPr>
        <w:pStyle w:val="HTML"/>
        <w:widowControl/>
        <w:spacing w:line="579" w:lineRule="exact"/>
        <w:rPr>
          <w:rFonts w:ascii="Times New Roman" w:eastAsia="方正仿宋_GBK" w:hAnsi="Times New Roman" w:hint="default"/>
          <w:sz w:val="32"/>
          <w:szCs w:val="32"/>
        </w:rPr>
      </w:pPr>
      <w:r>
        <w:rPr>
          <w:rFonts w:ascii="Times New Roman" w:eastAsia="方正仿宋_GBK" w:hAnsi="Times New Roman" w:cs="方正仿宋_GBK"/>
          <w:color w:val="000000"/>
          <w:sz w:val="31"/>
          <w:szCs w:val="31"/>
        </w:rPr>
        <w:t>巴山镇人民政府</w:t>
      </w:r>
      <w:r>
        <w:rPr>
          <w:rFonts w:ascii="Times New Roman" w:eastAsia="方正仿宋_GBK" w:hAnsi="Times New Roman" w:hint="default"/>
          <w:sz w:val="32"/>
          <w:szCs w:val="32"/>
        </w:rPr>
        <w:t>：</w:t>
      </w:r>
    </w:p>
    <w:p w:rsidR="00AF03AE" w:rsidRDefault="00C25EA0">
      <w:pPr>
        <w:widowControl/>
        <w:spacing w:line="579" w:lineRule="exact"/>
        <w:ind w:firstLineChars="200" w:firstLine="632"/>
        <w:jc w:val="left"/>
        <w:rPr>
          <w:szCs w:val="32"/>
        </w:rPr>
      </w:pPr>
      <w:r>
        <w:rPr>
          <w:szCs w:val="32"/>
        </w:rPr>
        <w:t>送来</w:t>
      </w:r>
      <w:r>
        <w:rPr>
          <w:szCs w:val="32"/>
        </w:rPr>
        <w:t>《关于申请城口县</w:t>
      </w:r>
      <w:r>
        <w:rPr>
          <w:szCs w:val="32"/>
        </w:rPr>
        <w:t>2026</w:t>
      </w:r>
      <w:r>
        <w:rPr>
          <w:szCs w:val="32"/>
        </w:rPr>
        <w:t>年巴山镇龙王村中药材基地及配套设施建设项目立项及概算审查的函》（</w:t>
      </w:r>
      <w:r>
        <w:rPr>
          <w:rFonts w:hint="eastAsia"/>
          <w:szCs w:val="32"/>
        </w:rPr>
        <w:t>巴山府函〔</w:t>
      </w:r>
      <w:r>
        <w:rPr>
          <w:rFonts w:hint="eastAsia"/>
          <w:szCs w:val="32"/>
        </w:rPr>
        <w:t>2026</w:t>
      </w:r>
      <w:r>
        <w:rPr>
          <w:rFonts w:hint="eastAsia"/>
          <w:szCs w:val="32"/>
        </w:rPr>
        <w:t>〕</w:t>
      </w:r>
      <w:r>
        <w:rPr>
          <w:rFonts w:hint="eastAsia"/>
          <w:szCs w:val="32"/>
        </w:rPr>
        <w:t>63</w:t>
      </w:r>
      <w:r>
        <w:rPr>
          <w:rFonts w:hint="eastAsia"/>
          <w:szCs w:val="32"/>
        </w:rPr>
        <w:t>号</w:t>
      </w:r>
      <w:r>
        <w:rPr>
          <w:szCs w:val="32"/>
        </w:rPr>
        <w:t>）</w:t>
      </w:r>
      <w:r>
        <w:rPr>
          <w:sz w:val="33"/>
          <w:szCs w:val="33"/>
        </w:rPr>
        <w:t>等相关资料</w:t>
      </w:r>
      <w:r>
        <w:rPr>
          <w:szCs w:val="32"/>
        </w:rPr>
        <w:t>收悉。按照《政府投资条例》（国务院令第</w:t>
      </w:r>
      <w:r>
        <w:rPr>
          <w:szCs w:val="32"/>
        </w:rPr>
        <w:t>712</w:t>
      </w:r>
      <w:r>
        <w:rPr>
          <w:szCs w:val="32"/>
        </w:rPr>
        <w:t>号）、《重庆市政府投资管理办法》（</w:t>
      </w:r>
      <w:proofErr w:type="gramStart"/>
      <w:r>
        <w:rPr>
          <w:szCs w:val="32"/>
        </w:rPr>
        <w:t>渝府令</w:t>
      </w:r>
      <w:proofErr w:type="gramEnd"/>
      <w:r>
        <w:rPr>
          <w:szCs w:val="32"/>
        </w:rPr>
        <w:t>〔</w:t>
      </w:r>
      <w:r>
        <w:rPr>
          <w:szCs w:val="32"/>
        </w:rPr>
        <w:t>2020</w:t>
      </w:r>
      <w:r>
        <w:rPr>
          <w:szCs w:val="32"/>
        </w:rPr>
        <w:t>〕</w:t>
      </w:r>
      <w:r>
        <w:rPr>
          <w:szCs w:val="32"/>
        </w:rPr>
        <w:t>339</w:t>
      </w:r>
      <w:r>
        <w:rPr>
          <w:szCs w:val="32"/>
        </w:rPr>
        <w:t>号）规定，我委</w:t>
      </w:r>
      <w:r>
        <w:rPr>
          <w:rFonts w:hint="eastAsia"/>
          <w:szCs w:val="32"/>
        </w:rPr>
        <w:t>会同相关领域专家</w:t>
      </w:r>
      <w:r>
        <w:rPr>
          <w:szCs w:val="32"/>
        </w:rPr>
        <w:t>对该项目</w:t>
      </w:r>
      <w:r>
        <w:rPr>
          <w:szCs w:val="32"/>
        </w:rPr>
        <w:t>投资概算</w:t>
      </w:r>
      <w:r>
        <w:rPr>
          <w:szCs w:val="32"/>
        </w:rPr>
        <w:t>进行了审查</w:t>
      </w:r>
      <w:r>
        <w:rPr>
          <w:rFonts w:hint="eastAsia"/>
          <w:szCs w:val="32"/>
        </w:rPr>
        <w:t>。</w:t>
      </w:r>
      <w:r>
        <w:rPr>
          <w:rFonts w:hint="eastAsia"/>
          <w:szCs w:val="32"/>
        </w:rPr>
        <w:t>根据专家组出具的概算审查意见，经研究，</w:t>
      </w:r>
      <w:r>
        <w:rPr>
          <w:szCs w:val="32"/>
        </w:rPr>
        <w:t>原则同意该项目</w:t>
      </w:r>
      <w:r>
        <w:rPr>
          <w:rFonts w:hint="eastAsia"/>
          <w:szCs w:val="32"/>
        </w:rPr>
        <w:t>立项及投资概算</w:t>
      </w:r>
      <w:r>
        <w:rPr>
          <w:szCs w:val="32"/>
        </w:rPr>
        <w:t>，现就有关事项批复如下：</w:t>
      </w:r>
    </w:p>
    <w:p w:rsidR="00AF03AE" w:rsidRDefault="00C25EA0">
      <w:pPr>
        <w:spacing w:line="579" w:lineRule="exact"/>
        <w:ind w:firstLineChars="200" w:firstLine="632"/>
        <w:rPr>
          <w:szCs w:val="32"/>
        </w:rPr>
      </w:pPr>
      <w:r>
        <w:rPr>
          <w:rFonts w:eastAsia="方正黑体_GBK"/>
          <w:szCs w:val="32"/>
        </w:rPr>
        <w:t>一、项目名称：</w:t>
      </w:r>
      <w:r>
        <w:rPr>
          <w:color w:val="000000"/>
        </w:rPr>
        <w:t>城口县</w:t>
      </w:r>
      <w:r>
        <w:rPr>
          <w:color w:val="000000"/>
        </w:rPr>
        <w:t>2026</w:t>
      </w:r>
      <w:r>
        <w:rPr>
          <w:color w:val="000000"/>
        </w:rPr>
        <w:t>年巴山镇龙王村中药材基地及配套设施建设项目</w:t>
      </w:r>
      <w:r>
        <w:rPr>
          <w:szCs w:val="32"/>
        </w:rPr>
        <w:t>。</w:t>
      </w:r>
    </w:p>
    <w:p w:rsidR="00AF03AE" w:rsidRDefault="00C25EA0">
      <w:pPr>
        <w:spacing w:line="579" w:lineRule="exact"/>
        <w:ind w:firstLineChars="200" w:firstLine="632"/>
        <w:rPr>
          <w:szCs w:val="32"/>
        </w:rPr>
      </w:pPr>
      <w:r>
        <w:rPr>
          <w:szCs w:val="32"/>
        </w:rPr>
        <w:t>项目编码：</w:t>
      </w:r>
      <w:r>
        <w:rPr>
          <w:szCs w:val="32"/>
        </w:rPr>
        <w:t>2503-500229-04-01-655017</w:t>
      </w:r>
      <w:r>
        <w:rPr>
          <w:szCs w:val="32"/>
        </w:rPr>
        <w:t>。</w:t>
      </w:r>
    </w:p>
    <w:p w:rsidR="00AF03AE" w:rsidRDefault="00C25EA0">
      <w:pPr>
        <w:spacing w:line="579" w:lineRule="exact"/>
        <w:ind w:firstLine="640"/>
        <w:rPr>
          <w:szCs w:val="32"/>
        </w:rPr>
      </w:pPr>
      <w:r>
        <w:rPr>
          <w:rFonts w:eastAsia="方正黑体_GBK"/>
          <w:szCs w:val="32"/>
        </w:rPr>
        <w:t>二、建设地点：</w:t>
      </w:r>
      <w:r>
        <w:rPr>
          <w:szCs w:val="32"/>
        </w:rPr>
        <w:t>巴山镇龙王村</w:t>
      </w:r>
      <w:r>
        <w:rPr>
          <w:szCs w:val="32"/>
        </w:rPr>
        <w:t>。</w:t>
      </w:r>
    </w:p>
    <w:p w:rsidR="00AF03AE" w:rsidRDefault="00C25EA0">
      <w:pPr>
        <w:spacing w:line="579" w:lineRule="exact"/>
        <w:ind w:firstLineChars="200" w:firstLine="632"/>
        <w:rPr>
          <w:rFonts w:eastAsia="方正黑体_GBK"/>
          <w:szCs w:val="32"/>
        </w:rPr>
      </w:pPr>
      <w:r>
        <w:rPr>
          <w:rFonts w:eastAsia="方正黑体_GBK"/>
          <w:szCs w:val="32"/>
        </w:rPr>
        <w:t>三、建设性质：</w:t>
      </w:r>
      <w:r>
        <w:rPr>
          <w:rFonts w:hint="eastAsia"/>
          <w:szCs w:val="32"/>
        </w:rPr>
        <w:t>新建</w:t>
      </w:r>
      <w:r>
        <w:rPr>
          <w:szCs w:val="32"/>
        </w:rPr>
        <w:t>。</w:t>
      </w:r>
    </w:p>
    <w:p w:rsidR="00AF03AE" w:rsidRDefault="00C25EA0">
      <w:pPr>
        <w:pStyle w:val="HTML"/>
        <w:widowControl/>
        <w:spacing w:line="579" w:lineRule="exact"/>
        <w:ind w:firstLine="640"/>
        <w:rPr>
          <w:rFonts w:ascii="Times New Roman" w:eastAsia="方正仿宋_GBK" w:hAnsi="Times New Roman" w:hint="default"/>
          <w:sz w:val="32"/>
          <w:szCs w:val="32"/>
        </w:rPr>
      </w:pPr>
      <w:r>
        <w:rPr>
          <w:rFonts w:ascii="Times New Roman" w:eastAsia="方正黑体_GBK" w:hAnsi="Times New Roman" w:hint="default"/>
          <w:sz w:val="32"/>
          <w:szCs w:val="32"/>
        </w:rPr>
        <w:t>四、</w:t>
      </w:r>
      <w:r>
        <w:rPr>
          <w:rFonts w:ascii="Times New Roman" w:eastAsia="方正黑体_GBK" w:hAnsi="Times New Roman" w:hint="default"/>
          <w:sz w:val="32"/>
          <w:szCs w:val="32"/>
        </w:rPr>
        <w:t>项目业主及责任人</w:t>
      </w:r>
      <w:r>
        <w:rPr>
          <w:rFonts w:ascii="Times New Roman" w:eastAsia="方正黑体_GBK" w:hAnsi="Times New Roman" w:hint="default"/>
          <w:sz w:val="32"/>
          <w:szCs w:val="32"/>
        </w:rPr>
        <w:t>：</w:t>
      </w:r>
      <w:r>
        <w:rPr>
          <w:rFonts w:ascii="Times New Roman" w:eastAsia="方正仿宋_GBK" w:hAnsi="Times New Roman"/>
          <w:sz w:val="32"/>
          <w:szCs w:val="32"/>
        </w:rPr>
        <w:t>巴山镇人民政府</w:t>
      </w:r>
      <w:r>
        <w:rPr>
          <w:rFonts w:ascii="Times New Roman" w:eastAsia="方正仿宋_GBK" w:hAnsi="Times New Roman" w:cs="方正仿宋_GBK"/>
          <w:color w:val="000000"/>
          <w:sz w:val="31"/>
          <w:szCs w:val="31"/>
        </w:rPr>
        <w:t>——胡尚勇</w:t>
      </w:r>
    </w:p>
    <w:p w:rsidR="00AF03AE" w:rsidRDefault="00C25EA0">
      <w:pPr>
        <w:spacing w:line="579" w:lineRule="exact"/>
        <w:ind w:firstLineChars="200" w:firstLine="632"/>
        <w:rPr>
          <w:szCs w:val="32"/>
        </w:rPr>
      </w:pPr>
      <w:r>
        <w:rPr>
          <w:rFonts w:eastAsia="方正黑体_GBK"/>
          <w:szCs w:val="32"/>
        </w:rPr>
        <w:lastRenderedPageBreak/>
        <w:t>五、项目日常监管责任单位及责任人：</w:t>
      </w:r>
      <w:r>
        <w:rPr>
          <w:szCs w:val="32"/>
        </w:rPr>
        <w:t>县</w:t>
      </w:r>
      <w:r>
        <w:rPr>
          <w:rFonts w:hint="eastAsia"/>
          <w:szCs w:val="32"/>
        </w:rPr>
        <w:t>林业局</w:t>
      </w:r>
      <w:r>
        <w:rPr>
          <w:szCs w:val="32"/>
        </w:rPr>
        <w:t>——</w:t>
      </w:r>
      <w:proofErr w:type="gramStart"/>
      <w:r>
        <w:rPr>
          <w:szCs w:val="32"/>
        </w:rPr>
        <w:t>黄座登</w:t>
      </w:r>
      <w:proofErr w:type="gramEnd"/>
    </w:p>
    <w:p w:rsidR="00AF03AE" w:rsidRDefault="00C25EA0">
      <w:pPr>
        <w:spacing w:line="579" w:lineRule="exact"/>
        <w:ind w:firstLineChars="200" w:firstLine="632"/>
        <w:rPr>
          <w:szCs w:val="32"/>
        </w:rPr>
      </w:pPr>
      <w:r>
        <w:rPr>
          <w:rFonts w:eastAsia="方正黑体_GBK"/>
          <w:szCs w:val="32"/>
        </w:rPr>
        <w:t>六</w:t>
      </w:r>
      <w:r>
        <w:rPr>
          <w:rFonts w:eastAsia="方正黑体_GBK"/>
          <w:szCs w:val="32"/>
        </w:rPr>
        <w:t>、建设规模及内容：</w:t>
      </w:r>
      <w:r>
        <w:rPr>
          <w:rFonts w:hint="eastAsia"/>
        </w:rPr>
        <w:t>维修两口</w:t>
      </w:r>
      <w:r>
        <w:rPr>
          <w:rFonts w:hint="eastAsia"/>
        </w:rPr>
        <w:t>10m</w:t>
      </w:r>
      <w:r>
        <w:rPr>
          <w:rFonts w:hint="eastAsia"/>
          <w:vertAlign w:val="superscript"/>
        </w:rPr>
        <w:t>3</w:t>
      </w:r>
      <w:r>
        <w:rPr>
          <w:rFonts w:hint="eastAsia"/>
        </w:rPr>
        <w:t>蓄水池；新建</w:t>
      </w:r>
      <w:r>
        <w:rPr>
          <w:rFonts w:hint="eastAsia"/>
        </w:rPr>
        <w:t>50m</w:t>
      </w:r>
      <w:r>
        <w:rPr>
          <w:rFonts w:hint="eastAsia"/>
          <w:vertAlign w:val="superscript"/>
        </w:rPr>
        <w:t>3</w:t>
      </w:r>
      <w:r>
        <w:rPr>
          <w:rFonts w:hint="eastAsia"/>
        </w:rPr>
        <w:t>蓄水池、</w:t>
      </w:r>
      <w:r>
        <w:rPr>
          <w:rFonts w:hint="eastAsia"/>
        </w:rPr>
        <w:t>30m</w:t>
      </w:r>
      <w:r>
        <w:rPr>
          <w:rFonts w:hint="eastAsia"/>
          <w:vertAlign w:val="superscript"/>
        </w:rPr>
        <w:t>3</w:t>
      </w:r>
      <w:r>
        <w:rPr>
          <w:rFonts w:hint="eastAsia"/>
        </w:rPr>
        <w:t>蓄水池、</w:t>
      </w:r>
      <w:r>
        <w:rPr>
          <w:rFonts w:hint="eastAsia"/>
        </w:rPr>
        <w:t>20m</w:t>
      </w:r>
      <w:r>
        <w:rPr>
          <w:rFonts w:hint="eastAsia"/>
          <w:vertAlign w:val="superscript"/>
        </w:rPr>
        <w:t>3</w:t>
      </w:r>
      <w:r>
        <w:rPr>
          <w:rFonts w:hint="eastAsia"/>
        </w:rPr>
        <w:t>蓄水池各一口，铺设供水管道</w:t>
      </w:r>
      <w:r>
        <w:rPr>
          <w:rFonts w:hint="eastAsia"/>
        </w:rPr>
        <w:t>95mPE</w:t>
      </w:r>
      <w:r>
        <w:rPr>
          <w:rFonts w:hint="eastAsia"/>
        </w:rPr>
        <w:t>管</w:t>
      </w:r>
      <w:r>
        <w:rPr>
          <w:rFonts w:hint="eastAsia"/>
        </w:rPr>
        <w:t>DN50</w:t>
      </w:r>
      <w:r>
        <w:rPr>
          <w:rFonts w:hint="eastAsia"/>
        </w:rPr>
        <w:t>，</w:t>
      </w:r>
      <w:r>
        <w:rPr>
          <w:rFonts w:hint="eastAsia"/>
        </w:rPr>
        <w:t>2050mPE</w:t>
      </w:r>
      <w:r>
        <w:rPr>
          <w:rFonts w:hint="eastAsia"/>
        </w:rPr>
        <w:t>管</w:t>
      </w:r>
      <w:r>
        <w:rPr>
          <w:rFonts w:hint="eastAsia"/>
        </w:rPr>
        <w:t>DN25</w:t>
      </w:r>
      <w:r>
        <w:rPr>
          <w:rFonts w:hint="eastAsia"/>
        </w:rPr>
        <w:t>，</w:t>
      </w:r>
      <w:r>
        <w:rPr>
          <w:rFonts w:hint="eastAsia"/>
        </w:rPr>
        <w:t>2800mPE</w:t>
      </w:r>
      <w:r>
        <w:rPr>
          <w:rFonts w:hint="eastAsia"/>
        </w:rPr>
        <w:t>管</w:t>
      </w:r>
      <w:r>
        <w:rPr>
          <w:rFonts w:hint="eastAsia"/>
        </w:rPr>
        <w:t>DN110</w:t>
      </w:r>
      <w:r>
        <w:rPr>
          <w:rFonts w:hint="eastAsia"/>
        </w:rPr>
        <w:t>，</w:t>
      </w:r>
      <w:r>
        <w:rPr>
          <w:rFonts w:hint="eastAsia"/>
        </w:rPr>
        <w:t>4500mPE</w:t>
      </w:r>
      <w:r>
        <w:rPr>
          <w:rFonts w:hint="eastAsia"/>
        </w:rPr>
        <w:t>管</w:t>
      </w:r>
      <w:r>
        <w:rPr>
          <w:rFonts w:hint="eastAsia"/>
        </w:rPr>
        <w:t>DN75</w:t>
      </w:r>
      <w:r>
        <w:rPr>
          <w:rFonts w:hint="eastAsia"/>
        </w:rPr>
        <w:t>，</w:t>
      </w:r>
      <w:r>
        <w:rPr>
          <w:rFonts w:hint="eastAsia"/>
        </w:rPr>
        <w:t>6000mPE</w:t>
      </w:r>
      <w:r>
        <w:rPr>
          <w:rFonts w:hint="eastAsia"/>
        </w:rPr>
        <w:t>管</w:t>
      </w:r>
      <w:r>
        <w:rPr>
          <w:rFonts w:hint="eastAsia"/>
        </w:rPr>
        <w:t>DN32</w:t>
      </w:r>
      <w:r>
        <w:rPr>
          <w:rFonts w:hint="eastAsia"/>
        </w:rPr>
        <w:t>，喷淋管</w:t>
      </w:r>
      <w:r>
        <w:rPr>
          <w:rFonts w:hint="eastAsia"/>
        </w:rPr>
        <w:t>6000m</w:t>
      </w:r>
      <w:r>
        <w:rPr>
          <w:rFonts w:hint="eastAsia"/>
        </w:rPr>
        <w:t>。</w:t>
      </w:r>
    </w:p>
    <w:p w:rsidR="00AF03AE" w:rsidRDefault="00C25EA0">
      <w:pPr>
        <w:widowControl/>
        <w:spacing w:line="579" w:lineRule="exact"/>
        <w:ind w:firstLineChars="200" w:firstLine="632"/>
        <w:jc w:val="left"/>
        <w:rPr>
          <w:szCs w:val="32"/>
        </w:rPr>
      </w:pPr>
      <w:r>
        <w:rPr>
          <w:rFonts w:eastAsia="方正黑体_GBK"/>
          <w:szCs w:val="32"/>
        </w:rPr>
        <w:t>七</w:t>
      </w:r>
      <w:r>
        <w:rPr>
          <w:rFonts w:eastAsia="方正黑体_GBK"/>
          <w:szCs w:val="32"/>
        </w:rPr>
        <w:t>、总投资及资金来源：</w:t>
      </w:r>
      <w:r>
        <w:rPr>
          <w:szCs w:val="32"/>
        </w:rPr>
        <w:t>工程总投资</w:t>
      </w:r>
      <w:r>
        <w:rPr>
          <w:rFonts w:hint="eastAsia"/>
          <w:szCs w:val="32"/>
        </w:rPr>
        <w:t>控制在</w:t>
      </w:r>
      <w:r>
        <w:rPr>
          <w:rFonts w:hint="eastAsia"/>
          <w:szCs w:val="32"/>
        </w:rPr>
        <w:t>50</w:t>
      </w:r>
      <w:r>
        <w:rPr>
          <w:szCs w:val="32"/>
        </w:rPr>
        <w:t>万元</w:t>
      </w:r>
      <w:r>
        <w:rPr>
          <w:rFonts w:hint="eastAsia"/>
          <w:szCs w:val="32"/>
        </w:rPr>
        <w:t>以内，</w:t>
      </w:r>
      <w:r>
        <w:rPr>
          <w:szCs w:val="32"/>
        </w:rPr>
        <w:t>其中</w:t>
      </w:r>
      <w:r>
        <w:rPr>
          <w:szCs w:val="32"/>
        </w:rPr>
        <w:t>:</w:t>
      </w:r>
      <w:r>
        <w:rPr>
          <w:szCs w:val="32"/>
        </w:rPr>
        <w:t>工程直接费</w:t>
      </w:r>
      <w:r>
        <w:rPr>
          <w:rFonts w:hint="eastAsia"/>
          <w:szCs w:val="32"/>
        </w:rPr>
        <w:t>47</w:t>
      </w:r>
      <w:r>
        <w:rPr>
          <w:szCs w:val="32"/>
        </w:rPr>
        <w:t>万元，工程建设其他费</w:t>
      </w:r>
      <w:r>
        <w:rPr>
          <w:rFonts w:hint="eastAsia"/>
          <w:szCs w:val="32"/>
        </w:rPr>
        <w:t>3</w:t>
      </w:r>
      <w:r>
        <w:rPr>
          <w:szCs w:val="32"/>
        </w:rPr>
        <w:t>万元</w:t>
      </w:r>
      <w:r>
        <w:rPr>
          <w:szCs w:val="32"/>
        </w:rPr>
        <w:t>。资金来源</w:t>
      </w:r>
      <w:r>
        <w:rPr>
          <w:rFonts w:hint="eastAsia"/>
          <w:szCs w:val="32"/>
        </w:rPr>
        <w:t>为财政衔接资金（</w:t>
      </w:r>
      <w:proofErr w:type="gramStart"/>
      <w:r>
        <w:rPr>
          <w:rFonts w:hint="eastAsia"/>
          <w:szCs w:val="32"/>
        </w:rPr>
        <w:t>城委农办</w:t>
      </w:r>
      <w:proofErr w:type="gramEnd"/>
      <w:r>
        <w:rPr>
          <w:rFonts w:hint="eastAsia"/>
          <w:szCs w:val="32"/>
        </w:rPr>
        <w:t>〔</w:t>
      </w:r>
      <w:r>
        <w:rPr>
          <w:rFonts w:hint="eastAsia"/>
          <w:szCs w:val="32"/>
        </w:rPr>
        <w:t>2026</w:t>
      </w:r>
      <w:r>
        <w:rPr>
          <w:rFonts w:hint="eastAsia"/>
          <w:szCs w:val="32"/>
        </w:rPr>
        <w:t>〕</w:t>
      </w:r>
      <w:r>
        <w:rPr>
          <w:rFonts w:hint="eastAsia"/>
          <w:szCs w:val="32"/>
        </w:rPr>
        <w:t>13</w:t>
      </w:r>
      <w:r>
        <w:rPr>
          <w:rFonts w:hint="eastAsia"/>
          <w:szCs w:val="32"/>
        </w:rPr>
        <w:t>号）</w:t>
      </w:r>
      <w:r>
        <w:rPr>
          <w:szCs w:val="32"/>
        </w:rPr>
        <w:t>。</w:t>
      </w:r>
    </w:p>
    <w:p w:rsidR="00AF03AE" w:rsidRDefault="00C25EA0">
      <w:pPr>
        <w:widowControl/>
        <w:spacing w:line="579" w:lineRule="exact"/>
        <w:ind w:firstLineChars="200" w:firstLine="632"/>
        <w:jc w:val="left"/>
        <w:rPr>
          <w:b/>
          <w:bCs/>
          <w:szCs w:val="32"/>
        </w:rPr>
      </w:pPr>
      <w:r>
        <w:rPr>
          <w:rFonts w:eastAsia="方正黑体_GBK"/>
          <w:szCs w:val="32"/>
        </w:rPr>
        <w:t>八</w:t>
      </w:r>
      <w:r>
        <w:rPr>
          <w:rFonts w:eastAsia="方正黑体_GBK"/>
          <w:szCs w:val="32"/>
        </w:rPr>
        <w:t>、招标核准：</w:t>
      </w:r>
      <w:r>
        <w:rPr>
          <w:szCs w:val="32"/>
        </w:rPr>
        <w:t>按照《重庆市招标投标条例》等有关要求执行。</w:t>
      </w:r>
    </w:p>
    <w:p w:rsidR="00AF03AE" w:rsidRDefault="00C25EA0">
      <w:pPr>
        <w:spacing w:line="579" w:lineRule="exact"/>
        <w:ind w:firstLineChars="200" w:firstLine="632"/>
        <w:rPr>
          <w:szCs w:val="32"/>
        </w:rPr>
      </w:pPr>
      <w:r>
        <w:rPr>
          <w:rFonts w:eastAsia="方正黑体_GBK"/>
          <w:szCs w:val="32"/>
        </w:rPr>
        <w:t>九</w:t>
      </w:r>
      <w:r>
        <w:rPr>
          <w:rFonts w:eastAsia="方正黑体_GBK"/>
          <w:szCs w:val="32"/>
        </w:rPr>
        <w:t>、建设工期：</w:t>
      </w:r>
      <w:r>
        <w:rPr>
          <w:rFonts w:hint="eastAsia"/>
          <w:szCs w:val="32"/>
        </w:rPr>
        <w:t>6</w:t>
      </w:r>
      <w:r>
        <w:rPr>
          <w:rFonts w:hint="eastAsia"/>
          <w:szCs w:val="32"/>
        </w:rPr>
        <w:t>个月</w:t>
      </w:r>
      <w:r>
        <w:rPr>
          <w:szCs w:val="32"/>
        </w:rPr>
        <w:t>。</w:t>
      </w:r>
    </w:p>
    <w:p w:rsidR="00AF03AE" w:rsidRDefault="00C25EA0">
      <w:pPr>
        <w:spacing w:line="579" w:lineRule="exact"/>
        <w:ind w:firstLineChars="200" w:firstLine="632"/>
        <w:rPr>
          <w:szCs w:val="32"/>
        </w:rPr>
      </w:pPr>
      <w:proofErr w:type="gramStart"/>
      <w:r>
        <w:rPr>
          <w:szCs w:val="32"/>
        </w:rPr>
        <w:t>接文后</w:t>
      </w:r>
      <w:proofErr w:type="gramEnd"/>
      <w:r>
        <w:rPr>
          <w:szCs w:val="32"/>
        </w:rPr>
        <w:t>，按照项目管理程序，</w:t>
      </w:r>
      <w:r>
        <w:rPr>
          <w:b/>
          <w:bCs/>
          <w:szCs w:val="32"/>
        </w:rPr>
        <w:t>一是</w:t>
      </w:r>
      <w:r>
        <w:rPr>
          <w:szCs w:val="32"/>
        </w:rPr>
        <w:t>进一步优化实施方案，完成与本项目相关的审批手续，做好项目公开公示。</w:t>
      </w:r>
      <w:r>
        <w:rPr>
          <w:b/>
          <w:bCs/>
          <w:szCs w:val="32"/>
        </w:rPr>
        <w:t>二是</w:t>
      </w:r>
      <w:r>
        <w:rPr>
          <w:szCs w:val="32"/>
        </w:rPr>
        <w:t>加强生态环境保护，切实落实生态保护和污染防治各项要求，把保护生态和环境、节约和集约用地、节能减排、节水型社会建设等工作落实到位。严格落实项目法人责任制、招投标制、建设监理制和合同管理制等建设规定，全力防范、化解项目建设中的风险，加强工程质量管理、安全生产管理。</w:t>
      </w:r>
      <w:r>
        <w:rPr>
          <w:b/>
          <w:bCs/>
          <w:szCs w:val="32"/>
        </w:rPr>
        <w:t>三是</w:t>
      </w:r>
      <w:r>
        <w:rPr>
          <w:szCs w:val="32"/>
        </w:rPr>
        <w:t>切实加强资金监管，强化资金使用、拨付流程，确保资金高效合</w:t>
      </w:r>
      <w:proofErr w:type="gramStart"/>
      <w:r>
        <w:rPr>
          <w:szCs w:val="32"/>
        </w:rPr>
        <w:t>规</w:t>
      </w:r>
      <w:proofErr w:type="gramEnd"/>
      <w:r>
        <w:rPr>
          <w:szCs w:val="32"/>
        </w:rPr>
        <w:t>使用。并按照《关于在农业农村基础设施建设领域积极推广以工代赈方式的实施方案》（</w:t>
      </w:r>
      <w:proofErr w:type="gramStart"/>
      <w:r>
        <w:rPr>
          <w:szCs w:val="32"/>
        </w:rPr>
        <w:t>城发改委</w:t>
      </w:r>
      <w:proofErr w:type="gramEnd"/>
      <w:r>
        <w:rPr>
          <w:szCs w:val="32"/>
        </w:rPr>
        <w:t>发〔</w:t>
      </w:r>
      <w:r>
        <w:rPr>
          <w:szCs w:val="32"/>
        </w:rPr>
        <w:t>2021</w:t>
      </w:r>
      <w:r>
        <w:rPr>
          <w:szCs w:val="32"/>
        </w:rPr>
        <w:t>〕</w:t>
      </w:r>
      <w:r>
        <w:rPr>
          <w:szCs w:val="32"/>
        </w:rPr>
        <w:t>290</w:t>
      </w:r>
      <w:r>
        <w:rPr>
          <w:szCs w:val="32"/>
        </w:rPr>
        <w:t>号）文件</w:t>
      </w:r>
      <w:r>
        <w:rPr>
          <w:rFonts w:hint="eastAsia"/>
          <w:szCs w:val="32"/>
        </w:rPr>
        <w:t>要求广泛组织当地群众参与工程建设</w:t>
      </w:r>
      <w:r>
        <w:rPr>
          <w:szCs w:val="32"/>
        </w:rPr>
        <w:t>，劳务报酬发放比例不低于</w:t>
      </w:r>
      <w:r>
        <w:rPr>
          <w:szCs w:val="32"/>
        </w:rPr>
        <w:t>20%</w:t>
      </w:r>
      <w:r>
        <w:rPr>
          <w:szCs w:val="32"/>
        </w:rPr>
        <w:t>。</w:t>
      </w:r>
      <w:r>
        <w:rPr>
          <w:b/>
          <w:bCs/>
          <w:szCs w:val="32"/>
        </w:rPr>
        <w:t>四是</w:t>
      </w:r>
      <w:r>
        <w:rPr>
          <w:szCs w:val="32"/>
        </w:rPr>
        <w:t>工程验收</w:t>
      </w:r>
      <w:r>
        <w:rPr>
          <w:szCs w:val="32"/>
        </w:rPr>
        <w:t>后，及时办</w:t>
      </w:r>
      <w:r>
        <w:rPr>
          <w:szCs w:val="32"/>
        </w:rPr>
        <w:lastRenderedPageBreak/>
        <w:t>理移交手续，明确产权，</w:t>
      </w:r>
      <w:r>
        <w:rPr>
          <w:rFonts w:hint="eastAsia"/>
          <w:szCs w:val="32"/>
        </w:rPr>
        <w:t>完善利益联结机制，</w:t>
      </w:r>
      <w:r>
        <w:rPr>
          <w:szCs w:val="32"/>
        </w:rPr>
        <w:t>建立</w:t>
      </w:r>
      <w:proofErr w:type="gramStart"/>
      <w:r>
        <w:rPr>
          <w:szCs w:val="32"/>
        </w:rPr>
        <w:t>资产台</w:t>
      </w:r>
      <w:proofErr w:type="gramEnd"/>
      <w:r>
        <w:rPr>
          <w:szCs w:val="32"/>
        </w:rPr>
        <w:t>账，落实工程运行管护主体和管护责任，制定管护制度，确保项目建设成果得到巩固，工程长期发挥效益</w:t>
      </w:r>
      <w:r>
        <w:rPr>
          <w:rFonts w:hint="eastAsia"/>
          <w:szCs w:val="32"/>
        </w:rPr>
        <w:t>，促进当地产业发展</w:t>
      </w:r>
      <w:r>
        <w:rPr>
          <w:szCs w:val="32"/>
        </w:rPr>
        <w:t>。</w:t>
      </w:r>
      <w:r>
        <w:rPr>
          <w:b/>
          <w:bCs/>
          <w:szCs w:val="32"/>
        </w:rPr>
        <w:t>五是</w:t>
      </w:r>
      <w:r>
        <w:rPr>
          <w:szCs w:val="32"/>
        </w:rPr>
        <w:t>工程建设中要严格按照批复的项目名称、内容、规模和工期进行建设，控制好施工范围与内容，与施工设计图保持一致。不得截留、挤占、挪用建设资金，未经批准不得擅自变更建设地点、内容和规模，如确需调整，须按程序报批。</w:t>
      </w:r>
    </w:p>
    <w:p w:rsidR="00AF03AE" w:rsidRDefault="00C25EA0">
      <w:pPr>
        <w:spacing w:line="579" w:lineRule="exact"/>
        <w:ind w:firstLineChars="200" w:firstLine="632"/>
        <w:rPr>
          <w:szCs w:val="32"/>
        </w:rPr>
      </w:pPr>
      <w:r>
        <w:rPr>
          <w:szCs w:val="32"/>
        </w:rPr>
        <w:t>此复</w:t>
      </w:r>
    </w:p>
    <w:p w:rsidR="00AF03AE" w:rsidRDefault="00AF03AE">
      <w:pPr>
        <w:spacing w:line="579" w:lineRule="exact"/>
        <w:ind w:leftChars="200" w:left="1580" w:hangingChars="300" w:hanging="948"/>
        <w:rPr>
          <w:szCs w:val="32"/>
        </w:rPr>
      </w:pPr>
    </w:p>
    <w:p w:rsidR="00AF03AE" w:rsidRDefault="00C25EA0">
      <w:pPr>
        <w:spacing w:line="579" w:lineRule="exact"/>
        <w:ind w:leftChars="200" w:left="1580" w:hangingChars="300" w:hanging="948"/>
        <w:rPr>
          <w:szCs w:val="32"/>
        </w:rPr>
      </w:pPr>
      <w:r>
        <w:rPr>
          <w:szCs w:val="32"/>
        </w:rPr>
        <w:t>附件：</w:t>
      </w:r>
      <w:r>
        <w:rPr>
          <w:szCs w:val="32"/>
        </w:rPr>
        <w:t>城口县</w:t>
      </w:r>
      <w:r>
        <w:rPr>
          <w:szCs w:val="32"/>
        </w:rPr>
        <w:t>2026</w:t>
      </w:r>
      <w:r>
        <w:rPr>
          <w:szCs w:val="32"/>
        </w:rPr>
        <w:t>年巴山镇龙王村中药材基地及配套设施</w:t>
      </w:r>
    </w:p>
    <w:p w:rsidR="00AF03AE" w:rsidRDefault="00C25EA0" w:rsidP="00C25EA0">
      <w:pPr>
        <w:spacing w:line="579" w:lineRule="exact"/>
        <w:ind w:leftChars="500" w:left="1579"/>
        <w:rPr>
          <w:szCs w:val="32"/>
        </w:rPr>
      </w:pPr>
      <w:r>
        <w:rPr>
          <w:szCs w:val="32"/>
        </w:rPr>
        <w:t>建设项目</w:t>
      </w:r>
      <w:r>
        <w:rPr>
          <w:rFonts w:hint="eastAsia"/>
          <w:szCs w:val="32"/>
        </w:rPr>
        <w:t>概算审查意见表</w:t>
      </w:r>
    </w:p>
    <w:p w:rsidR="00AF03AE" w:rsidRDefault="00AF03AE">
      <w:pPr>
        <w:spacing w:line="579" w:lineRule="exact"/>
        <w:jc w:val="center"/>
        <w:rPr>
          <w:szCs w:val="32"/>
        </w:rPr>
      </w:pPr>
    </w:p>
    <w:p w:rsidR="00AF03AE" w:rsidRDefault="00C25EA0">
      <w:pPr>
        <w:spacing w:line="579" w:lineRule="exact"/>
        <w:jc w:val="center"/>
        <w:rPr>
          <w:szCs w:val="32"/>
        </w:rPr>
      </w:pPr>
      <w:r>
        <w:rPr>
          <w:szCs w:val="32"/>
        </w:rPr>
        <w:t xml:space="preserve">  </w:t>
      </w:r>
      <w:r>
        <w:rPr>
          <w:rFonts w:hint="eastAsia"/>
          <w:szCs w:val="32"/>
        </w:rPr>
        <w:t xml:space="preserve">                  </w:t>
      </w:r>
      <w:r>
        <w:rPr>
          <w:rFonts w:hint="eastAsia"/>
          <w:szCs w:val="32"/>
        </w:rPr>
        <w:t xml:space="preserve">     </w:t>
      </w:r>
      <w:r>
        <w:rPr>
          <w:szCs w:val="32"/>
        </w:rPr>
        <w:t>城口县发展和改革委员会</w:t>
      </w:r>
    </w:p>
    <w:p w:rsidR="00AF03AE" w:rsidRDefault="00C25EA0">
      <w:pPr>
        <w:spacing w:line="579" w:lineRule="exact"/>
        <w:jc w:val="center"/>
        <w:rPr>
          <w:szCs w:val="32"/>
        </w:rPr>
      </w:pPr>
      <w:r>
        <w:rPr>
          <w:szCs w:val="32"/>
        </w:rPr>
        <w:t xml:space="preserve">                          </w:t>
      </w:r>
      <w:r>
        <w:rPr>
          <w:szCs w:val="32"/>
        </w:rPr>
        <w:t>202</w:t>
      </w:r>
      <w:r>
        <w:rPr>
          <w:rFonts w:hint="eastAsia"/>
          <w:szCs w:val="32"/>
        </w:rPr>
        <w:t>6</w:t>
      </w:r>
      <w:r>
        <w:rPr>
          <w:szCs w:val="32"/>
        </w:rPr>
        <w:t>年</w:t>
      </w:r>
      <w:r>
        <w:rPr>
          <w:rFonts w:hint="eastAsia"/>
          <w:szCs w:val="32"/>
        </w:rPr>
        <w:t>5</w:t>
      </w:r>
      <w:r>
        <w:rPr>
          <w:szCs w:val="32"/>
        </w:rPr>
        <w:t>月</w:t>
      </w:r>
      <w:r>
        <w:rPr>
          <w:rFonts w:hint="eastAsia"/>
          <w:szCs w:val="32"/>
        </w:rPr>
        <w:t>27</w:t>
      </w:r>
      <w:r>
        <w:rPr>
          <w:szCs w:val="32"/>
        </w:rPr>
        <w:t>日</w:t>
      </w:r>
    </w:p>
    <w:p w:rsidR="00AF03AE" w:rsidRDefault="00AF03AE" w:rsidP="00C25EA0">
      <w:pPr>
        <w:pStyle w:val="2"/>
        <w:spacing w:line="579" w:lineRule="exact"/>
        <w:ind w:left="632"/>
        <w:rPr>
          <w:szCs w:val="32"/>
        </w:rPr>
      </w:pPr>
    </w:p>
    <w:p w:rsidR="00AF03AE" w:rsidRDefault="00AF03AE" w:rsidP="00C25EA0">
      <w:pPr>
        <w:pStyle w:val="2"/>
        <w:spacing w:line="579" w:lineRule="exact"/>
        <w:ind w:left="632"/>
        <w:rPr>
          <w:szCs w:val="32"/>
        </w:rPr>
      </w:pPr>
    </w:p>
    <w:p w:rsidR="00AF03AE" w:rsidRDefault="00AF03AE">
      <w:pPr>
        <w:pStyle w:val="2"/>
        <w:spacing w:after="0" w:line="579" w:lineRule="exact"/>
        <w:ind w:leftChars="0" w:left="0"/>
        <w:rPr>
          <w:szCs w:val="32"/>
        </w:rPr>
      </w:pPr>
    </w:p>
    <w:p w:rsidR="00AF03AE" w:rsidRDefault="00AF03AE">
      <w:pPr>
        <w:pStyle w:val="2"/>
        <w:spacing w:after="0" w:line="579" w:lineRule="exact"/>
        <w:ind w:leftChars="0" w:left="0"/>
        <w:rPr>
          <w:szCs w:val="32"/>
        </w:rPr>
      </w:pPr>
    </w:p>
    <w:p w:rsidR="00AF03AE" w:rsidRDefault="00AF03AE">
      <w:pPr>
        <w:pStyle w:val="2"/>
        <w:spacing w:after="0" w:line="579" w:lineRule="exact"/>
        <w:ind w:leftChars="0" w:left="0"/>
        <w:rPr>
          <w:szCs w:val="32"/>
        </w:rPr>
      </w:pPr>
    </w:p>
    <w:p w:rsidR="00AF03AE" w:rsidRDefault="00AF03AE">
      <w:pPr>
        <w:pStyle w:val="2"/>
        <w:spacing w:after="0" w:line="579" w:lineRule="exact"/>
        <w:ind w:leftChars="0" w:left="0"/>
        <w:rPr>
          <w:szCs w:val="32"/>
        </w:rPr>
      </w:pPr>
      <w:bookmarkStart w:id="0" w:name="_GoBack"/>
      <w:bookmarkEnd w:id="0"/>
    </w:p>
    <w:sectPr w:rsidR="00AF03AE">
      <w:footerReference w:type="even" r:id="rId8"/>
      <w:footerReference w:type="default" r:id="rId9"/>
      <w:pgSz w:w="11906" w:h="16838"/>
      <w:pgMar w:top="2098" w:right="1474" w:bottom="1985" w:left="1588" w:header="851" w:footer="1361"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5EA0">
      <w:r>
        <w:separator/>
      </w:r>
    </w:p>
  </w:endnote>
  <w:endnote w:type="continuationSeparator" w:id="0">
    <w:p w:rsidR="00000000" w:rsidRDefault="00C2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AE" w:rsidRDefault="00C25EA0">
    <w:pPr>
      <w:pStyle w:val="a7"/>
      <w:ind w:leftChars="100" w:left="320"/>
      <w:rPr>
        <w:rFonts w:ascii="宋体" w:eastAsia="宋体" w:hAnsi="宋体"/>
        <w:sz w:val="28"/>
        <w:szCs w:val="28"/>
      </w:rPr>
    </w:pPr>
    <w:r>
      <w:rPr>
        <w:rFonts w:ascii="宋体" w:eastAsia="宋体" w:hAnsi="宋体" w:hint="eastAsia"/>
        <w:sz w:val="28"/>
        <w:szCs w:val="21"/>
      </w:rPr>
      <w:t>—</w:t>
    </w:r>
    <w:r>
      <w:rPr>
        <w:rFonts w:ascii="宋体" w:eastAsia="宋体" w:hAnsi="宋体"/>
        <w:sz w:val="28"/>
        <w:szCs w:val="21"/>
      </w:rPr>
      <w:t xml:space="preserve"> </w:t>
    </w:r>
    <w:r>
      <w:rPr>
        <w:rFonts w:ascii="宋体" w:eastAsia="宋体" w:hAnsi="宋体"/>
        <w:sz w:val="28"/>
        <w:szCs w:val="21"/>
      </w:rPr>
      <w:fldChar w:fldCharType="begin"/>
    </w:r>
    <w:r>
      <w:rPr>
        <w:rFonts w:ascii="宋体" w:eastAsia="宋体" w:hAnsi="宋体"/>
        <w:sz w:val="28"/>
        <w:szCs w:val="21"/>
      </w:rPr>
      <w:instrText xml:space="preserve"> PAGE </w:instrText>
    </w:r>
    <w:r>
      <w:rPr>
        <w:rFonts w:ascii="宋体" w:eastAsia="宋体" w:hAnsi="宋体"/>
        <w:sz w:val="28"/>
        <w:szCs w:val="21"/>
      </w:rPr>
      <w:fldChar w:fldCharType="separate"/>
    </w:r>
    <w:r>
      <w:rPr>
        <w:rFonts w:ascii="宋体" w:eastAsia="宋体" w:hAnsi="宋体"/>
        <w:noProof/>
        <w:sz w:val="28"/>
        <w:szCs w:val="21"/>
      </w:rPr>
      <w:t>2</w:t>
    </w:r>
    <w:r>
      <w:rPr>
        <w:rFonts w:ascii="宋体" w:eastAsia="宋体" w:hAnsi="宋体"/>
        <w:sz w:val="28"/>
        <w:szCs w:val="21"/>
      </w:rPr>
      <w:fldChar w:fldCharType="end"/>
    </w:r>
    <w:r>
      <w:rPr>
        <w:rFonts w:ascii="宋体" w:eastAsia="宋体" w:hAnsi="宋体"/>
        <w:sz w:val="28"/>
        <w:szCs w:val="21"/>
      </w:rPr>
      <w:t xml:space="preserve"> </w:t>
    </w:r>
    <w:r>
      <w:rPr>
        <w:rFonts w:ascii="宋体" w:eastAsia="宋体" w:hAnsi="宋体" w:hint="eastAsia"/>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AE" w:rsidRDefault="00C25EA0">
    <w:pPr>
      <w:pStyle w:val="a7"/>
      <w:ind w:rightChars="100" w:right="320"/>
      <w:jc w:val="right"/>
      <w:rPr>
        <w:rFonts w:ascii="宋体" w:eastAsia="宋体" w:hAnsi="宋体"/>
        <w:sz w:val="28"/>
        <w:szCs w:val="28"/>
      </w:rPr>
    </w:pPr>
    <w:r>
      <w:rPr>
        <w:rFonts w:ascii="宋体" w:eastAsia="宋体" w:hAnsi="宋体" w:hint="eastAsia"/>
        <w:sz w:val="28"/>
        <w:szCs w:val="21"/>
      </w:rPr>
      <w:t>—</w:t>
    </w:r>
    <w:r>
      <w:rPr>
        <w:rFonts w:ascii="宋体" w:eastAsia="宋体" w:hAnsi="宋体"/>
        <w:sz w:val="28"/>
        <w:szCs w:val="21"/>
      </w:rPr>
      <w:t xml:space="preserve"> </w:t>
    </w:r>
    <w:r>
      <w:rPr>
        <w:rFonts w:ascii="宋体" w:eastAsia="宋体" w:hAnsi="宋体"/>
        <w:sz w:val="28"/>
        <w:szCs w:val="21"/>
      </w:rPr>
      <w:fldChar w:fldCharType="begin"/>
    </w:r>
    <w:r>
      <w:rPr>
        <w:rFonts w:ascii="宋体" w:eastAsia="宋体" w:hAnsi="宋体"/>
        <w:sz w:val="28"/>
        <w:szCs w:val="21"/>
      </w:rPr>
      <w:instrText xml:space="preserve"> PAGE </w:instrText>
    </w:r>
    <w:r>
      <w:rPr>
        <w:rFonts w:ascii="宋体" w:eastAsia="宋体" w:hAnsi="宋体"/>
        <w:sz w:val="28"/>
        <w:szCs w:val="21"/>
      </w:rPr>
      <w:fldChar w:fldCharType="separate"/>
    </w:r>
    <w:r>
      <w:rPr>
        <w:rFonts w:ascii="宋体" w:eastAsia="宋体" w:hAnsi="宋体"/>
        <w:noProof/>
        <w:sz w:val="28"/>
        <w:szCs w:val="21"/>
      </w:rPr>
      <w:t>1</w:t>
    </w:r>
    <w:r>
      <w:rPr>
        <w:rFonts w:ascii="宋体" w:eastAsia="宋体" w:hAnsi="宋体"/>
        <w:sz w:val="28"/>
        <w:szCs w:val="21"/>
      </w:rPr>
      <w:fldChar w:fldCharType="end"/>
    </w:r>
    <w:r>
      <w:rPr>
        <w:rFonts w:ascii="宋体" w:eastAsia="宋体" w:hAnsi="宋体"/>
        <w:sz w:val="28"/>
        <w:szCs w:val="21"/>
      </w:rPr>
      <w:t xml:space="preserve"> </w:t>
    </w:r>
    <w:r>
      <w:rPr>
        <w:rFonts w:ascii="宋体" w:eastAsia="宋体" w:hAnsi="宋体" w:hint="eastAsia"/>
        <w:sz w:val="28"/>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5EA0">
      <w:r>
        <w:separator/>
      </w:r>
    </w:p>
  </w:footnote>
  <w:footnote w:type="continuationSeparator" w:id="0">
    <w:p w:rsidR="00000000" w:rsidRDefault="00C25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evenAndOddHeaders/>
  <w:drawingGridHorizontalSpacing w:val="158"/>
  <w:drawingGridVerticalSpacing w:val="579"/>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NGEyMzRmNTEzZDkyNTgyZmQ1M2YyMzUxODY4MTcifQ=="/>
  </w:docVars>
  <w:rsids>
    <w:rsidRoot w:val="00172A27"/>
    <w:rsid w:val="DF7F3FF7"/>
    <w:rsid w:val="DFFF0AB2"/>
    <w:rsid w:val="FEF5F9ED"/>
    <w:rsid w:val="FFB55520"/>
    <w:rsid w:val="00010170"/>
    <w:rsid w:val="00050BB2"/>
    <w:rsid w:val="000D4644"/>
    <w:rsid w:val="00172A27"/>
    <w:rsid w:val="001811A8"/>
    <w:rsid w:val="001F3AA0"/>
    <w:rsid w:val="0036127D"/>
    <w:rsid w:val="003930FA"/>
    <w:rsid w:val="00491630"/>
    <w:rsid w:val="004C21F1"/>
    <w:rsid w:val="004F16AF"/>
    <w:rsid w:val="00583C8B"/>
    <w:rsid w:val="005B73F2"/>
    <w:rsid w:val="005B7F68"/>
    <w:rsid w:val="006B67FE"/>
    <w:rsid w:val="00721D00"/>
    <w:rsid w:val="00764963"/>
    <w:rsid w:val="00835251"/>
    <w:rsid w:val="008676D6"/>
    <w:rsid w:val="00887595"/>
    <w:rsid w:val="008A1C66"/>
    <w:rsid w:val="0090613E"/>
    <w:rsid w:val="00934AC6"/>
    <w:rsid w:val="009B76DC"/>
    <w:rsid w:val="00AB2A6F"/>
    <w:rsid w:val="00AF03AE"/>
    <w:rsid w:val="00B50D57"/>
    <w:rsid w:val="00B97391"/>
    <w:rsid w:val="00C25EA0"/>
    <w:rsid w:val="00C74699"/>
    <w:rsid w:val="00D364E0"/>
    <w:rsid w:val="00D67CC2"/>
    <w:rsid w:val="00DD1EFE"/>
    <w:rsid w:val="00DD7F6C"/>
    <w:rsid w:val="00E82075"/>
    <w:rsid w:val="00FF3EE0"/>
    <w:rsid w:val="01304AA9"/>
    <w:rsid w:val="013A6D8A"/>
    <w:rsid w:val="01417682"/>
    <w:rsid w:val="015548D7"/>
    <w:rsid w:val="015D1031"/>
    <w:rsid w:val="01A74180"/>
    <w:rsid w:val="024347B6"/>
    <w:rsid w:val="02CB0C16"/>
    <w:rsid w:val="041E4C61"/>
    <w:rsid w:val="04754037"/>
    <w:rsid w:val="04C46920"/>
    <w:rsid w:val="05EA4FC9"/>
    <w:rsid w:val="06224373"/>
    <w:rsid w:val="066E2C26"/>
    <w:rsid w:val="069E16A2"/>
    <w:rsid w:val="079A05A9"/>
    <w:rsid w:val="07BE3F09"/>
    <w:rsid w:val="07F13FAE"/>
    <w:rsid w:val="088D2344"/>
    <w:rsid w:val="08BC4A6E"/>
    <w:rsid w:val="08E06480"/>
    <w:rsid w:val="09153CCC"/>
    <w:rsid w:val="09896FB9"/>
    <w:rsid w:val="09C3785C"/>
    <w:rsid w:val="0A041FB3"/>
    <w:rsid w:val="0A2551B3"/>
    <w:rsid w:val="0B111333"/>
    <w:rsid w:val="0B3E29C6"/>
    <w:rsid w:val="0DEF6259"/>
    <w:rsid w:val="0E367F17"/>
    <w:rsid w:val="0EC31988"/>
    <w:rsid w:val="0EEF29CA"/>
    <w:rsid w:val="0F1D3543"/>
    <w:rsid w:val="0F5B7A2D"/>
    <w:rsid w:val="0FD3668F"/>
    <w:rsid w:val="0FEE10E1"/>
    <w:rsid w:val="102A3CF4"/>
    <w:rsid w:val="106D3FD0"/>
    <w:rsid w:val="11517DBC"/>
    <w:rsid w:val="118B3D39"/>
    <w:rsid w:val="12153DF1"/>
    <w:rsid w:val="12231D5C"/>
    <w:rsid w:val="12B6700C"/>
    <w:rsid w:val="13074FE3"/>
    <w:rsid w:val="132A4629"/>
    <w:rsid w:val="1334218E"/>
    <w:rsid w:val="137B7DD2"/>
    <w:rsid w:val="13FF1D5E"/>
    <w:rsid w:val="14204FEE"/>
    <w:rsid w:val="15A73755"/>
    <w:rsid w:val="15C03847"/>
    <w:rsid w:val="161650FA"/>
    <w:rsid w:val="16457F9E"/>
    <w:rsid w:val="16F2261E"/>
    <w:rsid w:val="173730B8"/>
    <w:rsid w:val="17D17BE5"/>
    <w:rsid w:val="17F151F1"/>
    <w:rsid w:val="18AF324F"/>
    <w:rsid w:val="19C77359"/>
    <w:rsid w:val="1ABD5794"/>
    <w:rsid w:val="1AFE63C9"/>
    <w:rsid w:val="1B575EF9"/>
    <w:rsid w:val="1BA35265"/>
    <w:rsid w:val="1BBD1C8D"/>
    <w:rsid w:val="1C6B7F6D"/>
    <w:rsid w:val="1DA84FBD"/>
    <w:rsid w:val="1E816A47"/>
    <w:rsid w:val="1F2D03AE"/>
    <w:rsid w:val="1FA25E7F"/>
    <w:rsid w:val="202E513B"/>
    <w:rsid w:val="20BD637D"/>
    <w:rsid w:val="21717AB6"/>
    <w:rsid w:val="21A12EC8"/>
    <w:rsid w:val="21E20DCA"/>
    <w:rsid w:val="221E7C3E"/>
    <w:rsid w:val="22240FD5"/>
    <w:rsid w:val="2234120F"/>
    <w:rsid w:val="223E409C"/>
    <w:rsid w:val="224708E4"/>
    <w:rsid w:val="22CF7267"/>
    <w:rsid w:val="2329689A"/>
    <w:rsid w:val="244010EF"/>
    <w:rsid w:val="25C559E0"/>
    <w:rsid w:val="260404CD"/>
    <w:rsid w:val="26250015"/>
    <w:rsid w:val="264548B4"/>
    <w:rsid w:val="26F8396A"/>
    <w:rsid w:val="27544AD6"/>
    <w:rsid w:val="276477A9"/>
    <w:rsid w:val="27F31DF6"/>
    <w:rsid w:val="288E377C"/>
    <w:rsid w:val="28EC5824"/>
    <w:rsid w:val="29EE28D8"/>
    <w:rsid w:val="2A356A64"/>
    <w:rsid w:val="2B5D3585"/>
    <w:rsid w:val="2BBC780D"/>
    <w:rsid w:val="2CAB1220"/>
    <w:rsid w:val="2CBE52DB"/>
    <w:rsid w:val="2D256324"/>
    <w:rsid w:val="2D2D158E"/>
    <w:rsid w:val="2E527B40"/>
    <w:rsid w:val="2EA672E3"/>
    <w:rsid w:val="2EF81EB2"/>
    <w:rsid w:val="2F0277D1"/>
    <w:rsid w:val="2F5D4312"/>
    <w:rsid w:val="2FDF0417"/>
    <w:rsid w:val="303971D8"/>
    <w:rsid w:val="30620356"/>
    <w:rsid w:val="30B45AFB"/>
    <w:rsid w:val="30F039DF"/>
    <w:rsid w:val="310460CC"/>
    <w:rsid w:val="310D15A9"/>
    <w:rsid w:val="31E50730"/>
    <w:rsid w:val="32340DB8"/>
    <w:rsid w:val="32644365"/>
    <w:rsid w:val="32B73F82"/>
    <w:rsid w:val="32BB6592"/>
    <w:rsid w:val="32EB5EFE"/>
    <w:rsid w:val="331C02D5"/>
    <w:rsid w:val="33423F49"/>
    <w:rsid w:val="334D2ED8"/>
    <w:rsid w:val="35527ED3"/>
    <w:rsid w:val="3576246D"/>
    <w:rsid w:val="357F7F77"/>
    <w:rsid w:val="358C6C2C"/>
    <w:rsid w:val="36212A77"/>
    <w:rsid w:val="366C271F"/>
    <w:rsid w:val="369D2B6A"/>
    <w:rsid w:val="36CD4AE9"/>
    <w:rsid w:val="36FB7016"/>
    <w:rsid w:val="37C7645B"/>
    <w:rsid w:val="389D0312"/>
    <w:rsid w:val="38E42ED1"/>
    <w:rsid w:val="38F95713"/>
    <w:rsid w:val="39D52DFE"/>
    <w:rsid w:val="39DE1D07"/>
    <w:rsid w:val="3A411426"/>
    <w:rsid w:val="3B0D336E"/>
    <w:rsid w:val="3B267E11"/>
    <w:rsid w:val="3B6B0985"/>
    <w:rsid w:val="3B8869E5"/>
    <w:rsid w:val="3BE37A12"/>
    <w:rsid w:val="3D25601A"/>
    <w:rsid w:val="3D3A4E09"/>
    <w:rsid w:val="3E297B69"/>
    <w:rsid w:val="3F5D1ADE"/>
    <w:rsid w:val="3F663A13"/>
    <w:rsid w:val="3F696DED"/>
    <w:rsid w:val="400322F3"/>
    <w:rsid w:val="40967969"/>
    <w:rsid w:val="41AF2B6F"/>
    <w:rsid w:val="42EA7593"/>
    <w:rsid w:val="43393054"/>
    <w:rsid w:val="433E2384"/>
    <w:rsid w:val="436B6ED5"/>
    <w:rsid w:val="443B1F26"/>
    <w:rsid w:val="449F7026"/>
    <w:rsid w:val="44FF122E"/>
    <w:rsid w:val="45383E61"/>
    <w:rsid w:val="463A487E"/>
    <w:rsid w:val="46AC0EC3"/>
    <w:rsid w:val="474D515D"/>
    <w:rsid w:val="477B6F8F"/>
    <w:rsid w:val="47FE0EEB"/>
    <w:rsid w:val="480E2781"/>
    <w:rsid w:val="48515C6E"/>
    <w:rsid w:val="488A5DEE"/>
    <w:rsid w:val="48C42493"/>
    <w:rsid w:val="4901159C"/>
    <w:rsid w:val="49070D23"/>
    <w:rsid w:val="49305444"/>
    <w:rsid w:val="495F59D8"/>
    <w:rsid w:val="4A560BAA"/>
    <w:rsid w:val="4B391CAD"/>
    <w:rsid w:val="4B75626A"/>
    <w:rsid w:val="4BE004A3"/>
    <w:rsid w:val="4BEB72BA"/>
    <w:rsid w:val="4C781712"/>
    <w:rsid w:val="4CDC28B0"/>
    <w:rsid w:val="4F7071DC"/>
    <w:rsid w:val="4F9D2913"/>
    <w:rsid w:val="4FA91E6C"/>
    <w:rsid w:val="4FED4670"/>
    <w:rsid w:val="50245A00"/>
    <w:rsid w:val="50A55EEB"/>
    <w:rsid w:val="515818CB"/>
    <w:rsid w:val="51CC18BF"/>
    <w:rsid w:val="522A0E1C"/>
    <w:rsid w:val="549B3908"/>
    <w:rsid w:val="549F0EF3"/>
    <w:rsid w:val="54D13C29"/>
    <w:rsid w:val="54FB04E5"/>
    <w:rsid w:val="55B96D18"/>
    <w:rsid w:val="55CE6476"/>
    <w:rsid w:val="57A53312"/>
    <w:rsid w:val="5877308D"/>
    <w:rsid w:val="59B33A93"/>
    <w:rsid w:val="5A007155"/>
    <w:rsid w:val="5A112DD4"/>
    <w:rsid w:val="5A3D0D62"/>
    <w:rsid w:val="5B395099"/>
    <w:rsid w:val="5B9F1352"/>
    <w:rsid w:val="5C21299A"/>
    <w:rsid w:val="5C787034"/>
    <w:rsid w:val="5CC34E4A"/>
    <w:rsid w:val="5CEF21FC"/>
    <w:rsid w:val="5D082D19"/>
    <w:rsid w:val="5DF2496D"/>
    <w:rsid w:val="5E337A65"/>
    <w:rsid w:val="5E3550AE"/>
    <w:rsid w:val="5E6770B7"/>
    <w:rsid w:val="5E9C5168"/>
    <w:rsid w:val="5F400CA8"/>
    <w:rsid w:val="5FF44DE4"/>
    <w:rsid w:val="60930BC5"/>
    <w:rsid w:val="60C00655"/>
    <w:rsid w:val="61014C51"/>
    <w:rsid w:val="62597091"/>
    <w:rsid w:val="62DA392D"/>
    <w:rsid w:val="63D065EC"/>
    <w:rsid w:val="6408055A"/>
    <w:rsid w:val="64643ADA"/>
    <w:rsid w:val="64987597"/>
    <w:rsid w:val="65154644"/>
    <w:rsid w:val="6544365E"/>
    <w:rsid w:val="658178BC"/>
    <w:rsid w:val="66CC2D91"/>
    <w:rsid w:val="670061AD"/>
    <w:rsid w:val="674A5563"/>
    <w:rsid w:val="68193DF7"/>
    <w:rsid w:val="688130B1"/>
    <w:rsid w:val="690F15D2"/>
    <w:rsid w:val="6A2103BF"/>
    <w:rsid w:val="6AB51D8E"/>
    <w:rsid w:val="6ABE0C43"/>
    <w:rsid w:val="6B1016F2"/>
    <w:rsid w:val="6C7C4328"/>
    <w:rsid w:val="6CBD71E6"/>
    <w:rsid w:val="6CE325B7"/>
    <w:rsid w:val="6E1F1A42"/>
    <w:rsid w:val="6E436236"/>
    <w:rsid w:val="6E472FF6"/>
    <w:rsid w:val="6E5137CE"/>
    <w:rsid w:val="6E8441EA"/>
    <w:rsid w:val="6EFE3B98"/>
    <w:rsid w:val="6F1225FF"/>
    <w:rsid w:val="6F1318B9"/>
    <w:rsid w:val="70D42A19"/>
    <w:rsid w:val="71265B69"/>
    <w:rsid w:val="7194528C"/>
    <w:rsid w:val="71B16C53"/>
    <w:rsid w:val="71C34924"/>
    <w:rsid w:val="71C67BE2"/>
    <w:rsid w:val="72BD114D"/>
    <w:rsid w:val="73553A0E"/>
    <w:rsid w:val="73835993"/>
    <w:rsid w:val="73B87B82"/>
    <w:rsid w:val="73EF75B3"/>
    <w:rsid w:val="74510785"/>
    <w:rsid w:val="74A04B85"/>
    <w:rsid w:val="74B41F7E"/>
    <w:rsid w:val="756D682A"/>
    <w:rsid w:val="75AFFEA7"/>
    <w:rsid w:val="75D225F5"/>
    <w:rsid w:val="75D7DCEC"/>
    <w:rsid w:val="76765392"/>
    <w:rsid w:val="76EB1863"/>
    <w:rsid w:val="76F53549"/>
    <w:rsid w:val="774C3801"/>
    <w:rsid w:val="77617D97"/>
    <w:rsid w:val="78176B93"/>
    <w:rsid w:val="787054F9"/>
    <w:rsid w:val="7986071C"/>
    <w:rsid w:val="79877CAD"/>
    <w:rsid w:val="798B09F3"/>
    <w:rsid w:val="7AB0054D"/>
    <w:rsid w:val="7B2D2A0D"/>
    <w:rsid w:val="7BB2221F"/>
    <w:rsid w:val="7C4C6DA8"/>
    <w:rsid w:val="7CDE5551"/>
    <w:rsid w:val="7CDED765"/>
    <w:rsid w:val="7DF7A312"/>
    <w:rsid w:val="7ECF276E"/>
    <w:rsid w:val="7EEA1B1C"/>
    <w:rsid w:val="7F14642F"/>
    <w:rsid w:val="7F4D3D58"/>
    <w:rsid w:val="7F610A60"/>
    <w:rsid w:val="7F8216E2"/>
    <w:rsid w:val="7FDF8004"/>
    <w:rsid w:val="AFFF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方正仿宋_GBK"/>
      <w:sz w:val="32"/>
      <w:szCs w:val="24"/>
    </w:rPr>
  </w:style>
  <w:style w:type="paragraph" w:styleId="3">
    <w:name w:val="heading 3"/>
    <w:basedOn w:val="a"/>
    <w:next w:val="a"/>
    <w:qFormat/>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qFormat/>
    <w:pPr>
      <w:jc w:val="left"/>
    </w:pPr>
  </w:style>
  <w:style w:type="paragraph" w:styleId="a4">
    <w:name w:val="Body Text Indent"/>
    <w:basedOn w:val="a"/>
    <w:qFormat/>
    <w:pPr>
      <w:ind w:firstLineChars="225" w:firstLine="720"/>
    </w:pPr>
    <w:rPr>
      <w:rFonts w:ascii="仿宋_GB2312" w:eastAsia="仿宋_GB2312" w:hAnsi="Calibri" w:hint="eastAsia"/>
    </w:rPr>
  </w:style>
  <w:style w:type="paragraph" w:styleId="a5">
    <w:name w:val="Date"/>
    <w:basedOn w:val="a"/>
    <w:next w:val="a"/>
    <w:qFormat/>
    <w:pPr>
      <w:ind w:leftChars="2500" w:left="100"/>
    </w:pPr>
  </w:style>
  <w:style w:type="paragraph" w:styleId="a6">
    <w:name w:val="Balloon Text"/>
    <w:basedOn w:val="a"/>
    <w:qFormat/>
    <w:rPr>
      <w:sz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rPr>
  </w:style>
  <w:style w:type="paragraph" w:styleId="20">
    <w:name w:val="Body Text First Indent 2"/>
    <w:basedOn w:val="a"/>
    <w:next w:val="22"/>
    <w:qFormat/>
    <w:pPr>
      <w:spacing w:line="300" w:lineRule="auto"/>
      <w:ind w:firstLineChars="200" w:firstLine="200"/>
    </w:pPr>
  </w:style>
  <w:style w:type="paragraph" w:customStyle="1" w:styleId="22">
    <w:name w:val="样式 正文首行缩进 2 + 首行缩进:  2 字符"/>
    <w:basedOn w:val="a"/>
    <w:next w:val="a"/>
    <w:qFormat/>
    <w:pPr>
      <w:spacing w:line="360" w:lineRule="auto"/>
      <w:ind w:firstLineChars="200" w:firstLine="480"/>
    </w:pPr>
    <w:rPr>
      <w:rFonts w:cs="宋体"/>
      <w:sz w:val="24"/>
      <w:szCs w:val="20"/>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0000FF"/>
      <w:u w:val="single"/>
    </w:rPr>
  </w:style>
  <w:style w:type="paragraph" w:customStyle="1" w:styleId="Char1">
    <w:name w:val="Char1"/>
    <w:basedOn w:val="a"/>
    <w:qFormat/>
    <w:pPr>
      <w:widowControl/>
      <w:spacing w:line="240" w:lineRule="exact"/>
      <w:jc w:val="left"/>
    </w:pPr>
    <w:rPr>
      <w:szCs w:val="20"/>
    </w:rPr>
  </w:style>
  <w:style w:type="paragraph" w:customStyle="1" w:styleId="Char">
    <w:name w:val="Char"/>
    <w:basedOn w:val="a"/>
    <w:qFormat/>
    <w:pPr>
      <w:widowControl/>
      <w:spacing w:line="240" w:lineRule="exac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方正仿宋_GBK"/>
      <w:sz w:val="32"/>
      <w:szCs w:val="24"/>
    </w:rPr>
  </w:style>
  <w:style w:type="paragraph" w:styleId="3">
    <w:name w:val="heading 3"/>
    <w:basedOn w:val="a"/>
    <w:next w:val="a"/>
    <w:qFormat/>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qFormat/>
    <w:pPr>
      <w:jc w:val="left"/>
    </w:pPr>
  </w:style>
  <w:style w:type="paragraph" w:styleId="a4">
    <w:name w:val="Body Text Indent"/>
    <w:basedOn w:val="a"/>
    <w:qFormat/>
    <w:pPr>
      <w:ind w:firstLineChars="225" w:firstLine="720"/>
    </w:pPr>
    <w:rPr>
      <w:rFonts w:ascii="仿宋_GB2312" w:eastAsia="仿宋_GB2312" w:hAnsi="Calibri" w:hint="eastAsia"/>
    </w:rPr>
  </w:style>
  <w:style w:type="paragraph" w:styleId="a5">
    <w:name w:val="Date"/>
    <w:basedOn w:val="a"/>
    <w:next w:val="a"/>
    <w:qFormat/>
    <w:pPr>
      <w:ind w:leftChars="2500" w:left="100"/>
    </w:pPr>
  </w:style>
  <w:style w:type="paragraph" w:styleId="a6">
    <w:name w:val="Balloon Text"/>
    <w:basedOn w:val="a"/>
    <w:qFormat/>
    <w:rPr>
      <w:sz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rPr>
  </w:style>
  <w:style w:type="paragraph" w:styleId="20">
    <w:name w:val="Body Text First Indent 2"/>
    <w:basedOn w:val="a"/>
    <w:next w:val="22"/>
    <w:qFormat/>
    <w:pPr>
      <w:spacing w:line="300" w:lineRule="auto"/>
      <w:ind w:firstLineChars="200" w:firstLine="200"/>
    </w:pPr>
  </w:style>
  <w:style w:type="paragraph" w:customStyle="1" w:styleId="22">
    <w:name w:val="样式 正文首行缩进 2 + 首行缩进:  2 字符"/>
    <w:basedOn w:val="a"/>
    <w:next w:val="a"/>
    <w:qFormat/>
    <w:pPr>
      <w:spacing w:line="360" w:lineRule="auto"/>
      <w:ind w:firstLineChars="200" w:firstLine="480"/>
    </w:pPr>
    <w:rPr>
      <w:rFonts w:cs="宋体"/>
      <w:sz w:val="24"/>
      <w:szCs w:val="20"/>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0000FF"/>
      <w:u w:val="single"/>
    </w:rPr>
  </w:style>
  <w:style w:type="paragraph" w:customStyle="1" w:styleId="Char1">
    <w:name w:val="Char1"/>
    <w:basedOn w:val="a"/>
    <w:qFormat/>
    <w:pPr>
      <w:widowControl/>
      <w:spacing w:line="240" w:lineRule="exact"/>
      <w:jc w:val="left"/>
    </w:pPr>
    <w:rPr>
      <w:szCs w:val="20"/>
    </w:rPr>
  </w:style>
  <w:style w:type="paragraph" w:customStyle="1" w:styleId="Char">
    <w:name w:val="Char"/>
    <w:basedOn w:val="a"/>
    <w:qFormat/>
    <w:pPr>
      <w:widowControl/>
      <w:spacing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1073</Words>
  <Characters>216</Characters>
  <Application>Microsoft Office Word</Application>
  <DocSecurity>0</DocSecurity>
  <Lines>1</Lines>
  <Paragraphs>2</Paragraphs>
  <ScaleCrop>false</ScaleCrop>
  <Company>微软中国</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城口县旅游局</dc:title>
  <dc:creator>微软用户</dc:creator>
  <cp:lastModifiedBy>PC</cp:lastModifiedBy>
  <cp:revision>15</cp:revision>
  <cp:lastPrinted>2026-05-29T11:18:00Z</cp:lastPrinted>
  <dcterms:created xsi:type="dcterms:W3CDTF">2014-12-28T16:18:00Z</dcterms:created>
  <dcterms:modified xsi:type="dcterms:W3CDTF">2026-06-01T02:07:00Z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SaveFontToCloudKey">
    <vt:lpwstr>436125380_btnclosed</vt:lpwstr>
  </property>
  <property fmtid="{D5CDD505-2E9C-101B-9397-08002B2CF9AE}" pid="4" name="ICV">
    <vt:lpwstr>B305201C95384C3C8678E90E3EC58463</vt:lpwstr>
  </property>
</Properties>
</file>