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76423">
      <w:pPr>
        <w:spacing w:line="579" w:lineRule="exact"/>
        <w:rPr>
          <w:kern w:val="2"/>
          <w:szCs w:val="32"/>
        </w:rPr>
      </w:pPr>
    </w:p>
    <w:p w14:paraId="18F31635">
      <w:pPr>
        <w:spacing w:line="579" w:lineRule="exact"/>
        <w:rPr>
          <w:kern w:val="2"/>
          <w:szCs w:val="32"/>
        </w:rPr>
      </w:pPr>
    </w:p>
    <w:p w14:paraId="403DD733">
      <w:pPr>
        <w:spacing w:line="579" w:lineRule="exact"/>
        <w:rPr>
          <w:kern w:val="2"/>
          <w:szCs w:val="32"/>
        </w:rPr>
      </w:pPr>
    </w:p>
    <w:p w14:paraId="28A5E1F7">
      <w:pPr>
        <w:spacing w:line="579" w:lineRule="exact"/>
        <w:jc w:val="center"/>
        <w:rPr>
          <w:kern w:val="2"/>
          <w:szCs w:val="32"/>
        </w:rPr>
      </w:pPr>
    </w:p>
    <w:p w14:paraId="6D37BFCA">
      <w:pPr>
        <w:spacing w:line="579" w:lineRule="exact"/>
        <w:jc w:val="center"/>
        <w:rPr>
          <w:rFonts w:eastAsia="方正楷体_GBK"/>
        </w:rPr>
      </w:pPr>
      <w:r>
        <w:t>城发改委发〔202</w:t>
      </w:r>
      <w:r>
        <w:rPr>
          <w:rFonts w:hint="eastAsia"/>
        </w:rPr>
        <w:t>4</w:t>
      </w:r>
      <w:r>
        <w:t>〕</w:t>
      </w:r>
      <w:r>
        <w:rPr>
          <w:rFonts w:hint="eastAsia"/>
        </w:rPr>
        <w:t>47</w:t>
      </w:r>
      <w:r>
        <w:t>号</w:t>
      </w:r>
    </w:p>
    <w:p w14:paraId="0F584C05">
      <w:pPr>
        <w:spacing w:line="560" w:lineRule="exact"/>
        <w:jc w:val="center"/>
      </w:pPr>
    </w:p>
    <w:p w14:paraId="07C64D10">
      <w:pPr>
        <w:spacing w:line="560" w:lineRule="exact"/>
        <w:jc w:val="center"/>
        <w:rPr>
          <w:rFonts w:eastAsia="方正小标宋_GBK"/>
          <w:sz w:val="44"/>
          <w:szCs w:val="44"/>
        </w:rPr>
      </w:pPr>
      <w:r>
        <w:rPr>
          <w:rFonts w:eastAsia="方正小标宋_GBK"/>
          <w:sz w:val="44"/>
          <w:szCs w:val="44"/>
        </w:rPr>
        <w:t>城口县发展和改革委员会</w:t>
      </w:r>
    </w:p>
    <w:p w14:paraId="0AA78D9B">
      <w:pPr>
        <w:spacing w:line="560" w:lineRule="exact"/>
        <w:jc w:val="center"/>
        <w:rPr>
          <w:rFonts w:eastAsia="方正小标宋简体"/>
          <w:sz w:val="44"/>
          <w:szCs w:val="44"/>
        </w:rPr>
      </w:pPr>
      <w:r>
        <w:rPr>
          <w:rFonts w:eastAsia="方正小标宋_GBK"/>
          <w:sz w:val="44"/>
          <w:szCs w:val="44"/>
        </w:rPr>
        <w:t>关于印发《城口县2023年国民经济和社会发展计划执行情况与2024年计划草案的报告》</w:t>
      </w:r>
      <w:r>
        <w:rPr>
          <w:rFonts w:eastAsia="方正小标宋简体"/>
          <w:sz w:val="44"/>
          <w:szCs w:val="44"/>
        </w:rPr>
        <w:t>的</w:t>
      </w:r>
    </w:p>
    <w:p w14:paraId="6A265174">
      <w:pPr>
        <w:spacing w:line="560" w:lineRule="exact"/>
        <w:jc w:val="center"/>
        <w:rPr>
          <w:rFonts w:eastAsia="方正小标宋简体"/>
          <w:sz w:val="44"/>
          <w:szCs w:val="44"/>
        </w:rPr>
      </w:pPr>
      <w:r>
        <w:rPr>
          <w:rFonts w:eastAsia="方正小标宋简体"/>
          <w:sz w:val="44"/>
          <w:szCs w:val="44"/>
        </w:rPr>
        <w:t>通   知</w:t>
      </w:r>
    </w:p>
    <w:p w14:paraId="3E6FED1B"/>
    <w:p w14:paraId="78777AFC">
      <w:pPr>
        <w:spacing w:line="560" w:lineRule="exact"/>
        <w:rPr>
          <w:szCs w:val="32"/>
        </w:rPr>
      </w:pPr>
      <w:r>
        <w:rPr>
          <w:szCs w:val="32"/>
        </w:rPr>
        <w:t>各乡镇人民政府、街道办事处，县政府各部门，有关单位：</w:t>
      </w:r>
    </w:p>
    <w:p w14:paraId="4799784B">
      <w:pPr>
        <w:spacing w:line="560" w:lineRule="exact"/>
        <w:ind w:firstLine="640"/>
        <w:rPr>
          <w:szCs w:val="32"/>
        </w:rPr>
      </w:pPr>
      <w:r>
        <w:rPr>
          <w:szCs w:val="32"/>
        </w:rPr>
        <w:t>现将县十八届人民代表大会第</w:t>
      </w:r>
      <w:r>
        <w:rPr>
          <w:rFonts w:hint="eastAsia"/>
          <w:szCs w:val="32"/>
        </w:rPr>
        <w:t>四</w:t>
      </w:r>
      <w:r>
        <w:rPr>
          <w:szCs w:val="32"/>
        </w:rPr>
        <w:t>次会议审议通过的《城口县2023年国民经济和社会发展计划执行情况与2024年计划草案的报告》印发给你们，请认真抓好贯彻落实，确保完成全年各项目标任务，推动县域经济社会高质量发展。</w:t>
      </w:r>
    </w:p>
    <w:p w14:paraId="6A82B220">
      <w:pPr>
        <w:spacing w:line="560" w:lineRule="exact"/>
        <w:ind w:firstLine="640" w:firstLineChars="200"/>
        <w:jc w:val="center"/>
        <w:rPr>
          <w:szCs w:val="32"/>
        </w:rPr>
      </w:pPr>
      <w:r>
        <w:rPr>
          <w:szCs w:val="32"/>
        </w:rPr>
        <w:t xml:space="preserve">                    </w:t>
      </w:r>
    </w:p>
    <w:p w14:paraId="2ED10F46">
      <w:pPr>
        <w:spacing w:line="560" w:lineRule="exact"/>
        <w:ind w:firstLine="640" w:firstLineChars="200"/>
        <w:jc w:val="center"/>
        <w:rPr>
          <w:szCs w:val="32"/>
        </w:rPr>
      </w:pPr>
    </w:p>
    <w:p w14:paraId="4956B53D">
      <w:pPr>
        <w:spacing w:line="560" w:lineRule="exact"/>
        <w:ind w:firstLine="640" w:firstLineChars="200"/>
        <w:jc w:val="center"/>
        <w:rPr>
          <w:szCs w:val="32"/>
        </w:rPr>
      </w:pPr>
    </w:p>
    <w:p w14:paraId="1532B7CB">
      <w:pPr>
        <w:spacing w:line="560" w:lineRule="exact"/>
        <w:ind w:firstLine="640" w:firstLineChars="200"/>
        <w:jc w:val="center"/>
        <w:rPr>
          <w:szCs w:val="32"/>
        </w:rPr>
      </w:pPr>
    </w:p>
    <w:p w14:paraId="5CE780AF">
      <w:pPr>
        <w:spacing w:line="560" w:lineRule="exact"/>
        <w:ind w:firstLine="640" w:firstLineChars="200"/>
        <w:jc w:val="center"/>
        <w:rPr>
          <w:szCs w:val="32"/>
        </w:rPr>
      </w:pPr>
      <w:r>
        <w:rPr>
          <w:szCs w:val="32"/>
        </w:rPr>
        <w:t xml:space="preserve">                  城口县发展和改革委员会</w:t>
      </w:r>
    </w:p>
    <w:p w14:paraId="59AF2314">
      <w:pPr>
        <w:spacing w:line="560" w:lineRule="exact"/>
        <w:rPr>
          <w:szCs w:val="32"/>
        </w:rPr>
      </w:pPr>
      <w:r>
        <w:rPr>
          <w:szCs w:val="32"/>
        </w:rPr>
        <w:t xml:space="preserve">                                202</w:t>
      </w:r>
      <w:r>
        <w:rPr>
          <w:rFonts w:hint="eastAsia"/>
          <w:szCs w:val="32"/>
        </w:rPr>
        <w:t>4</w:t>
      </w:r>
      <w:r>
        <w:rPr>
          <w:szCs w:val="32"/>
        </w:rPr>
        <w:t>年</w:t>
      </w:r>
      <w:r>
        <w:rPr>
          <w:rFonts w:hint="eastAsia"/>
          <w:szCs w:val="32"/>
        </w:rPr>
        <w:t>3</w:t>
      </w:r>
      <w:r>
        <w:rPr>
          <w:szCs w:val="32"/>
        </w:rPr>
        <w:t>月</w:t>
      </w:r>
      <w:r>
        <w:rPr>
          <w:rFonts w:hint="eastAsia"/>
          <w:szCs w:val="32"/>
        </w:rPr>
        <w:t>1</w:t>
      </w:r>
      <w:r>
        <w:rPr>
          <w:szCs w:val="32"/>
        </w:rPr>
        <w:t>日</w:t>
      </w:r>
    </w:p>
    <w:p w14:paraId="61EA7D1D">
      <w:pPr>
        <w:spacing w:line="600" w:lineRule="exact"/>
        <w:jc w:val="center"/>
        <w:rPr>
          <w:rFonts w:eastAsia="方正小标宋_GBK"/>
          <w:sz w:val="44"/>
          <w:szCs w:val="44"/>
        </w:rPr>
      </w:pPr>
      <w:r>
        <w:rPr>
          <w:rFonts w:hint="eastAsia" w:ascii="方正小标宋_GBK" w:hAnsi="方正小标宋_GBK" w:eastAsia="方正小标宋_GBK" w:cs="方正小标宋_GBK"/>
          <w:sz w:val="44"/>
          <w:szCs w:val="44"/>
        </w:rPr>
        <w:t>城口县</w:t>
      </w:r>
      <w:r>
        <w:rPr>
          <w:rFonts w:hint="eastAsia" w:eastAsia="方正小标宋_GBK"/>
          <w:sz w:val="44"/>
          <w:szCs w:val="44"/>
        </w:rPr>
        <w:t>2023</w:t>
      </w:r>
      <w:r>
        <w:rPr>
          <w:rFonts w:eastAsia="方正小标宋_GBK"/>
          <w:sz w:val="44"/>
          <w:szCs w:val="44"/>
        </w:rPr>
        <w:t>年国民经济和社会发展计划</w:t>
      </w:r>
    </w:p>
    <w:p w14:paraId="51B92402">
      <w:pPr>
        <w:spacing w:line="600" w:lineRule="exact"/>
        <w:jc w:val="center"/>
        <w:rPr>
          <w:rFonts w:ascii="方正小标宋_GBK" w:hAnsi="方正小标宋_GBK" w:eastAsia="方正小标宋_GBK" w:cs="方正小标宋_GBK"/>
          <w:sz w:val="44"/>
          <w:szCs w:val="44"/>
        </w:rPr>
      </w:pPr>
      <w:r>
        <w:rPr>
          <w:rFonts w:eastAsia="方正小标宋_GBK"/>
          <w:sz w:val="44"/>
          <w:szCs w:val="44"/>
        </w:rPr>
        <w:t>执行情况与</w:t>
      </w:r>
      <w:r>
        <w:rPr>
          <w:rFonts w:hint="eastAsia" w:eastAsia="方正小标宋_GBK"/>
          <w:sz w:val="44"/>
          <w:szCs w:val="44"/>
        </w:rPr>
        <w:t>2024</w:t>
      </w:r>
      <w:r>
        <w:rPr>
          <w:rFonts w:eastAsia="方正小标宋_GBK"/>
          <w:sz w:val="44"/>
          <w:szCs w:val="44"/>
        </w:rPr>
        <w:t>年</w:t>
      </w:r>
      <w:r>
        <w:rPr>
          <w:rFonts w:hint="eastAsia" w:ascii="方正小标宋_GBK" w:hAnsi="方正小标宋_GBK" w:eastAsia="方正小标宋_GBK" w:cs="方正小标宋_GBK"/>
          <w:sz w:val="44"/>
          <w:szCs w:val="44"/>
        </w:rPr>
        <w:t>计划草案的报告</w:t>
      </w:r>
    </w:p>
    <w:p w14:paraId="0ABC08D3">
      <w:pPr>
        <w:autoSpaceDE w:val="0"/>
        <w:autoSpaceDN w:val="0"/>
        <w:adjustRightInd w:val="0"/>
        <w:spacing w:line="560" w:lineRule="exact"/>
        <w:rPr>
          <w:szCs w:val="32"/>
        </w:rPr>
      </w:pPr>
    </w:p>
    <w:p w14:paraId="603086D4">
      <w:pPr>
        <w:overflowPunct w:val="0"/>
        <w:adjustRightInd w:val="0"/>
        <w:snapToGrid w:val="0"/>
        <w:spacing w:line="579" w:lineRule="exact"/>
        <w:ind w:firstLine="640" w:firstLineChars="200"/>
        <w:rPr>
          <w:rFonts w:eastAsia="方正黑体_GBK"/>
          <w:szCs w:val="32"/>
        </w:rPr>
      </w:pPr>
      <w:r>
        <w:rPr>
          <w:rFonts w:eastAsia="方正黑体_GBK"/>
          <w:szCs w:val="32"/>
        </w:rPr>
        <w:t>一、2023年国民经济和社会发展</w:t>
      </w:r>
      <w:r>
        <w:rPr>
          <w:rFonts w:hint="eastAsia" w:eastAsia="方正黑体_GBK"/>
          <w:szCs w:val="32"/>
        </w:rPr>
        <w:t>计划</w:t>
      </w:r>
      <w:r>
        <w:rPr>
          <w:rFonts w:eastAsia="方正黑体_GBK"/>
          <w:szCs w:val="32"/>
        </w:rPr>
        <w:t>执行情况</w:t>
      </w:r>
    </w:p>
    <w:p w14:paraId="2EE7A69E">
      <w:pPr>
        <w:overflowPunct w:val="0"/>
        <w:adjustRightInd w:val="0"/>
        <w:snapToGrid w:val="0"/>
        <w:spacing w:line="579" w:lineRule="exact"/>
        <w:ind w:firstLine="640" w:firstLineChars="200"/>
        <w:rPr>
          <w:rFonts w:eastAsia="方正黑体_GBK" w:cs="方正黑体_GBK"/>
          <w:sz w:val="22"/>
          <w:szCs w:val="22"/>
        </w:rPr>
      </w:pPr>
      <w:r>
        <w:rPr>
          <w:rFonts w:hint="eastAsia"/>
          <w:szCs w:val="32"/>
        </w:rPr>
        <w:t>2023年，全县上下坚持以习近平新时代中国特色社会主义思想为指引，全面贯彻党的二十大和习近平总书记对重庆的重要指示批示精神，扎实开展学习贯彻习近平新时代中国特色社会主义思想主题教育，坚决落实市委、市政府、县委、县政府部署要求，聚焦“三县一城一枢纽”发展目标，坚持稳中求进工作总基调，突出稳进增效、除险清患、改革求变、惠民有感的工作导向，实施党建统领“八张报表”“八张问题清单”“五项机制”，着力推动高质量发展，统筹发展和安全，持续提振信心，持续扩大内需，持续深化供给侧结构性改革，在</w:t>
      </w:r>
      <w:r>
        <w:rPr>
          <w:rFonts w:hint="eastAsia" w:cs="方正仿宋_GBK"/>
          <w:szCs w:val="32"/>
        </w:rPr>
        <w:t>面对严峻复杂的宏观形势和艰巨繁重的改革发展稳定任务，以超常规的工作举措应对超预期的困难挑战，</w:t>
      </w:r>
      <w:r>
        <w:rPr>
          <w:rFonts w:hint="eastAsia"/>
          <w:szCs w:val="32"/>
        </w:rPr>
        <w:t>实现了经济</w:t>
      </w:r>
      <w:r>
        <w:rPr>
          <w:szCs w:val="32"/>
        </w:rPr>
        <w:t>稳中加固、稳中向好的良好态势，发展质量稳步提高</w:t>
      </w:r>
      <w:r>
        <w:rPr>
          <w:rFonts w:hint="eastAsia"/>
          <w:szCs w:val="32"/>
        </w:rPr>
        <w:t>，全面建设社会主义现代化新城口迈出坚实步伐</w:t>
      </w:r>
      <w:r>
        <w:rPr>
          <w:szCs w:val="32"/>
        </w:rPr>
        <w:t>。</w:t>
      </w:r>
      <w:r>
        <w:rPr>
          <w:rFonts w:hint="eastAsia"/>
          <w:szCs w:val="32"/>
        </w:rPr>
        <w:t>全年</w:t>
      </w:r>
      <w:r>
        <w:rPr>
          <w:sz w:val="31"/>
          <w:szCs w:val="31"/>
        </w:rPr>
        <w:t>地区生产总值</w:t>
      </w:r>
      <w:r>
        <w:rPr>
          <w:rFonts w:hint="eastAsia"/>
          <w:sz w:val="31"/>
          <w:szCs w:val="31"/>
        </w:rPr>
        <w:t>突破70</w:t>
      </w:r>
      <w:r>
        <w:rPr>
          <w:sz w:val="31"/>
          <w:szCs w:val="31"/>
        </w:rPr>
        <w:t>亿元，增长</w:t>
      </w:r>
      <w:r>
        <w:rPr>
          <w:rFonts w:hint="eastAsia"/>
          <w:sz w:val="31"/>
          <w:szCs w:val="31"/>
        </w:rPr>
        <w:t>6</w:t>
      </w:r>
      <w:r>
        <w:rPr>
          <w:sz w:val="31"/>
          <w:szCs w:val="31"/>
        </w:rPr>
        <w:t>%</w:t>
      </w:r>
      <w:r>
        <w:rPr>
          <w:rFonts w:hint="eastAsia"/>
          <w:sz w:val="31"/>
          <w:szCs w:val="31"/>
        </w:rPr>
        <w:t>。</w:t>
      </w:r>
    </w:p>
    <w:p w14:paraId="04B8DEF9">
      <w:pPr>
        <w:overflowPunct w:val="0"/>
        <w:spacing w:line="300" w:lineRule="exact"/>
        <w:jc w:val="center"/>
        <w:rPr>
          <w:rFonts w:eastAsia="方正黑体_GBK" w:cs="方正黑体_GBK"/>
          <w:sz w:val="22"/>
          <w:szCs w:val="22"/>
        </w:rPr>
      </w:pPr>
      <w:r>
        <w:drawing>
          <wp:anchor distT="0" distB="0" distL="114300" distR="114300" simplePos="0" relativeHeight="251661312" behindDoc="0" locked="0" layoutInCell="1" allowOverlap="1">
            <wp:simplePos x="0" y="0"/>
            <wp:positionH relativeFrom="column">
              <wp:posOffset>257810</wp:posOffset>
            </wp:positionH>
            <wp:positionV relativeFrom="paragraph">
              <wp:posOffset>38735</wp:posOffset>
            </wp:positionV>
            <wp:extent cx="5019675" cy="2659380"/>
            <wp:effectExtent l="5080" t="4445" r="4445" b="222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eastAsia="方正黑体_GBK" w:cs="方正黑体_GBK"/>
          <w:sz w:val="22"/>
          <w:szCs w:val="22"/>
        </w:rPr>
        <w:t>图1：</w:t>
      </w:r>
      <w:r>
        <w:rPr>
          <w:rFonts w:eastAsia="方正黑体_GBK"/>
          <w:sz w:val="22"/>
          <w:szCs w:val="22"/>
        </w:rPr>
        <w:t>2020-2023</w:t>
      </w:r>
      <w:r>
        <w:rPr>
          <w:rFonts w:hint="eastAsia" w:eastAsia="方正黑体_GBK" w:cs="方正黑体_GBK"/>
          <w:sz w:val="22"/>
          <w:szCs w:val="22"/>
        </w:rPr>
        <w:t>年全县地区生产总值总量及增速</w:t>
      </w:r>
    </w:p>
    <w:p w14:paraId="75548485">
      <w:pPr>
        <w:overflowPunct w:val="0"/>
        <w:spacing w:line="579" w:lineRule="exact"/>
        <w:ind w:firstLine="643" w:firstLineChars="200"/>
        <w:rPr>
          <w:szCs w:val="32"/>
        </w:rPr>
      </w:pPr>
      <w:r>
        <w:rPr>
          <w:b/>
          <w:bCs/>
          <w:szCs w:val="32"/>
        </w:rPr>
        <w:t>——</w:t>
      </w:r>
      <w:r>
        <w:rPr>
          <w:rFonts w:hint="eastAsia"/>
          <w:b/>
          <w:bCs/>
          <w:szCs w:val="32"/>
        </w:rPr>
        <w:t>重大</w:t>
      </w:r>
      <w:r>
        <w:rPr>
          <w:b/>
          <w:bCs/>
          <w:szCs w:val="32"/>
        </w:rPr>
        <w:t>战略</w:t>
      </w:r>
      <w:r>
        <w:rPr>
          <w:rFonts w:hint="eastAsia"/>
          <w:b/>
          <w:bCs/>
          <w:szCs w:val="32"/>
        </w:rPr>
        <w:t>推进有力</w:t>
      </w:r>
      <w:r>
        <w:rPr>
          <w:b/>
          <w:bCs/>
          <w:szCs w:val="32"/>
        </w:rPr>
        <w:t>。</w:t>
      </w:r>
      <w:r>
        <w:rPr>
          <w:szCs w:val="32"/>
        </w:rPr>
        <w:t>聚焦成渝地区双城经济圈建设，加快推动区域协调发展，</w:t>
      </w:r>
      <w:r>
        <w:rPr>
          <w:rFonts w:hint="eastAsia"/>
          <w:szCs w:val="32"/>
        </w:rPr>
        <w:t>部署实</w:t>
      </w:r>
      <w:r>
        <w:rPr>
          <w:rFonts w:hint="eastAsia" w:cs="方正仿宋_GBK"/>
          <w:szCs w:val="32"/>
        </w:rPr>
        <w:t>施“十项行动”“四张清单”，有序推进各项工作</w:t>
      </w:r>
      <w:r>
        <w:rPr>
          <w:szCs w:val="32"/>
        </w:rPr>
        <w:t>。聚焦推动长江经济带</w:t>
      </w:r>
      <w:r>
        <w:rPr>
          <w:rFonts w:hint="eastAsia"/>
          <w:szCs w:val="32"/>
        </w:rPr>
        <w:t>绿色</w:t>
      </w:r>
      <w:r>
        <w:rPr>
          <w:szCs w:val="32"/>
        </w:rPr>
        <w:t>发展，</w:t>
      </w:r>
      <w:r>
        <w:rPr>
          <w:rFonts w:hint="eastAsia"/>
          <w:szCs w:val="32"/>
        </w:rPr>
        <w:t>治水、治气、治土、治废、治塑、治山、治岸、治城、治乡一体推进，</w:t>
      </w:r>
      <w:r>
        <w:rPr>
          <w:szCs w:val="32"/>
        </w:rPr>
        <w:t>国家生态文明建设示范区成果持续巩固。聚焦城乡融合发展，加快推动新型城镇化建设，成功争取</w:t>
      </w:r>
      <w:r>
        <w:rPr>
          <w:rFonts w:hint="eastAsia"/>
          <w:szCs w:val="32"/>
        </w:rPr>
        <w:t>“</w:t>
      </w:r>
      <w:r>
        <w:rPr>
          <w:szCs w:val="32"/>
        </w:rPr>
        <w:t>小县大城</w:t>
      </w:r>
      <w:r>
        <w:rPr>
          <w:rFonts w:hint="eastAsia"/>
          <w:szCs w:val="32"/>
        </w:rPr>
        <w:t>”</w:t>
      </w:r>
      <w:r>
        <w:rPr>
          <w:szCs w:val="32"/>
        </w:rPr>
        <w:t>试点</w:t>
      </w:r>
      <w:r>
        <w:rPr>
          <w:rFonts w:hint="eastAsia"/>
          <w:szCs w:val="32"/>
        </w:rPr>
        <w:t>，争取国家乡村振兴重点帮扶县衔接补助资金5.3亿元</w:t>
      </w:r>
      <w:r>
        <w:rPr>
          <w:szCs w:val="32"/>
        </w:rPr>
        <w:t>。</w:t>
      </w:r>
    </w:p>
    <w:p w14:paraId="78CAA119">
      <w:pPr>
        <w:overflowPunct w:val="0"/>
        <w:spacing w:line="579" w:lineRule="exact"/>
        <w:ind w:firstLine="643" w:firstLineChars="200"/>
        <w:rPr>
          <w:sz w:val="31"/>
          <w:szCs w:val="31"/>
        </w:rPr>
      </w:pPr>
      <w:r>
        <w:rPr>
          <w:b/>
          <w:bCs/>
          <w:szCs w:val="32"/>
        </w:rPr>
        <w:t>——</w:t>
      </w:r>
      <w:r>
        <w:rPr>
          <w:rFonts w:hint="eastAsia"/>
          <w:b/>
          <w:bCs/>
          <w:szCs w:val="32"/>
        </w:rPr>
        <w:t>发展动能不断积蓄</w:t>
      </w:r>
      <w:r>
        <w:rPr>
          <w:b/>
          <w:bCs/>
          <w:szCs w:val="32"/>
        </w:rPr>
        <w:t>。</w:t>
      </w:r>
      <w:r>
        <w:rPr>
          <w:rFonts w:hint="eastAsia"/>
          <w:szCs w:val="32"/>
        </w:rPr>
        <w:t>制定制造业高质量发展实施方案，构建“1+3+N”制造业高质量发展体系，规上工业增加值同比增长15.1%。深入实施持续扩大内需战略，</w:t>
      </w:r>
      <w:r>
        <w:rPr>
          <w:rFonts w:hint="eastAsia"/>
          <w:sz w:val="31"/>
          <w:szCs w:val="31"/>
        </w:rPr>
        <w:t>完成</w:t>
      </w:r>
      <w:r>
        <w:rPr>
          <w:sz w:val="31"/>
          <w:szCs w:val="31"/>
        </w:rPr>
        <w:t>固定资产投资</w:t>
      </w:r>
      <w:r>
        <w:rPr>
          <w:rFonts w:hint="eastAsia"/>
          <w:sz w:val="31"/>
          <w:szCs w:val="31"/>
        </w:rPr>
        <w:t>44.5</w:t>
      </w:r>
      <w:r>
        <w:rPr>
          <w:sz w:val="31"/>
          <w:szCs w:val="31"/>
        </w:rPr>
        <w:t>亿元</w:t>
      </w:r>
      <w:r>
        <w:rPr>
          <w:rFonts w:hint="eastAsia"/>
          <w:sz w:val="31"/>
          <w:szCs w:val="31"/>
        </w:rPr>
        <w:t>、</w:t>
      </w:r>
      <w:r>
        <w:rPr>
          <w:sz w:val="31"/>
          <w:szCs w:val="31"/>
        </w:rPr>
        <w:t>社会消费品零售总额</w:t>
      </w:r>
      <w:r>
        <w:rPr>
          <w:rFonts w:hint="eastAsia"/>
          <w:sz w:val="31"/>
          <w:szCs w:val="31"/>
        </w:rPr>
        <w:t>28.2</w:t>
      </w:r>
      <w:r>
        <w:rPr>
          <w:sz w:val="31"/>
          <w:szCs w:val="31"/>
        </w:rPr>
        <w:t>亿元</w:t>
      </w:r>
      <w:r>
        <w:rPr>
          <w:rFonts w:hint="eastAsia"/>
          <w:sz w:val="31"/>
          <w:szCs w:val="31"/>
        </w:rPr>
        <w:t>，</w:t>
      </w:r>
      <w:r>
        <w:rPr>
          <w:sz w:val="31"/>
          <w:szCs w:val="31"/>
        </w:rPr>
        <w:t>同比</w:t>
      </w:r>
      <w:r>
        <w:rPr>
          <w:rFonts w:hint="eastAsia"/>
          <w:sz w:val="31"/>
          <w:szCs w:val="31"/>
        </w:rPr>
        <w:t>分别</w:t>
      </w:r>
      <w:r>
        <w:rPr>
          <w:sz w:val="31"/>
          <w:szCs w:val="31"/>
        </w:rPr>
        <w:t>增长</w:t>
      </w:r>
      <w:r>
        <w:rPr>
          <w:rFonts w:hint="eastAsia"/>
          <w:sz w:val="31"/>
          <w:szCs w:val="31"/>
        </w:rPr>
        <w:t>8</w:t>
      </w:r>
      <w:r>
        <w:rPr>
          <w:sz w:val="31"/>
          <w:szCs w:val="31"/>
        </w:rPr>
        <w:t>%</w:t>
      </w:r>
      <w:r>
        <w:rPr>
          <w:rFonts w:hint="eastAsia"/>
          <w:sz w:val="31"/>
          <w:szCs w:val="31"/>
        </w:rPr>
        <w:t>、6%</w:t>
      </w:r>
      <w:r>
        <w:rPr>
          <w:sz w:val="31"/>
          <w:szCs w:val="31"/>
        </w:rPr>
        <w:t>。</w:t>
      </w:r>
      <w:r>
        <w:rPr>
          <w:szCs w:val="32"/>
        </w:rPr>
        <w:t>新旧动能</w:t>
      </w:r>
      <w:r>
        <w:rPr>
          <w:rFonts w:hint="eastAsia"/>
          <w:szCs w:val="32"/>
        </w:rPr>
        <w:t>加快</w:t>
      </w:r>
      <w:r>
        <w:rPr>
          <w:szCs w:val="32"/>
        </w:rPr>
        <w:t>转换</w:t>
      </w:r>
      <w:r>
        <w:rPr>
          <w:rFonts w:hint="eastAsia"/>
          <w:color w:val="000000"/>
          <w:szCs w:val="32"/>
        </w:rPr>
        <w:t>，战略性新兴产业、数字经济增加值分别增长15.7%、13%。加快建设大巴山新能源基地，清洁能源装机总规模（含在建）达到64万千瓦。</w:t>
      </w:r>
    </w:p>
    <w:p w14:paraId="17DCB3B7">
      <w:pPr>
        <w:overflowPunct w:val="0"/>
        <w:spacing w:line="579" w:lineRule="exact"/>
        <w:ind w:firstLine="643" w:firstLineChars="200"/>
        <w:rPr>
          <w:szCs w:val="32"/>
          <w:highlight w:val="yellow"/>
        </w:rPr>
      </w:pPr>
      <w:r>
        <w:rPr>
          <w:b/>
          <w:bCs/>
          <w:szCs w:val="32"/>
        </w:rPr>
        <w:t>——</w:t>
      </w:r>
      <w:r>
        <w:rPr>
          <w:rFonts w:hint="eastAsia"/>
          <w:b/>
          <w:bCs/>
          <w:szCs w:val="32"/>
        </w:rPr>
        <w:t>重点改革纵深推进</w:t>
      </w:r>
      <w:r>
        <w:rPr>
          <w:b/>
          <w:bCs/>
          <w:szCs w:val="32"/>
        </w:rPr>
        <w:t>。</w:t>
      </w:r>
      <w:r>
        <w:rPr>
          <w:rFonts w:hint="eastAsia"/>
          <w:szCs w:val="32"/>
          <w:lang w:val="zh-CN"/>
        </w:rPr>
        <w:t>健全党建统筹“885”机制</w:t>
      </w:r>
      <w:r>
        <w:rPr>
          <w:rFonts w:hint="eastAsia" w:cs="方正楷体_GBK"/>
          <w:szCs w:val="32"/>
          <w:lang w:val="zh-CN"/>
        </w:rPr>
        <w:t>，</w:t>
      </w:r>
      <w:r>
        <w:rPr>
          <w:rFonts w:hint="eastAsia"/>
          <w:color w:val="000000"/>
          <w:szCs w:val="32"/>
        </w:rPr>
        <w:t>以“数字重庆”建设引领撬动全面深化改革</w:t>
      </w:r>
      <w:r>
        <w:rPr>
          <w:rFonts w:hint="eastAsia"/>
          <w:szCs w:val="32"/>
        </w:rPr>
        <w:t>。</w:t>
      </w:r>
      <w:r>
        <w:rPr>
          <w:rFonts w:hint="eastAsia"/>
          <w:color w:val="000000"/>
          <w:szCs w:val="32"/>
        </w:rPr>
        <w:t>国资国企改革持续深化，园区开发区优化整合全面推进，制造业“亩均论英雄”改革积极探索。</w:t>
      </w:r>
      <w:r>
        <w:rPr>
          <w:rFonts w:hint="eastAsia"/>
          <w:szCs w:val="32"/>
          <w:lang w:val="zh-CN"/>
        </w:rPr>
        <w:t>成为全国深化集体林权制度改革先行推进区，森林经营碳汇项目成为全市首个获批的国储林“碳汇通”项目。深化强村富民综合改革，改革经验在市委农村工作会议上交流。</w:t>
      </w:r>
    </w:p>
    <w:p w14:paraId="12A98A01">
      <w:pPr>
        <w:overflowPunct w:val="0"/>
        <w:spacing w:line="579" w:lineRule="exact"/>
        <w:ind w:firstLine="643" w:firstLineChars="200"/>
        <w:rPr>
          <w:szCs w:val="32"/>
        </w:rPr>
      </w:pPr>
      <w:r>
        <w:rPr>
          <w:b/>
          <w:bCs/>
          <w:szCs w:val="32"/>
        </w:rPr>
        <w:t>——</w:t>
      </w:r>
      <w:r>
        <w:rPr>
          <w:rFonts w:hint="eastAsia"/>
          <w:b/>
          <w:bCs/>
          <w:szCs w:val="32"/>
        </w:rPr>
        <w:t>生活品质持续改善</w:t>
      </w:r>
      <w:r>
        <w:rPr>
          <w:b/>
          <w:bCs/>
          <w:szCs w:val="32"/>
        </w:rPr>
        <w:t>。</w:t>
      </w:r>
      <w:r>
        <w:rPr>
          <w:rFonts w:hint="eastAsia"/>
          <w:szCs w:val="32"/>
        </w:rPr>
        <w:t>加强普惠性、基础性、兜底性民生建设，</w:t>
      </w:r>
      <w:r>
        <w:rPr>
          <w:rFonts w:hint="eastAsia"/>
          <w:sz w:val="31"/>
          <w:szCs w:val="31"/>
        </w:rPr>
        <w:t>15件年度重点民生实事、16件县级主题教育民生事项全面完成。</w:t>
      </w:r>
      <w:r>
        <w:rPr>
          <w:rFonts w:hint="eastAsia"/>
          <w:szCs w:val="32"/>
        </w:rPr>
        <w:t>城口以工代赈经验入选全国新时期以工代赈工作指引。</w:t>
      </w:r>
      <w:r>
        <w:rPr>
          <w:rFonts w:hint="eastAsia"/>
          <w:sz w:val="31"/>
          <w:szCs w:val="31"/>
        </w:rPr>
        <w:t>城镇新增就业</w:t>
      </w:r>
      <w:r>
        <w:rPr>
          <w:rFonts w:hint="eastAsia"/>
          <w:szCs w:val="32"/>
        </w:rPr>
        <w:t>2004</w:t>
      </w:r>
      <w:r>
        <w:rPr>
          <w:rFonts w:hint="eastAsia"/>
          <w:sz w:val="31"/>
          <w:szCs w:val="31"/>
        </w:rPr>
        <w:t>人，全体居民人均可支配收入</w:t>
      </w:r>
      <w:r>
        <w:rPr>
          <w:rFonts w:hint="eastAsia"/>
          <w:kern w:val="2"/>
          <w:szCs w:val="32"/>
        </w:rPr>
        <w:t>23400</w:t>
      </w:r>
      <w:r>
        <w:rPr>
          <w:rFonts w:hint="eastAsia"/>
          <w:sz w:val="31"/>
          <w:szCs w:val="31"/>
        </w:rPr>
        <w:t>元，同比增长5.</w:t>
      </w:r>
      <w:r>
        <w:rPr>
          <w:sz w:val="31"/>
          <w:szCs w:val="31"/>
        </w:rPr>
        <w:t>4</w:t>
      </w:r>
      <w:r>
        <w:rPr>
          <w:rFonts w:hint="eastAsia"/>
          <w:sz w:val="31"/>
          <w:szCs w:val="31"/>
        </w:rPr>
        <w:t>%。空气质量优良天数达360天</w:t>
      </w:r>
      <w:r>
        <w:rPr>
          <w:szCs w:val="32"/>
        </w:rPr>
        <w:t>，优良天数位居</w:t>
      </w:r>
      <w:r>
        <w:rPr>
          <w:rFonts w:hint="eastAsia"/>
          <w:szCs w:val="32"/>
        </w:rPr>
        <w:t>全市</w:t>
      </w:r>
      <w:r>
        <w:rPr>
          <w:szCs w:val="32"/>
        </w:rPr>
        <w:t>第一</w:t>
      </w:r>
      <w:r>
        <w:rPr>
          <w:rFonts w:hint="eastAsia"/>
          <w:sz w:val="31"/>
          <w:szCs w:val="31"/>
        </w:rPr>
        <w:t>。</w:t>
      </w:r>
      <w:r>
        <w:rPr>
          <w:rFonts w:hint="eastAsia"/>
          <w:color w:val="000000"/>
          <w:szCs w:val="32"/>
        </w:rPr>
        <w:t>积极探索生态环境保护与经济社会发展双赢路径，在美丽重庆建设大会上得到家军书记点名表扬。</w:t>
      </w:r>
    </w:p>
    <w:p w14:paraId="52B06A83">
      <w:pPr>
        <w:overflowPunct w:val="0"/>
        <w:spacing w:line="579"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重点抓了以下八个方面的工作：</w:t>
      </w:r>
    </w:p>
    <w:p w14:paraId="5301240D">
      <w:pPr>
        <w:overflowPunct w:val="0"/>
        <w:spacing w:line="579" w:lineRule="exact"/>
        <w:ind w:firstLine="640" w:firstLineChars="200"/>
        <w:rPr>
          <w:rFonts w:eastAsia="方正楷体_GBK" w:cs="方正楷体_GBK"/>
          <w:szCs w:val="32"/>
        </w:rPr>
      </w:pPr>
      <w:r>
        <w:rPr>
          <w:rFonts w:hint="eastAsia" w:eastAsia="方正楷体_GBK" w:cs="方正楷体_GBK"/>
          <w:szCs w:val="32"/>
        </w:rPr>
        <w:t>（一）抓实“一号工程”，积极融入成渝地区双城经济圈建设</w:t>
      </w:r>
    </w:p>
    <w:p w14:paraId="708B98D8">
      <w:pPr>
        <w:overflowPunct w:val="0"/>
        <w:spacing w:line="579" w:lineRule="exact"/>
        <w:ind w:firstLine="643" w:firstLineChars="200"/>
        <w:rPr>
          <w:szCs w:val="32"/>
        </w:rPr>
      </w:pPr>
      <w:r>
        <w:rPr>
          <w:rFonts w:hint="eastAsia"/>
          <w:b/>
          <w:bCs/>
          <w:kern w:val="2"/>
          <w:szCs w:val="32"/>
        </w:rPr>
        <w:t>打表推进“十项行动”“四张清单”。</w:t>
      </w:r>
      <w:r>
        <w:rPr>
          <w:rFonts w:hint="eastAsia"/>
          <w:szCs w:val="32"/>
        </w:rPr>
        <w:t>召开城宣万革命老区振兴发展示范区融入成渝地区双城经济圈建设推进大会，印发实施《城口县贯彻落实重庆市推动成渝地区双城经济圈建设实施方案》，清单式打表推进城宣万革命老区振兴发展示范区等13个重大平台、新能源基地建设等114个重大项目、推动国家乡村振兴重点帮扶县城口县发展若干政策等26项重大政策、“川渝通办”同城化便民服务等24项重大改革任务，</w:t>
      </w:r>
      <w:r>
        <w:rPr>
          <w:rFonts w:cs="方正仿宋_GBK"/>
          <w:color w:val="000000"/>
          <w:sz w:val="31"/>
          <w:szCs w:val="31"/>
        </w:rPr>
        <w:t>科学搭建双城经济圈建设</w:t>
      </w:r>
      <w:r>
        <w:rPr>
          <w:rFonts w:hint="eastAsia" w:cs="方正仿宋_GBK"/>
          <w:color w:val="000000"/>
          <w:sz w:val="31"/>
          <w:szCs w:val="31"/>
        </w:rPr>
        <w:t>“</w:t>
      </w:r>
      <w:r>
        <w:rPr>
          <w:rFonts w:cs="方正仿宋_GBK"/>
          <w:color w:val="000000"/>
          <w:sz w:val="31"/>
          <w:szCs w:val="31"/>
        </w:rPr>
        <w:t>四梁八柱</w:t>
      </w:r>
      <w:r>
        <w:rPr>
          <w:rFonts w:hint="eastAsia" w:cs="方正仿宋_GBK"/>
          <w:color w:val="000000"/>
          <w:sz w:val="31"/>
          <w:szCs w:val="31"/>
        </w:rPr>
        <w:t>”。</w:t>
      </w:r>
      <w:r>
        <w:rPr>
          <w:rFonts w:cs="方正仿宋_GBK"/>
          <w:color w:val="000000"/>
          <w:sz w:val="31"/>
          <w:szCs w:val="31"/>
        </w:rPr>
        <w:t>优化完善推动双城经济圈建设工作机制，</w:t>
      </w:r>
      <w:r>
        <w:rPr>
          <w:rFonts w:hint="eastAsia"/>
          <w:szCs w:val="32"/>
        </w:rPr>
        <w:t>建立健全“任务—分办—落实—跟踪—反馈—上报”工作链条，全力推动“十项行动”“四张清单”落地见效。</w:t>
      </w:r>
    </w:p>
    <w:p w14:paraId="5FB18062">
      <w:pPr>
        <w:overflowPunct w:val="0"/>
        <w:spacing w:line="579" w:lineRule="exact"/>
        <w:ind w:firstLine="643" w:firstLineChars="200"/>
        <w:rPr>
          <w:szCs w:val="32"/>
        </w:rPr>
      </w:pPr>
      <w:r>
        <w:rPr>
          <w:rFonts w:hint="eastAsia"/>
          <w:b/>
          <w:bCs/>
          <w:kern w:val="2"/>
          <w:szCs w:val="32"/>
        </w:rPr>
        <w:t>加快建设城宣万革命老区振兴发展示范区。</w:t>
      </w:r>
      <w:r>
        <w:rPr>
          <w:szCs w:val="32"/>
        </w:rPr>
        <w:t>围绕《城宣万革命老区振兴发展示范区建设实施方案》，完善协调机制，签订各类合作协议</w:t>
      </w:r>
      <w:r>
        <w:rPr>
          <w:rFonts w:hint="eastAsia"/>
          <w:szCs w:val="32"/>
        </w:rPr>
        <w:t>28</w:t>
      </w:r>
      <w:r>
        <w:rPr>
          <w:szCs w:val="32"/>
        </w:rPr>
        <w:t>份，行业部门、群团组织、社会团体参与度不断提高</w:t>
      </w:r>
      <w:r>
        <w:rPr>
          <w:rFonts w:hint="eastAsia"/>
          <w:szCs w:val="32"/>
        </w:rPr>
        <w:t>。联动万源共同推动丹江口库区上游地区综合治理支持政策落地，</w:t>
      </w:r>
      <w:r>
        <w:rPr>
          <w:szCs w:val="32"/>
        </w:rPr>
        <w:t>万源</w:t>
      </w:r>
      <w:r>
        <w:rPr>
          <w:rFonts w:hint="eastAsia"/>
          <w:szCs w:val="32"/>
        </w:rPr>
        <w:t>至</w:t>
      </w:r>
      <w:r>
        <w:rPr>
          <w:szCs w:val="32"/>
        </w:rPr>
        <w:t>城口天然气</w:t>
      </w:r>
      <w:r>
        <w:rPr>
          <w:rFonts w:hint="eastAsia"/>
          <w:szCs w:val="32"/>
        </w:rPr>
        <w:t>长</w:t>
      </w:r>
      <w:r>
        <w:rPr>
          <w:szCs w:val="32"/>
        </w:rPr>
        <w:t>输管道</w:t>
      </w:r>
      <w:r>
        <w:rPr>
          <w:rFonts w:hint="eastAsia"/>
          <w:szCs w:val="32"/>
        </w:rPr>
        <w:t>主体</w:t>
      </w:r>
      <w:r>
        <w:rPr>
          <w:szCs w:val="32"/>
        </w:rPr>
        <w:t>工程</w:t>
      </w:r>
      <w:r>
        <w:rPr>
          <w:rFonts w:hint="eastAsia"/>
          <w:szCs w:val="32"/>
        </w:rPr>
        <w:t>完工，</w:t>
      </w:r>
      <w:r>
        <w:rPr>
          <w:szCs w:val="32"/>
        </w:rPr>
        <w:t>311</w:t>
      </w:r>
      <w:r>
        <w:rPr>
          <w:rFonts w:hint="eastAsia"/>
          <w:szCs w:val="32"/>
        </w:rPr>
        <w:t>项</w:t>
      </w:r>
      <w:r>
        <w:rPr>
          <w:rFonts w:hint="eastAsia" w:cs="方正仿宋_GBK"/>
          <w:szCs w:val="32"/>
        </w:rPr>
        <w:t>“川渝通办”</w:t>
      </w:r>
      <w:r>
        <w:rPr>
          <w:rFonts w:hint="eastAsia"/>
          <w:szCs w:val="32"/>
        </w:rPr>
        <w:t>事项全面上线，全年受理办件7768件，办结率100%；</w:t>
      </w:r>
      <w:r>
        <w:rPr>
          <w:szCs w:val="32"/>
        </w:rPr>
        <w:t>建立边界学校义务教育招生联动机制，实现学生跨省市就近入学。强化生态环境联防联控</w:t>
      </w:r>
      <w:r>
        <w:rPr>
          <w:rFonts w:hint="eastAsia"/>
          <w:szCs w:val="32"/>
        </w:rPr>
        <w:t>，</w:t>
      </w:r>
      <w:r>
        <w:rPr>
          <w:szCs w:val="32"/>
        </w:rPr>
        <w:t>建立</w:t>
      </w:r>
      <w:r>
        <w:rPr>
          <w:rFonts w:hint="eastAsia"/>
          <w:szCs w:val="32"/>
        </w:rPr>
        <w:t>“</w:t>
      </w:r>
      <w:r>
        <w:rPr>
          <w:szCs w:val="32"/>
        </w:rPr>
        <w:t>执法协作</w:t>
      </w:r>
      <w:r>
        <w:rPr>
          <w:rFonts w:hint="eastAsia"/>
          <w:szCs w:val="32"/>
        </w:rPr>
        <w:t>”</w:t>
      </w:r>
      <w:r>
        <w:rPr>
          <w:szCs w:val="32"/>
        </w:rPr>
        <w:t>等六项工作机制</w:t>
      </w:r>
      <w:r>
        <w:rPr>
          <w:rFonts w:hint="eastAsia"/>
          <w:szCs w:val="32"/>
        </w:rPr>
        <w:t>，</w:t>
      </w:r>
      <w:r>
        <w:rPr>
          <w:szCs w:val="32"/>
        </w:rPr>
        <w:t>定期开展跨区域禁渔联合巡查等联防联保行动。</w:t>
      </w:r>
    </w:p>
    <w:p w14:paraId="3AFB2CB2">
      <w:pPr>
        <w:overflowPunct w:val="0"/>
        <w:spacing w:line="560" w:lineRule="exact"/>
        <w:ind w:firstLine="643" w:firstLineChars="200"/>
        <w:rPr>
          <w:szCs w:val="32"/>
          <w:lang w:val="zh-TW"/>
        </w:rPr>
      </w:pPr>
      <w:r>
        <w:rPr>
          <w:rFonts w:hint="eastAsia"/>
          <w:b/>
          <w:bCs/>
          <w:szCs w:val="32"/>
        </w:rPr>
        <w:t>全面深化九龙坡对口协同发展。</w:t>
      </w:r>
      <w:r>
        <w:rPr>
          <w:rFonts w:hint="eastAsia"/>
          <w:szCs w:val="32"/>
        </w:rPr>
        <w:t>推动互访交流，两地党政主要领导先后互访3次，结对单位交流互动30余次。推动产业协同，联合招商引进项目2个，引进资金6040万元。推动城乡互动，互派56名教师、医务人员交流学习，落实帮扶资金5300万元、实施项目6个。推动科技协作，</w:t>
      </w:r>
      <w:r>
        <w:rPr>
          <w:rFonts w:hint="eastAsia"/>
          <w:color w:val="000000"/>
          <w:szCs w:val="32"/>
        </w:rPr>
        <w:t>围绕涉农、涉林、涉旅等重点领域，</w:t>
      </w:r>
      <w:r>
        <w:rPr>
          <w:rFonts w:hint="eastAsia"/>
          <w:szCs w:val="32"/>
        </w:rPr>
        <w:t>共同申报市级科研项目</w:t>
      </w:r>
      <w:r>
        <w:rPr>
          <w:szCs w:val="32"/>
        </w:rPr>
        <w:t>2</w:t>
      </w:r>
      <w:r>
        <w:rPr>
          <w:rFonts w:hint="eastAsia"/>
          <w:szCs w:val="32"/>
        </w:rPr>
        <w:t>个。推动市场互通，助力销售城口农特产品、文旅产品2358万元，提供就业岗位780余个。</w:t>
      </w:r>
    </w:p>
    <w:p w14:paraId="375312A9">
      <w:pPr>
        <w:overflowPunct w:val="0"/>
        <w:spacing w:line="560" w:lineRule="exact"/>
        <w:ind w:firstLine="640" w:firstLineChars="200"/>
        <w:rPr>
          <w:rFonts w:eastAsia="方正楷体_GBK" w:cs="方正楷体_GBK"/>
          <w:szCs w:val="32"/>
        </w:rPr>
      </w:pPr>
      <w:r>
        <w:rPr>
          <w:rFonts w:hint="eastAsia" w:eastAsia="方正楷体_GBK" w:cs="方正楷体_GBK"/>
          <w:szCs w:val="32"/>
        </w:rPr>
        <w:t>（二）着力</w:t>
      </w:r>
      <w:r>
        <w:rPr>
          <w:rFonts w:eastAsia="方正楷体_GBK" w:cs="方正楷体_GBK"/>
          <w:szCs w:val="32"/>
        </w:rPr>
        <w:t>扩投资促消费</w:t>
      </w:r>
      <w:r>
        <w:rPr>
          <w:rFonts w:hint="eastAsia" w:eastAsia="方正楷体_GBK" w:cs="方正楷体_GBK"/>
          <w:szCs w:val="32"/>
        </w:rPr>
        <w:t>强主体</w:t>
      </w:r>
      <w:r>
        <w:rPr>
          <w:rFonts w:eastAsia="方正楷体_GBK" w:cs="方正楷体_GBK"/>
          <w:szCs w:val="32"/>
        </w:rPr>
        <w:t>，</w:t>
      </w:r>
      <w:r>
        <w:rPr>
          <w:rFonts w:hint="eastAsia" w:eastAsia="方正楷体_GBK" w:cs="方正楷体_GBK"/>
          <w:szCs w:val="32"/>
        </w:rPr>
        <w:t>加快</w:t>
      </w:r>
      <w:r>
        <w:rPr>
          <w:rFonts w:eastAsia="方正楷体_GBK" w:cs="方正楷体_GBK"/>
          <w:szCs w:val="32"/>
        </w:rPr>
        <w:t>释放内需发展潜能</w:t>
      </w:r>
    </w:p>
    <w:p w14:paraId="6882CC06">
      <w:pPr>
        <w:overflowPunct w:val="0"/>
        <w:spacing w:line="560" w:lineRule="exact"/>
        <w:ind w:firstLine="643" w:firstLineChars="200"/>
        <w:rPr>
          <w:b/>
          <w:bCs/>
          <w:szCs w:val="32"/>
        </w:rPr>
      </w:pPr>
      <w:r>
        <w:rPr>
          <w:rFonts w:hint="eastAsia"/>
          <w:b/>
          <w:bCs/>
          <w:szCs w:val="32"/>
        </w:rPr>
        <w:t>积极扩大有效投资。</w:t>
      </w:r>
      <w:r>
        <w:rPr>
          <w:szCs w:val="36"/>
        </w:rPr>
        <w:t>持续推动</w:t>
      </w:r>
      <w:r>
        <w:rPr>
          <w:rFonts w:hint="eastAsia"/>
          <w:szCs w:val="36"/>
        </w:rPr>
        <w:t>“</w:t>
      </w:r>
      <w:r>
        <w:rPr>
          <w:szCs w:val="36"/>
        </w:rPr>
        <w:t>抓项目促投资</w:t>
      </w:r>
      <w:r>
        <w:rPr>
          <w:rFonts w:hint="eastAsia"/>
          <w:szCs w:val="36"/>
        </w:rPr>
        <w:t>”</w:t>
      </w:r>
      <w:r>
        <w:rPr>
          <w:szCs w:val="36"/>
        </w:rPr>
        <w:t>专项行动，</w:t>
      </w:r>
      <w:r>
        <w:rPr>
          <w:rStyle w:val="23"/>
          <w:rFonts w:hint="eastAsia" w:ascii="Times New Roman" w:hAnsi="Times New Roman" w:cs="方正仿宋_GBK"/>
          <w:szCs w:val="32"/>
        </w:rPr>
        <w:t>严格落实“五个一批”项目推进机制</w:t>
      </w:r>
      <w:r>
        <w:rPr>
          <w:rFonts w:hint="eastAsia"/>
          <w:szCs w:val="32"/>
        </w:rPr>
        <w:t>、“五色管理”工作机制，</w:t>
      </w:r>
      <w:r>
        <w:rPr>
          <w:szCs w:val="36"/>
        </w:rPr>
        <w:t>实行县委</w:t>
      </w:r>
      <w:r>
        <w:rPr>
          <w:rFonts w:hint="eastAsia"/>
          <w:szCs w:val="36"/>
        </w:rPr>
        <w:t>、</w:t>
      </w:r>
      <w:r>
        <w:rPr>
          <w:szCs w:val="36"/>
        </w:rPr>
        <w:t>县政府集中季调度、项目指挥长</w:t>
      </w:r>
      <w:r>
        <w:rPr>
          <w:rFonts w:hint="eastAsia"/>
          <w:szCs w:val="36"/>
        </w:rPr>
        <w:t>半</w:t>
      </w:r>
      <w:r>
        <w:rPr>
          <w:szCs w:val="36"/>
        </w:rPr>
        <w:t>月调度、行业部门适时调度，高位推动项目建设。滨河体育公园、青龙山陵园等39个项目提速建设，任河南岸、任河生态拦水坝等41个项目实现竣工。强化要素保障，</w:t>
      </w:r>
      <w:r>
        <w:rPr>
          <w:rFonts w:hint="eastAsia"/>
          <w:szCs w:val="32"/>
        </w:rPr>
        <w:t>全年向上争取资金38亿元，其中中央预算内投资4.3亿元、特别国债2.8亿元、一般性债券1.6亿元、地方政府专项债10.5亿元。</w:t>
      </w:r>
      <w:r>
        <w:rPr>
          <w:rStyle w:val="23"/>
          <w:rFonts w:hint="eastAsia" w:ascii="Times New Roman" w:hAnsi="Times New Roman" w:cs="方正仿宋_GBK"/>
          <w:szCs w:val="32"/>
        </w:rPr>
        <w:t>用好招商资源、用活招商政策，</w:t>
      </w:r>
      <w:r>
        <w:rPr>
          <w:rFonts w:hint="eastAsia"/>
          <w:szCs w:val="32"/>
        </w:rPr>
        <w:t>协议资金</w:t>
      </w:r>
      <w:r>
        <w:rPr>
          <w:rStyle w:val="23"/>
          <w:rFonts w:hint="eastAsia" w:ascii="Times New Roman" w:hAnsi="Times New Roman" w:cs="方正仿宋_GBK"/>
          <w:szCs w:val="32"/>
        </w:rPr>
        <w:t>52亿元、同比增长3.5%，到位资金10.9亿元、同比增长3.8%</w:t>
      </w:r>
      <w:r>
        <w:rPr>
          <w:rFonts w:hint="eastAsia"/>
          <w:szCs w:val="32"/>
        </w:rPr>
        <w:t>。</w:t>
      </w:r>
    </w:p>
    <w:p w14:paraId="4284381E">
      <w:pPr>
        <w:overflowPunct w:val="0"/>
        <w:spacing w:line="300" w:lineRule="exact"/>
        <w:jc w:val="center"/>
      </w:pPr>
      <w:r>
        <w:drawing>
          <wp:anchor distT="0" distB="0" distL="114300" distR="114300" simplePos="0" relativeHeight="251663360" behindDoc="0" locked="0" layoutInCell="1" allowOverlap="1">
            <wp:simplePos x="0" y="0"/>
            <wp:positionH relativeFrom="column">
              <wp:posOffset>436880</wp:posOffset>
            </wp:positionH>
            <wp:positionV relativeFrom="paragraph">
              <wp:posOffset>8890</wp:posOffset>
            </wp:positionV>
            <wp:extent cx="4661535" cy="2883535"/>
            <wp:effectExtent l="4445" t="4445" r="20320" b="762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eastAsia="方正黑体_GBK" w:cs="方正黑体_GBK"/>
          <w:sz w:val="22"/>
          <w:szCs w:val="22"/>
        </w:rPr>
        <w:t>图2：2020年-2023年全县固定资产投资总额及增速</w:t>
      </w:r>
    </w:p>
    <w:p w14:paraId="45D20A06">
      <w:pPr>
        <w:overflowPunct w:val="0"/>
        <w:spacing w:line="579" w:lineRule="exact"/>
        <w:ind w:firstLine="643" w:firstLineChars="200"/>
        <w:rPr>
          <w:b/>
          <w:bCs/>
          <w:szCs w:val="32"/>
        </w:rPr>
      </w:pPr>
      <w:r>
        <w:rPr>
          <w:rFonts w:hint="eastAsia"/>
          <w:b/>
          <w:bCs/>
          <w:szCs w:val="32"/>
        </w:rPr>
        <w:t>促进消费升级扩容。</w:t>
      </w:r>
      <w:r>
        <w:rPr>
          <w:szCs w:val="32"/>
        </w:rPr>
        <w:t>实施县域商业建设行动，推动名豪商业综合体、河街</w:t>
      </w:r>
      <w:r>
        <w:rPr>
          <w:rFonts w:hint="eastAsia"/>
          <w:szCs w:val="32"/>
        </w:rPr>
        <w:t>夜市</w:t>
      </w:r>
      <w:r>
        <w:rPr>
          <w:szCs w:val="32"/>
        </w:rPr>
        <w:t>、土城老街等特色街区业态布局和完善，打造消费新地标和新场景</w:t>
      </w:r>
      <w:r>
        <w:rPr>
          <w:rFonts w:hint="eastAsia"/>
          <w:szCs w:val="32"/>
        </w:rPr>
        <w:t>。</w:t>
      </w:r>
      <w:r>
        <w:rPr>
          <w:szCs w:val="32"/>
        </w:rPr>
        <w:t>围绕批发市场、仓储配送、终端网点、民生储备、产业链冷链设施，打造全县生活必需品流通保供体系。举办第二届美食文化暨直播电商节，发放消费券200万元，</w:t>
      </w:r>
      <w:r>
        <w:rPr>
          <w:rFonts w:hint="eastAsia"/>
          <w:szCs w:val="32"/>
        </w:rPr>
        <w:t>推动</w:t>
      </w:r>
      <w:r>
        <w:rPr>
          <w:szCs w:val="32"/>
        </w:rPr>
        <w:t>线上线下综合消费2亿元。</w:t>
      </w:r>
      <w:r>
        <w:rPr>
          <w:rFonts w:hint="eastAsia"/>
          <w:szCs w:val="32"/>
        </w:rPr>
        <w:t>深化水利部、山东临沂、市发展改革委帮扶集团、九龙坡对口帮扶，全年实现消费帮扶2.1亿元，作为全市唯一一个区县申报全国消费帮扶产地示范区。</w:t>
      </w:r>
      <w:r>
        <w:rPr>
          <w:szCs w:val="32"/>
        </w:rPr>
        <w:t>扩大对外开放</w:t>
      </w:r>
      <w:r>
        <w:rPr>
          <w:rFonts w:hint="eastAsia"/>
          <w:szCs w:val="32"/>
        </w:rPr>
        <w:t>，新增</w:t>
      </w:r>
      <w:r>
        <w:rPr>
          <w:szCs w:val="32"/>
        </w:rPr>
        <w:t>出口备案资质企业</w:t>
      </w:r>
      <w:r>
        <w:rPr>
          <w:rFonts w:hint="eastAsia"/>
          <w:szCs w:val="32"/>
        </w:rPr>
        <w:t>4</w:t>
      </w:r>
      <w:r>
        <w:rPr>
          <w:szCs w:val="32"/>
        </w:rPr>
        <w:t>家，打造出口商品10余款，</w:t>
      </w:r>
      <w:r>
        <w:rPr>
          <w:bCs/>
          <w:szCs w:val="32"/>
        </w:rPr>
        <w:t>累计实现出口</w:t>
      </w:r>
      <w:r>
        <w:rPr>
          <w:rFonts w:hint="eastAsia"/>
          <w:bCs/>
          <w:szCs w:val="32"/>
        </w:rPr>
        <w:t>10万</w:t>
      </w:r>
      <w:r>
        <w:rPr>
          <w:bCs/>
          <w:szCs w:val="32"/>
        </w:rPr>
        <w:t>余元</w:t>
      </w:r>
      <w:r>
        <w:rPr>
          <w:rFonts w:hint="eastAsia"/>
          <w:bCs/>
          <w:szCs w:val="32"/>
        </w:rPr>
        <w:t>。</w:t>
      </w:r>
    </w:p>
    <w:p w14:paraId="71E792D3">
      <w:pPr>
        <w:overflowPunct w:val="0"/>
        <w:spacing w:line="579" w:lineRule="exact"/>
        <w:ind w:firstLine="643" w:firstLineChars="200"/>
        <w:rPr>
          <w:szCs w:val="32"/>
        </w:rPr>
      </w:pPr>
      <w:r>
        <w:rPr>
          <w:rFonts w:hint="eastAsia"/>
          <w:b/>
          <w:bCs/>
          <w:szCs w:val="32"/>
        </w:rPr>
        <w:t>提振市场主体信心。</w:t>
      </w:r>
      <w:r>
        <w:rPr>
          <w:rFonts w:hint="eastAsia"/>
          <w:szCs w:val="32"/>
        </w:rPr>
        <w:t>召开推动民营经济高质量发展大会，印发支持民营经济发展12条、市场主体发展36条、食品及农产品加工发展8条系列政策措施，动态更新“稳经济政策包”，编印政策汇编</w:t>
      </w:r>
      <w:r>
        <w:rPr>
          <w:rFonts w:hint="eastAsia"/>
          <w:szCs w:val="32"/>
          <w:lang w:eastAsia="zh-CN"/>
        </w:rPr>
        <w:t>学习资料</w:t>
      </w:r>
      <w:r>
        <w:rPr>
          <w:rFonts w:hint="eastAsia"/>
          <w:szCs w:val="32"/>
        </w:rPr>
        <w:t>，惠企资金达1.5亿元以上。</w:t>
      </w:r>
      <w:r>
        <w:rPr>
          <w:szCs w:val="32"/>
        </w:rPr>
        <w:t>持续推动县领导联系企业和</w:t>
      </w:r>
      <w:r>
        <w:rPr>
          <w:rFonts w:hint="eastAsia"/>
          <w:szCs w:val="32"/>
        </w:rPr>
        <w:t>“</w:t>
      </w:r>
      <w:r>
        <w:rPr>
          <w:szCs w:val="32"/>
        </w:rPr>
        <w:t>一企一员</w:t>
      </w:r>
      <w:r>
        <w:rPr>
          <w:rFonts w:hint="eastAsia"/>
          <w:szCs w:val="32"/>
        </w:rPr>
        <w:t>”</w:t>
      </w:r>
      <w:bookmarkStart w:id="15" w:name="_GoBack"/>
      <w:bookmarkEnd w:id="15"/>
      <w:r>
        <w:rPr>
          <w:szCs w:val="32"/>
        </w:rPr>
        <w:t>服务机制，</w:t>
      </w:r>
      <w:r>
        <w:rPr>
          <w:rFonts w:hint="eastAsia"/>
          <w:szCs w:val="32"/>
        </w:rPr>
        <w:t>为民营企业“解难题、办实事”，解决难题658个。常态化跟踪调度、阶段性评估政策实施情况，实施企业培育成长计划，</w:t>
      </w:r>
      <w:r>
        <w:rPr>
          <w:szCs w:val="32"/>
        </w:rPr>
        <w:t>培育</w:t>
      </w:r>
      <w:r>
        <w:rPr>
          <w:rFonts w:hint="eastAsia"/>
          <w:szCs w:val="32"/>
        </w:rPr>
        <w:t>规上工业</w:t>
      </w:r>
      <w:r>
        <w:rPr>
          <w:szCs w:val="32"/>
        </w:rPr>
        <w:t>企业</w:t>
      </w:r>
      <w:r>
        <w:rPr>
          <w:rFonts w:hint="eastAsia"/>
          <w:szCs w:val="32"/>
        </w:rPr>
        <w:t>7家、规上服务业企业2家、限额以上商贸企业5家、资质等级建筑企业13家，市场主体总量达2.55万户、增长6.5%。</w:t>
      </w:r>
    </w:p>
    <w:p w14:paraId="2A9924FE">
      <w:pPr>
        <w:overflowPunct w:val="0"/>
        <w:spacing w:line="579" w:lineRule="exact"/>
        <w:ind w:firstLine="640" w:firstLineChars="200"/>
        <w:rPr>
          <w:rFonts w:eastAsia="方正楷体_GBK" w:cs="方正楷体_GBK"/>
          <w:szCs w:val="32"/>
        </w:rPr>
      </w:pPr>
      <w:r>
        <w:rPr>
          <w:rFonts w:hint="eastAsia" w:eastAsia="方正楷体_GBK" w:cs="方正楷体_GBK"/>
          <w:szCs w:val="32"/>
        </w:rPr>
        <w:t>（三）加强基础设施建设，夯实高质量发展坚实基础</w:t>
      </w:r>
    </w:p>
    <w:p w14:paraId="5DBC9AC9">
      <w:pPr>
        <w:overflowPunct w:val="0"/>
        <w:spacing w:line="579" w:lineRule="exact"/>
        <w:ind w:firstLine="643" w:firstLineChars="200"/>
        <w:rPr>
          <w:kern w:val="2"/>
          <w:szCs w:val="32"/>
        </w:rPr>
      </w:pPr>
      <w:r>
        <w:rPr>
          <w:rFonts w:hint="eastAsia"/>
          <w:b/>
          <w:bCs/>
          <w:kern w:val="2"/>
          <w:szCs w:val="32"/>
        </w:rPr>
        <w:t>交通基础设施外联内畅。</w:t>
      </w:r>
      <w:r>
        <w:rPr>
          <w:rFonts w:hint="eastAsia" w:cs="方正仿宋_GBK"/>
          <w:kern w:val="2"/>
          <w:szCs w:val="32"/>
        </w:rPr>
        <w:t>渝川陕毗邻区县综合交通枢纽加快建设，西渝高铁城口段进入主体工程施工，G69银百高速县城至北屏通车、大巴山隧道加快推进</w:t>
      </w:r>
      <w:r>
        <w:rPr>
          <w:kern w:val="2"/>
          <w:szCs w:val="32"/>
        </w:rPr>
        <w:t>。</w:t>
      </w:r>
      <w:r>
        <w:rPr>
          <w:rFonts w:hint="eastAsia"/>
          <w:szCs w:val="32"/>
        </w:rPr>
        <w:t>城宣大邻高速启动工可编制，推进城万、城巫高速及支线机场前期工作。</w:t>
      </w:r>
      <w:r>
        <w:rPr>
          <w:rFonts w:hint="eastAsia" w:cs="方正仿宋_GBK"/>
          <w:kern w:val="2"/>
          <w:szCs w:val="32"/>
        </w:rPr>
        <w:t>加快推进“对外交通多联线”、</w:t>
      </w:r>
      <w:r>
        <w:rPr>
          <w:rFonts w:hint="eastAsia"/>
          <w:kern w:val="2"/>
          <w:szCs w:val="32"/>
        </w:rPr>
        <w:t>“</w:t>
      </w:r>
      <w:r>
        <w:rPr>
          <w:kern w:val="2"/>
          <w:szCs w:val="32"/>
        </w:rPr>
        <w:t>对内循环多联线</w:t>
      </w:r>
      <w:r>
        <w:rPr>
          <w:rFonts w:hint="eastAsia"/>
          <w:kern w:val="2"/>
          <w:szCs w:val="32"/>
        </w:rPr>
        <w:t>”</w:t>
      </w:r>
      <w:r>
        <w:rPr>
          <w:kern w:val="2"/>
          <w:szCs w:val="32"/>
        </w:rPr>
        <w:t>工程，</w:t>
      </w:r>
      <w:r>
        <w:rPr>
          <w:rFonts w:hint="eastAsia"/>
          <w:kern w:val="2"/>
          <w:szCs w:val="32"/>
        </w:rPr>
        <w:t>启动</w:t>
      </w:r>
      <w:r>
        <w:rPr>
          <w:rFonts w:hint="eastAsia"/>
          <w:szCs w:val="32"/>
        </w:rPr>
        <w:t>G651县城至高观原级改造工程前期工作，黄安坝旅游环线、咸宜返水坪至雪宝山公路、修治路升级改造工程完工</w:t>
      </w:r>
      <w:r>
        <w:rPr>
          <w:kern w:val="2"/>
          <w:szCs w:val="32"/>
        </w:rPr>
        <w:t>，</w:t>
      </w:r>
      <w:r>
        <w:rPr>
          <w:rFonts w:hint="eastAsia"/>
          <w:szCs w:val="32"/>
        </w:rPr>
        <w:t>新改建“四好农村公路”123公里</w:t>
      </w:r>
      <w:r>
        <w:rPr>
          <w:rFonts w:hint="eastAsia"/>
          <w:kern w:val="2"/>
          <w:szCs w:val="32"/>
        </w:rPr>
        <w:t>，</w:t>
      </w:r>
      <w:r>
        <w:rPr>
          <w:rFonts w:hint="eastAsia"/>
          <w:szCs w:val="32"/>
        </w:rPr>
        <w:t>实施农村公路生命防护工程185公里，国省道二三级及以上比例达78%</w:t>
      </w:r>
      <w:r>
        <w:rPr>
          <w:rFonts w:hint="eastAsia"/>
          <w:kern w:val="2"/>
          <w:szCs w:val="32"/>
        </w:rPr>
        <w:t>。</w:t>
      </w:r>
    </w:p>
    <w:p w14:paraId="7E31026F">
      <w:pPr>
        <w:overflowPunct w:val="0"/>
        <w:spacing w:line="579" w:lineRule="exact"/>
        <w:ind w:firstLine="643" w:firstLineChars="200"/>
        <w:rPr>
          <w:szCs w:val="32"/>
          <w:shd w:val="clear" w:color="auto" w:fill="FFFFFF"/>
        </w:rPr>
      </w:pPr>
      <w:r>
        <w:rPr>
          <w:rFonts w:hint="eastAsia"/>
          <w:b/>
          <w:bCs/>
          <w:kern w:val="2"/>
          <w:szCs w:val="32"/>
        </w:rPr>
        <w:t>水利、能源等基础设施提质增效。</w:t>
      </w:r>
      <w:r>
        <w:rPr>
          <w:rFonts w:hint="eastAsia"/>
          <w:szCs w:val="32"/>
        </w:rPr>
        <w:t>有序推进光伏、风电开发，中广核8万千瓦光伏项目并网发电，5万千瓦风电项目主体完工，</w:t>
      </w:r>
      <w:r>
        <w:rPr>
          <w:rFonts w:hint="eastAsia"/>
          <w:kern w:val="2"/>
          <w:szCs w:val="32"/>
        </w:rPr>
        <w:t>咸宜光伏二期110千伏电力输出工程完工，开工中广核旗杆山10万千瓦风电项目建设，清洁能源年发电量达到11亿度</w:t>
      </w:r>
      <w:r>
        <w:rPr>
          <w:rFonts w:hint="eastAsia"/>
          <w:szCs w:val="32"/>
        </w:rPr>
        <w:t>。</w:t>
      </w:r>
      <w:r>
        <w:rPr>
          <w:rFonts w:hint="eastAsia"/>
          <w:kern w:val="2"/>
          <w:szCs w:val="32"/>
        </w:rPr>
        <w:t>稳步推进电网改造，</w:t>
      </w:r>
      <w:r>
        <w:rPr>
          <w:szCs w:val="32"/>
        </w:rPr>
        <w:t>重庆首个</w:t>
      </w:r>
      <w:r>
        <w:rPr>
          <w:rFonts w:hint="eastAsia"/>
          <w:szCs w:val="32"/>
        </w:rPr>
        <w:t>“</w:t>
      </w:r>
      <w:r>
        <w:rPr>
          <w:szCs w:val="32"/>
        </w:rPr>
        <w:t>高速公路+光伏</w:t>
      </w:r>
      <w:r>
        <w:rPr>
          <w:rFonts w:hint="eastAsia"/>
          <w:szCs w:val="32"/>
        </w:rPr>
        <w:t>”</w:t>
      </w:r>
      <w:r>
        <w:rPr>
          <w:szCs w:val="32"/>
        </w:rPr>
        <w:t>电站项目全线并网</w:t>
      </w:r>
      <w:r>
        <w:rPr>
          <w:rFonts w:hint="eastAsia"/>
          <w:snapToGrid w:val="0"/>
          <w:szCs w:val="32"/>
        </w:rPr>
        <w:t>。</w:t>
      </w:r>
      <w:r>
        <w:rPr>
          <w:rFonts w:hint="eastAsia"/>
          <w:kern w:val="2"/>
          <w:szCs w:val="32"/>
        </w:rPr>
        <w:t>完善天然气管网建设，</w:t>
      </w:r>
      <w:r>
        <w:rPr>
          <w:rFonts w:hint="eastAsia"/>
          <w:szCs w:val="32"/>
        </w:rPr>
        <w:t>新铺设燃气管道50公里。</w:t>
      </w:r>
      <w:r>
        <w:rPr>
          <w:rFonts w:hint="eastAsia"/>
          <w:kern w:val="2"/>
          <w:szCs w:val="32"/>
        </w:rPr>
        <w:t>提速水利设施建设，</w:t>
      </w:r>
      <w:r>
        <w:rPr>
          <w:rFonts w:hint="eastAsia"/>
          <w:szCs w:val="32"/>
        </w:rPr>
        <w:t>实施任河</w:t>
      </w:r>
      <w:r>
        <w:rPr>
          <w:rFonts w:hint="eastAsia"/>
          <w:szCs w:val="32"/>
          <w:shd w:val="clear" w:color="auto" w:fill="FFFFFF"/>
        </w:rPr>
        <w:t>幸福河湖建设，</w:t>
      </w:r>
      <w:r>
        <w:rPr>
          <w:rFonts w:hint="eastAsia"/>
          <w:szCs w:val="32"/>
        </w:rPr>
        <w:t>加快推进丰收水库前期工作</w:t>
      </w:r>
      <w:r>
        <w:rPr>
          <w:rFonts w:hint="eastAsia"/>
          <w:kern w:val="2"/>
          <w:szCs w:val="32"/>
        </w:rPr>
        <w:t>。</w:t>
      </w:r>
      <w:r>
        <w:rPr>
          <w:szCs w:val="32"/>
          <w:lang w:val="zh-TW"/>
        </w:rPr>
        <w:t>深化农村供水保障提升，</w:t>
      </w:r>
      <w:r>
        <w:rPr>
          <w:rFonts w:hint="eastAsia"/>
          <w:szCs w:val="32"/>
        </w:rPr>
        <w:t>改建城乡供水工程9个，新实施农村集中供水提升工程惠及3.1万人，</w:t>
      </w:r>
      <w:r>
        <w:rPr>
          <w:szCs w:val="32"/>
          <w:lang w:val="zh-TW"/>
        </w:rPr>
        <w:t>农村集中供水率达8</w:t>
      </w:r>
      <w:r>
        <w:rPr>
          <w:szCs w:val="32"/>
        </w:rPr>
        <w:t>4</w:t>
      </w:r>
      <w:r>
        <w:rPr>
          <w:szCs w:val="32"/>
          <w:lang w:val="zh-TW"/>
        </w:rPr>
        <w:t>%</w:t>
      </w:r>
      <w:r>
        <w:rPr>
          <w:rFonts w:hint="eastAsia"/>
          <w:szCs w:val="32"/>
          <w:shd w:val="clear" w:color="auto" w:fill="FFFFFF"/>
        </w:rPr>
        <w:t>。</w:t>
      </w:r>
    </w:p>
    <w:p w14:paraId="62919A99">
      <w:pPr>
        <w:overflowPunct w:val="0"/>
        <w:spacing w:line="579" w:lineRule="exact"/>
        <w:ind w:firstLine="643" w:firstLineChars="200"/>
        <w:rPr>
          <w:szCs w:val="32"/>
        </w:rPr>
      </w:pPr>
      <w:r>
        <w:rPr>
          <w:rFonts w:hint="eastAsia"/>
          <w:b/>
          <w:bCs/>
          <w:kern w:val="2"/>
          <w:szCs w:val="32"/>
        </w:rPr>
        <w:t>新型基础设施提速增量。</w:t>
      </w:r>
      <w:r>
        <w:rPr>
          <w:rFonts w:hint="eastAsia"/>
          <w:kern w:val="2"/>
          <w:szCs w:val="32"/>
        </w:rPr>
        <w:t>夯实数字基础设施，加大</w:t>
      </w:r>
      <w:r>
        <w:rPr>
          <w:kern w:val="2"/>
          <w:szCs w:val="32"/>
        </w:rPr>
        <w:t>5G</w:t>
      </w:r>
      <w:r>
        <w:rPr>
          <w:rFonts w:hint="eastAsia"/>
          <w:kern w:val="2"/>
          <w:szCs w:val="32"/>
        </w:rPr>
        <w:t>规模组网力度，</w:t>
      </w:r>
      <w:r>
        <w:rPr>
          <w:rStyle w:val="24"/>
          <w:rFonts w:ascii="Times New Roman" w:hAnsi="Times New Roman"/>
          <w:sz w:val="32"/>
        </w:rPr>
        <w:t>新建5G基站16</w:t>
      </w:r>
      <w:r>
        <w:rPr>
          <w:rStyle w:val="24"/>
          <w:rFonts w:hint="eastAsia" w:ascii="Times New Roman" w:hAnsi="Times New Roman"/>
          <w:sz w:val="32"/>
        </w:rPr>
        <w:t>5</w:t>
      </w:r>
      <w:r>
        <w:rPr>
          <w:rStyle w:val="24"/>
          <w:rFonts w:ascii="Times New Roman" w:hAnsi="Times New Roman"/>
          <w:sz w:val="32"/>
        </w:rPr>
        <w:t>个</w:t>
      </w:r>
      <w:r>
        <w:rPr>
          <w:rStyle w:val="24"/>
          <w:rFonts w:hint="eastAsia" w:ascii="Times New Roman" w:hAnsi="Times New Roman"/>
          <w:sz w:val="32"/>
        </w:rPr>
        <w:t>、</w:t>
      </w:r>
      <w:r>
        <w:rPr>
          <w:szCs w:val="32"/>
        </w:rPr>
        <w:t>光纤网络450皮长公里</w:t>
      </w:r>
      <w:r>
        <w:rPr>
          <w:rFonts w:hint="eastAsia"/>
          <w:szCs w:val="32"/>
        </w:rPr>
        <w:t>，城区规划区域内及乡镇场镇、重点景区5G信号全覆盖</w:t>
      </w:r>
      <w:r>
        <w:rPr>
          <w:rStyle w:val="24"/>
          <w:rFonts w:hint="eastAsia" w:ascii="Times New Roman" w:hAnsi="Times New Roman"/>
          <w:sz w:val="32"/>
        </w:rPr>
        <w:t>。</w:t>
      </w:r>
      <w:r>
        <w:rPr>
          <w:rFonts w:hint="eastAsia" w:cs="方正楷体_GBK"/>
          <w:szCs w:val="32"/>
          <w:lang w:val="zh-CN"/>
        </w:rPr>
        <w:t>完成基于CIM的城市运行管理服务平台搭建，实现城市执法、园林绿化、市容环卫等多场景资源整合，城市智慧化管理格局基本形成，数字化城市管理中心立案率和结案率均达到99%以上。</w:t>
      </w:r>
      <w:r>
        <w:rPr>
          <w:szCs w:val="32"/>
        </w:rPr>
        <w:t>推进</w:t>
      </w:r>
      <w:r>
        <w:rPr>
          <w:rFonts w:hint="eastAsia"/>
          <w:szCs w:val="32"/>
        </w:rPr>
        <w:t>“</w:t>
      </w:r>
      <w:r>
        <w:rPr>
          <w:szCs w:val="32"/>
        </w:rPr>
        <w:t>数字乡村</w:t>
      </w:r>
      <w:r>
        <w:rPr>
          <w:rFonts w:hint="eastAsia"/>
          <w:szCs w:val="32"/>
        </w:rPr>
        <w:t>”</w:t>
      </w:r>
      <w:r>
        <w:rPr>
          <w:szCs w:val="32"/>
        </w:rPr>
        <w:t>建设</w:t>
      </w:r>
      <w:r>
        <w:rPr>
          <w:rFonts w:hint="eastAsia"/>
          <w:szCs w:val="32"/>
        </w:rPr>
        <w:t>，</w:t>
      </w:r>
      <w:r>
        <w:rPr>
          <w:szCs w:val="32"/>
          <w:lang w:val="zh-TW"/>
        </w:rPr>
        <w:t>大力完善农村电力基础设施，农村电网供电可靠率达99.8%</w:t>
      </w:r>
      <w:r>
        <w:rPr>
          <w:rFonts w:hint="eastAsia"/>
          <w:szCs w:val="32"/>
        </w:rPr>
        <w:t>。</w:t>
      </w:r>
      <w:r>
        <w:rPr>
          <w:rFonts w:hint="eastAsia"/>
          <w:kern w:val="2"/>
          <w:szCs w:val="32"/>
        </w:rPr>
        <w:t>加快实施</w:t>
      </w:r>
      <w:r>
        <w:rPr>
          <w:kern w:val="2"/>
          <w:szCs w:val="32"/>
        </w:rPr>
        <w:t>5G</w:t>
      </w:r>
      <w:r>
        <w:rPr>
          <w:rFonts w:hint="eastAsia"/>
          <w:kern w:val="2"/>
          <w:szCs w:val="32"/>
        </w:rPr>
        <w:t>融合创新运用项目，拓展智慧政务、智慧旅游、智慧河长等场景应用，打造典型应用场景5个以上。</w:t>
      </w:r>
    </w:p>
    <w:p w14:paraId="4C43CF61">
      <w:pPr>
        <w:overflowPunct w:val="0"/>
        <w:spacing w:line="579" w:lineRule="exact"/>
        <w:ind w:firstLine="640" w:firstLineChars="200"/>
        <w:rPr>
          <w:b/>
          <w:bCs/>
          <w:szCs w:val="32"/>
        </w:rPr>
      </w:pPr>
      <w:r>
        <w:rPr>
          <w:rFonts w:hint="eastAsia" w:eastAsia="方正楷体_GBK" w:cs="方正楷体_GBK"/>
          <w:szCs w:val="32"/>
        </w:rPr>
        <w:t>（四）加快构建现代化产业体系，持续推动产业优化升级</w:t>
      </w:r>
    </w:p>
    <w:p w14:paraId="5A314A81">
      <w:pPr>
        <w:overflowPunct w:val="0"/>
        <w:spacing w:line="579" w:lineRule="exact"/>
        <w:ind w:firstLine="643" w:firstLineChars="200"/>
        <w:rPr>
          <w:b/>
          <w:bCs/>
          <w:szCs w:val="32"/>
        </w:rPr>
      </w:pPr>
      <w:r>
        <w:rPr>
          <w:rFonts w:hint="eastAsia"/>
          <w:b/>
          <w:bCs/>
          <w:kern w:val="2"/>
          <w:szCs w:val="32"/>
        </w:rPr>
        <w:t>农业产业提档升级。</w:t>
      </w:r>
      <w:r>
        <w:rPr>
          <w:rFonts w:hint="eastAsia"/>
          <w:snapToGrid w:val="0"/>
          <w:szCs w:val="32"/>
        </w:rPr>
        <w:t>紧盯“米袋子”</w:t>
      </w:r>
      <w:r>
        <w:rPr>
          <w:rFonts w:hint="eastAsia" w:cs="方正仿宋_GBK"/>
          <w:sz w:val="31"/>
          <w:szCs w:val="31"/>
        </w:rPr>
        <w:t>“</w:t>
      </w:r>
      <w:r>
        <w:rPr>
          <w:rFonts w:cs="方正仿宋_GBK"/>
          <w:sz w:val="31"/>
          <w:szCs w:val="31"/>
        </w:rPr>
        <w:t>菜篮子</w:t>
      </w:r>
      <w:r>
        <w:rPr>
          <w:rFonts w:hint="eastAsia" w:cs="方正仿宋_GBK"/>
          <w:sz w:val="31"/>
          <w:szCs w:val="31"/>
        </w:rPr>
        <w:t>”</w:t>
      </w:r>
      <w:r>
        <w:rPr>
          <w:rFonts w:hint="eastAsia"/>
          <w:snapToGrid w:val="0"/>
          <w:szCs w:val="32"/>
        </w:rPr>
        <w:t>，</w:t>
      </w:r>
      <w:r>
        <w:rPr>
          <w:rFonts w:hint="eastAsia" w:cs="方正仿宋_GBK"/>
          <w:sz w:val="31"/>
          <w:szCs w:val="31"/>
        </w:rPr>
        <w:t>守住耕地保有</w:t>
      </w:r>
      <w:r>
        <w:rPr>
          <w:sz w:val="31"/>
          <w:szCs w:val="31"/>
        </w:rPr>
        <w:t>量18.</w:t>
      </w:r>
      <w:r>
        <w:rPr>
          <w:rFonts w:hint="eastAsia"/>
          <w:sz w:val="31"/>
          <w:szCs w:val="31"/>
        </w:rPr>
        <w:t>3</w:t>
      </w:r>
      <w:r>
        <w:rPr>
          <w:sz w:val="31"/>
          <w:szCs w:val="31"/>
        </w:rPr>
        <w:t>万亩和永久基本农田保护面积6.3万亩保护红线，</w:t>
      </w:r>
      <w:r>
        <w:rPr>
          <w:rFonts w:hint="eastAsia"/>
          <w:sz w:val="31"/>
          <w:szCs w:val="31"/>
          <w:lang w:val="zh-TW"/>
        </w:rPr>
        <w:t>新改建</w:t>
      </w:r>
      <w:r>
        <w:rPr>
          <w:snapToGrid w:val="0"/>
          <w:szCs w:val="32"/>
        </w:rPr>
        <w:t>高标准农田</w:t>
      </w:r>
      <w:r>
        <w:rPr>
          <w:rFonts w:hint="eastAsia"/>
          <w:snapToGrid w:val="0"/>
          <w:szCs w:val="32"/>
        </w:rPr>
        <w:t>5000</w:t>
      </w:r>
      <w:r>
        <w:rPr>
          <w:snapToGrid w:val="0"/>
          <w:szCs w:val="32"/>
        </w:rPr>
        <w:t>亩</w:t>
      </w:r>
      <w:r>
        <w:rPr>
          <w:rFonts w:hint="eastAsia"/>
          <w:snapToGrid w:val="0"/>
          <w:szCs w:val="32"/>
        </w:rPr>
        <w:t>，粮食播种面积38.5万亩、产量9.26万吨。</w:t>
      </w:r>
      <w:r>
        <w:rPr>
          <w:rFonts w:hint="eastAsia"/>
          <w:szCs w:val="32"/>
        </w:rPr>
        <w:t>深化城口老腊肉“再出发”，城口老腊肉“五大体系”建设取得新突破，</w:t>
      </w:r>
      <w:r>
        <w:rPr>
          <w:rFonts w:hint="eastAsia"/>
          <w:snapToGrid w:val="0"/>
          <w:szCs w:val="32"/>
          <w:lang w:val="zh-CN"/>
        </w:rPr>
        <w:t>老腊肉</w:t>
      </w:r>
      <w:r>
        <w:rPr>
          <w:rFonts w:hint="eastAsia"/>
          <w:snapToGrid w:val="0"/>
          <w:szCs w:val="32"/>
        </w:rPr>
        <w:t>年</w:t>
      </w:r>
      <w:r>
        <w:rPr>
          <w:rFonts w:hint="eastAsia"/>
          <w:snapToGrid w:val="0"/>
          <w:szCs w:val="32"/>
          <w:lang w:val="zh-CN"/>
        </w:rPr>
        <w:t>产量</w:t>
      </w:r>
      <w:r>
        <w:rPr>
          <w:rFonts w:hint="eastAsia"/>
          <w:snapToGrid w:val="0"/>
          <w:szCs w:val="32"/>
        </w:rPr>
        <w:t>突破1</w:t>
      </w:r>
      <w:r>
        <w:rPr>
          <w:rFonts w:hint="eastAsia"/>
          <w:snapToGrid w:val="0"/>
          <w:szCs w:val="32"/>
          <w:lang w:val="zh-CN"/>
        </w:rPr>
        <w:t>万吨</w:t>
      </w:r>
      <w:r>
        <w:rPr>
          <w:rFonts w:hint="eastAsia"/>
          <w:szCs w:val="32"/>
        </w:rPr>
        <w:t>，赵孝春老腊肉获批“中华老字号”</w:t>
      </w:r>
      <w:r>
        <w:rPr>
          <w:rFonts w:hint="eastAsia"/>
          <w:snapToGrid w:val="0"/>
          <w:szCs w:val="32"/>
        </w:rPr>
        <w:t>；中药材大品种、标准化、规模化发展，</w:t>
      </w:r>
      <w:r>
        <w:rPr>
          <w:rFonts w:hint="eastAsia"/>
          <w:szCs w:val="32"/>
        </w:rPr>
        <w:t>建设中药材GAP基地2个、</w:t>
      </w:r>
      <w:r>
        <w:rPr>
          <w:rFonts w:hint="eastAsia"/>
          <w:snapToGrid w:val="0"/>
          <w:szCs w:val="32"/>
        </w:rPr>
        <w:t>新增中药材种植面积4.8万亩。</w:t>
      </w:r>
      <w:r>
        <w:rPr>
          <w:rFonts w:cs="方正仿宋_GBK"/>
          <w:sz w:val="31"/>
          <w:szCs w:val="31"/>
        </w:rPr>
        <w:t>推动乡村产业全链条</w:t>
      </w:r>
      <w:r>
        <w:rPr>
          <w:rFonts w:hint="eastAsia" w:cs="方正仿宋_GBK"/>
          <w:sz w:val="31"/>
          <w:szCs w:val="31"/>
        </w:rPr>
        <w:t>发展，</w:t>
      </w:r>
      <w:r>
        <w:rPr>
          <w:rFonts w:hint="eastAsia"/>
          <w:szCs w:val="32"/>
        </w:rPr>
        <w:t>建设百万元以上乡村产业项目45个，</w:t>
      </w:r>
      <w:r>
        <w:rPr>
          <w:rFonts w:hint="eastAsia"/>
          <w:snapToGrid w:val="0"/>
          <w:szCs w:val="32"/>
        </w:rPr>
        <w:t>建立示范基地46个，培育“两品一标一名牌”达60个，授权使用“大巴山硒谷”商标企业达20家，105家企业产品进入国家农产品质量安全追溯管理信息平台。</w:t>
      </w:r>
    </w:p>
    <w:p w14:paraId="35C8615B">
      <w:pPr>
        <w:overflowPunct w:val="0"/>
        <w:spacing w:line="579" w:lineRule="exact"/>
        <w:ind w:firstLine="643" w:firstLineChars="200"/>
        <w:rPr>
          <w:b/>
          <w:bCs/>
          <w:szCs w:val="32"/>
        </w:rPr>
      </w:pPr>
      <w:r>
        <w:rPr>
          <w:rFonts w:hint="eastAsia"/>
          <w:b/>
          <w:bCs/>
          <w:kern w:val="2"/>
          <w:szCs w:val="32"/>
        </w:rPr>
        <w:t>工业经济起势突破。</w:t>
      </w:r>
      <w:r>
        <w:rPr>
          <w:rFonts w:cs="方正仿宋_GBK"/>
          <w:sz w:val="31"/>
          <w:szCs w:val="31"/>
        </w:rPr>
        <w:t>召开制造业高质量发</w:t>
      </w:r>
      <w:r>
        <w:rPr>
          <w:rFonts w:hint="eastAsia" w:cs="方正仿宋_GBK"/>
          <w:sz w:val="31"/>
          <w:szCs w:val="31"/>
        </w:rPr>
        <w:t>展大会，</w:t>
      </w:r>
      <w:r>
        <w:rPr>
          <w:rFonts w:hint="eastAsia"/>
          <w:kern w:val="2"/>
          <w:szCs w:val="32"/>
          <w:lang w:val="zh-CN"/>
        </w:rPr>
        <w:t>构建“1+3+N”</w:t>
      </w:r>
      <w:r>
        <w:rPr>
          <w:rFonts w:hint="eastAsia"/>
          <w:szCs w:val="32"/>
        </w:rPr>
        <w:t>制造业高质量发展体系</w:t>
      </w:r>
      <w:r>
        <w:rPr>
          <w:rFonts w:hint="eastAsia"/>
          <w:kern w:val="2"/>
          <w:szCs w:val="32"/>
          <w:lang w:val="zh-CN"/>
        </w:rPr>
        <w:t>，农副食品中小企业集聚区基础设施建设（一期）、中小企业生态家园（一期）等项目开工，中央厨房及预制菜配套产业项目（一期）建成，昭德堂中药饮片加工项目投产，</w:t>
      </w:r>
      <w:r>
        <w:rPr>
          <w:rFonts w:hint="eastAsia"/>
          <w:szCs w:val="32"/>
        </w:rPr>
        <w:t>汇达核桃新品上市，</w:t>
      </w:r>
      <w:r>
        <w:rPr>
          <w:rFonts w:hint="eastAsia"/>
          <w:kern w:val="2"/>
          <w:szCs w:val="32"/>
        </w:rPr>
        <w:t>实现规上工业增加值增长15.1%，其中规上制造业产值增长12.2%</w:t>
      </w:r>
      <w:r>
        <w:rPr>
          <w:rFonts w:hint="eastAsia" w:cs="方正仿宋_GBK"/>
          <w:sz w:val="31"/>
          <w:szCs w:val="31"/>
        </w:rPr>
        <w:t>。</w:t>
      </w:r>
      <w:r>
        <w:rPr>
          <w:rFonts w:hint="eastAsia"/>
          <w:szCs w:val="32"/>
        </w:rPr>
        <w:t>实施“亩均论英雄”改革，工业园区进驻企业总数达55家，其中规上工业企业13家、营收亿元级工业企业5家。推动企业“上云用数赋智”和数字化转型</w:t>
      </w:r>
      <w:r>
        <w:rPr>
          <w:rFonts w:hint="eastAsia"/>
          <w:szCs w:val="32"/>
          <w:lang w:val="zh-CN"/>
        </w:rPr>
        <w:t>，实施智能化改造项目</w:t>
      </w:r>
      <w:r>
        <w:rPr>
          <w:rFonts w:hint="eastAsia"/>
          <w:szCs w:val="32"/>
        </w:rPr>
        <w:t>9</w:t>
      </w:r>
      <w:r>
        <w:rPr>
          <w:rFonts w:hint="eastAsia"/>
          <w:szCs w:val="32"/>
          <w:lang w:val="zh-CN"/>
        </w:rPr>
        <w:t>个</w:t>
      </w:r>
      <w:r>
        <w:rPr>
          <w:kern w:val="2"/>
          <w:szCs w:val="32"/>
          <w:lang w:val="zh-CN"/>
        </w:rPr>
        <w:t>，企业规模和质量同步提升。</w:t>
      </w:r>
      <w:r>
        <w:rPr>
          <w:rFonts w:hint="eastAsia" w:cs="方正仿宋_GBK"/>
          <w:sz w:val="31"/>
          <w:szCs w:val="31"/>
        </w:rPr>
        <w:t>印发《质量强县建设实施方案》，</w:t>
      </w:r>
      <w:r>
        <w:rPr>
          <w:rFonts w:cs="方正仿宋_GBK"/>
          <w:sz w:val="31"/>
          <w:szCs w:val="31"/>
        </w:rPr>
        <w:t>大力推进</w:t>
      </w:r>
      <w:r>
        <w:rPr>
          <w:rFonts w:hint="eastAsia" w:cs="方正仿宋_GBK"/>
          <w:sz w:val="31"/>
          <w:szCs w:val="31"/>
        </w:rPr>
        <w:t>“</w:t>
      </w:r>
      <w:r>
        <w:rPr>
          <w:rFonts w:cs="方正仿宋_GBK"/>
          <w:sz w:val="31"/>
          <w:szCs w:val="31"/>
        </w:rPr>
        <w:t>质量</w:t>
      </w:r>
      <w:r>
        <w:rPr>
          <w:rFonts w:hint="eastAsia" w:cs="方正仿宋_GBK"/>
          <w:sz w:val="31"/>
          <w:szCs w:val="31"/>
        </w:rPr>
        <w:t>强县”，城口质量总体水平等指标连</w:t>
      </w:r>
      <w:r>
        <w:rPr>
          <w:sz w:val="31"/>
          <w:szCs w:val="31"/>
        </w:rPr>
        <w:t>续</w:t>
      </w:r>
      <w:r>
        <w:rPr>
          <w:rFonts w:hint="eastAsia"/>
          <w:sz w:val="31"/>
          <w:szCs w:val="31"/>
        </w:rPr>
        <w:t>两</w:t>
      </w:r>
      <w:r>
        <w:rPr>
          <w:rFonts w:hint="eastAsia" w:cs="方正仿宋_GBK"/>
          <w:sz w:val="31"/>
          <w:szCs w:val="31"/>
        </w:rPr>
        <w:t>年保持全市第</w:t>
      </w:r>
      <w:r>
        <w:rPr>
          <w:rFonts w:hint="eastAsia"/>
          <w:szCs w:val="32"/>
        </w:rPr>
        <w:t>1。</w:t>
      </w:r>
    </w:p>
    <w:p w14:paraId="18D90DFD">
      <w:pPr>
        <w:overflowPunct w:val="0"/>
        <w:spacing w:line="300" w:lineRule="exact"/>
        <w:jc w:val="center"/>
        <w:rPr>
          <w:rFonts w:eastAsia="方正黑体_GBK" w:cs="方正黑体_GBK"/>
          <w:sz w:val="22"/>
          <w:szCs w:val="22"/>
        </w:rPr>
      </w:pPr>
      <w:r>
        <w:drawing>
          <wp:anchor distT="0" distB="0" distL="114300" distR="114300" simplePos="0" relativeHeight="251662336" behindDoc="0" locked="0" layoutInCell="1" allowOverlap="1">
            <wp:simplePos x="0" y="0"/>
            <wp:positionH relativeFrom="column">
              <wp:posOffset>481330</wp:posOffset>
            </wp:positionH>
            <wp:positionV relativeFrom="paragraph">
              <wp:posOffset>19685</wp:posOffset>
            </wp:positionV>
            <wp:extent cx="4572000" cy="2743200"/>
            <wp:effectExtent l="4445" t="4445" r="1460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eastAsia="方正黑体_GBK" w:cs="方正黑体_GBK"/>
          <w:sz w:val="22"/>
          <w:szCs w:val="22"/>
        </w:rPr>
        <w:t>图3：2023年城口县与全市规上工业增加值每月累计增速走势</w:t>
      </w:r>
    </w:p>
    <w:p w14:paraId="35F2633D">
      <w:pPr>
        <w:overflowPunct w:val="0"/>
        <w:spacing w:line="579" w:lineRule="exact"/>
        <w:ind w:firstLine="643" w:firstLineChars="200"/>
        <w:rPr>
          <w:b/>
          <w:bCs/>
          <w:szCs w:val="32"/>
        </w:rPr>
      </w:pPr>
      <w:r>
        <w:rPr>
          <w:rFonts w:hint="eastAsia"/>
          <w:b/>
          <w:bCs/>
          <w:kern w:val="2"/>
          <w:szCs w:val="32"/>
        </w:rPr>
        <w:t>文旅产业全域推进。</w:t>
      </w:r>
      <w:r>
        <w:rPr>
          <w:rFonts w:hint="eastAsia"/>
          <w:szCs w:val="32"/>
        </w:rPr>
        <w:t>着力打造景区景点，中国·亢谷旅游度假区正式运营，亢谷商街、亢家寨、玻璃廊桥投用，11公里亢谷健身步道建成。</w:t>
      </w:r>
      <w:r>
        <w:rPr>
          <w:rFonts w:hint="eastAsia"/>
          <w:szCs w:val="32"/>
          <w:shd w:val="clear" w:color="auto" w:fill="FFFFFF"/>
        </w:rPr>
        <w:t>新创建</w:t>
      </w:r>
      <w:r>
        <w:rPr>
          <w:rFonts w:hint="eastAsia"/>
          <w:szCs w:val="32"/>
        </w:rPr>
        <w:t>3A级景区1个、</w:t>
      </w:r>
      <w:r>
        <w:rPr>
          <w:rFonts w:hint="eastAsia"/>
          <w:szCs w:val="32"/>
          <w:shd w:val="clear" w:color="auto" w:fill="FFFFFF"/>
        </w:rPr>
        <w:t>A级景区村庄20个、</w:t>
      </w:r>
      <w:r>
        <w:rPr>
          <w:rFonts w:hint="eastAsia"/>
          <w:szCs w:val="32"/>
        </w:rPr>
        <w:t>市级乡村旅游重点村2个</w:t>
      </w:r>
      <w:r>
        <w:rPr>
          <w:rFonts w:hint="eastAsia"/>
          <w:szCs w:val="32"/>
          <w:shd w:val="clear" w:color="auto" w:fill="FFFFFF"/>
        </w:rPr>
        <w:t>。</w:t>
      </w:r>
      <w:r>
        <w:rPr>
          <w:rFonts w:hint="eastAsia"/>
          <w:szCs w:val="32"/>
        </w:rPr>
        <w:t>精心谋划重大活动，举办消夏康养季、红军挥师城口90周年纪念、自行车爬坡赛等活动（赛事）64场次。成立</w:t>
      </w:r>
      <w:r>
        <w:rPr>
          <w:szCs w:val="32"/>
        </w:rPr>
        <w:t>市文化旅游研究院大巴山分院</w:t>
      </w:r>
      <w:r>
        <w:rPr>
          <w:rFonts w:hint="eastAsia"/>
          <w:szCs w:val="32"/>
        </w:rPr>
        <w:t>，推出4条乡村旅游精品线路、2条川陕革命老区红色文旅走廊发展联盟经典红色旅游线路，全年接待游客570万人次、其中过夜游客270万人次，实现旅游综合收入11.8亿元，城口东安镇“巴山原乡的农旅融合之路”入选2023世界旅游联盟——旅游助力乡村振兴案例。繁荣发展文化事业，完成城口苏维埃纪念公园改造、</w:t>
      </w:r>
      <w:r>
        <w:rPr>
          <w:szCs w:val="32"/>
          <w:shd w:val="clear" w:color="auto" w:fill="FFFFFF"/>
        </w:rPr>
        <w:t>红三十三军297团政治处市级文物保护单位和3个县级文物保护单位</w:t>
      </w:r>
      <w:r>
        <w:rPr>
          <w:rFonts w:cs="方正仿宋_GBK"/>
          <w:szCs w:val="32"/>
          <w:shd w:val="clear" w:color="auto" w:fill="FFFFFF"/>
        </w:rPr>
        <w:t>修缮保护</w:t>
      </w:r>
      <w:r>
        <w:rPr>
          <w:rFonts w:hint="eastAsia"/>
          <w:szCs w:val="32"/>
        </w:rPr>
        <w:t>，出版《老城口》文化遗产保护系列文化丛书。</w:t>
      </w:r>
    </w:p>
    <w:p w14:paraId="7741664B">
      <w:pPr>
        <w:overflowPunct w:val="0"/>
        <w:spacing w:line="579" w:lineRule="exact"/>
        <w:ind w:firstLine="643" w:firstLineChars="200"/>
        <w:rPr>
          <w:szCs w:val="32"/>
        </w:rPr>
      </w:pPr>
      <w:r>
        <w:rPr>
          <w:rFonts w:hint="eastAsia"/>
          <w:b/>
          <w:bCs/>
          <w:kern w:val="2"/>
          <w:szCs w:val="32"/>
        </w:rPr>
        <w:t>服务业多元发展。</w:t>
      </w:r>
      <w:r>
        <w:rPr>
          <w:rFonts w:hint="eastAsia"/>
          <w:kern w:val="2"/>
          <w:szCs w:val="32"/>
        </w:rPr>
        <w:t>持续推进国家电子商务进农村综合示范项目建设，</w:t>
      </w:r>
      <w:r>
        <w:rPr>
          <w:kern w:val="2"/>
          <w:szCs w:val="20"/>
        </w:rPr>
        <w:t>完</w:t>
      </w:r>
      <w:r>
        <w:rPr>
          <w:rFonts w:hint="eastAsia"/>
          <w:kern w:val="2"/>
          <w:szCs w:val="32"/>
        </w:rPr>
        <w:t>善县乡村三级物流配送体系，</w:t>
      </w:r>
      <w:r>
        <w:rPr>
          <w:szCs w:val="32"/>
        </w:rPr>
        <w:t>建成2个县级快递物流仓储分拨中心</w:t>
      </w:r>
      <w:r>
        <w:rPr>
          <w:rFonts w:hint="eastAsia"/>
          <w:kern w:val="2"/>
          <w:szCs w:val="32"/>
        </w:rPr>
        <w:t>，</w:t>
      </w:r>
      <w:r>
        <w:rPr>
          <w:szCs w:val="32"/>
        </w:rPr>
        <w:t>新增物流分拨生产线6条</w:t>
      </w:r>
      <w:r>
        <w:rPr>
          <w:rFonts w:hint="eastAsia"/>
          <w:szCs w:val="32"/>
        </w:rPr>
        <w:t>、</w:t>
      </w:r>
      <w:r>
        <w:rPr>
          <w:szCs w:val="32"/>
        </w:rPr>
        <w:t>投放城区快递智能柜10组</w:t>
      </w:r>
      <w:r>
        <w:rPr>
          <w:rFonts w:hint="eastAsia"/>
          <w:szCs w:val="32"/>
        </w:rPr>
        <w:t>，</w:t>
      </w:r>
      <w:r>
        <w:rPr>
          <w:szCs w:val="32"/>
        </w:rPr>
        <w:t>新建乡村电商物流分拨站点60个</w:t>
      </w:r>
      <w:r>
        <w:rPr>
          <w:rFonts w:hint="eastAsia"/>
          <w:szCs w:val="32"/>
        </w:rPr>
        <w:t>。新建电商直播站点20个，培育50万粉丝级主播1个，</w:t>
      </w:r>
      <w:r>
        <w:rPr>
          <w:kern w:val="2"/>
          <w:szCs w:val="32"/>
        </w:rPr>
        <w:t>电子商务网络零售额达</w:t>
      </w:r>
      <w:r>
        <w:rPr>
          <w:rFonts w:hint="eastAsia"/>
          <w:kern w:val="2"/>
          <w:szCs w:val="32"/>
        </w:rPr>
        <w:t>3.4</w:t>
      </w:r>
      <w:r>
        <w:rPr>
          <w:kern w:val="2"/>
          <w:szCs w:val="32"/>
        </w:rPr>
        <w:t>亿元</w:t>
      </w:r>
      <w:r>
        <w:rPr>
          <w:rFonts w:hint="eastAsia"/>
          <w:kern w:val="2"/>
          <w:szCs w:val="32"/>
        </w:rPr>
        <w:t>，增长10.3%。建成“</w:t>
      </w:r>
      <w:r>
        <w:rPr>
          <w:kern w:val="2"/>
          <w:szCs w:val="32"/>
        </w:rPr>
        <w:t>1+5+N</w:t>
      </w:r>
      <w:r>
        <w:rPr>
          <w:rFonts w:hint="eastAsia"/>
          <w:kern w:val="2"/>
          <w:szCs w:val="32"/>
        </w:rPr>
        <w:t>”金融服务港湾6个，绿色信贷余额、金融机构存贷款余额同比分别增长29</w:t>
      </w:r>
      <w:r>
        <w:rPr>
          <w:kern w:val="2"/>
          <w:szCs w:val="32"/>
        </w:rPr>
        <w:t>%</w:t>
      </w:r>
      <w:r>
        <w:rPr>
          <w:rFonts w:hint="eastAsia"/>
          <w:kern w:val="2"/>
          <w:szCs w:val="32"/>
        </w:rPr>
        <w:t>、11</w:t>
      </w:r>
      <w:r>
        <w:rPr>
          <w:kern w:val="2"/>
          <w:szCs w:val="32"/>
        </w:rPr>
        <w:t>%</w:t>
      </w:r>
      <w:r>
        <w:rPr>
          <w:rFonts w:hint="eastAsia"/>
          <w:kern w:val="2"/>
          <w:szCs w:val="32"/>
        </w:rPr>
        <w:t>。推进物业服务水平提升，培育物业企业17家。</w:t>
      </w:r>
      <w:r>
        <w:rPr>
          <w:rFonts w:hint="eastAsia"/>
          <w:szCs w:val="32"/>
        </w:rPr>
        <w:t>深化</w:t>
      </w:r>
      <w:r>
        <w:rPr>
          <w:szCs w:val="32"/>
        </w:rPr>
        <w:t>养老服务机构</w:t>
      </w:r>
      <w:r>
        <w:rPr>
          <w:rFonts w:hint="eastAsia"/>
          <w:szCs w:val="32"/>
        </w:rPr>
        <w:t>星级创建，投用县级养老服务中心和集中照护中心，新增养老床位211张，普惠性养老机构床位占比达80%。</w:t>
      </w:r>
    </w:p>
    <w:p w14:paraId="23571A6E">
      <w:pPr>
        <w:overflowPunct w:val="0"/>
        <w:spacing w:line="579" w:lineRule="exact"/>
        <w:ind w:firstLine="640" w:firstLineChars="200"/>
        <w:rPr>
          <w:b/>
          <w:bCs/>
          <w:szCs w:val="32"/>
        </w:rPr>
      </w:pPr>
      <w:r>
        <w:rPr>
          <w:rFonts w:hint="eastAsia" w:eastAsia="方正楷体_GBK" w:cs="方正楷体_GBK"/>
          <w:szCs w:val="32"/>
        </w:rPr>
        <w:t>（五）加强生态文明建设，持续推动长江经济带绿色发展</w:t>
      </w:r>
    </w:p>
    <w:p w14:paraId="14447312">
      <w:pPr>
        <w:overflowPunct w:val="0"/>
        <w:spacing w:line="579" w:lineRule="exact"/>
        <w:ind w:firstLine="643" w:firstLineChars="200"/>
        <w:rPr>
          <w:szCs w:val="32"/>
        </w:rPr>
      </w:pPr>
      <w:r>
        <w:rPr>
          <w:rFonts w:hint="eastAsia"/>
          <w:b/>
          <w:bCs/>
          <w:kern w:val="2"/>
          <w:szCs w:val="32"/>
        </w:rPr>
        <w:t>生态系统稳定修复。</w:t>
      </w:r>
      <w:r>
        <w:rPr>
          <w:szCs w:val="32"/>
        </w:rPr>
        <w:t>坚持山水林田湖草沙一体化保护和系统治理，深</w:t>
      </w:r>
      <w:r>
        <w:rPr>
          <w:rFonts w:hint="eastAsia"/>
          <w:szCs w:val="32"/>
        </w:rPr>
        <w:t>入</w:t>
      </w:r>
      <w:r>
        <w:rPr>
          <w:szCs w:val="32"/>
        </w:rPr>
        <w:t>落实</w:t>
      </w:r>
      <w:r>
        <w:rPr>
          <w:rFonts w:hint="eastAsia"/>
          <w:szCs w:val="32"/>
        </w:rPr>
        <w:t>“</w:t>
      </w:r>
      <w:r>
        <w:rPr>
          <w:szCs w:val="32"/>
        </w:rPr>
        <w:t>林长制</w:t>
      </w:r>
      <w:r>
        <w:rPr>
          <w:rFonts w:hint="eastAsia"/>
          <w:szCs w:val="32"/>
        </w:rPr>
        <w:t>”，</w:t>
      </w:r>
      <w:r>
        <w:rPr>
          <w:rFonts w:hint="eastAsia"/>
          <w:kern w:val="2"/>
          <w:szCs w:val="32"/>
        </w:rPr>
        <w:t>全面推行“两长三员”基层管护体系</w:t>
      </w:r>
      <w:r>
        <w:rPr>
          <w:rFonts w:hint="eastAsia"/>
          <w:szCs w:val="32"/>
        </w:rPr>
        <w:t>，累计巡林超3万人次。大力推动国土绿化行动，完成营造林12.8万亩，森林覆盖率达72.8%。</w:t>
      </w:r>
      <w:r>
        <w:rPr>
          <w:rFonts w:hint="eastAsia"/>
          <w:kern w:val="2"/>
          <w:szCs w:val="32"/>
        </w:rPr>
        <w:t>实施</w:t>
      </w:r>
      <w:r>
        <w:rPr>
          <w:kern w:val="2"/>
          <w:szCs w:val="32"/>
        </w:rPr>
        <w:t>岚溪河</w:t>
      </w:r>
      <w:r>
        <w:rPr>
          <w:rFonts w:hint="eastAsia"/>
          <w:kern w:val="2"/>
          <w:szCs w:val="32"/>
        </w:rPr>
        <w:t>小流域生态清洁和</w:t>
      </w:r>
      <w:r>
        <w:rPr>
          <w:kern w:val="2"/>
          <w:szCs w:val="32"/>
        </w:rPr>
        <w:t>鱼肚河小流域综合治理工程，治理水土流失面积</w:t>
      </w:r>
      <w:r>
        <w:rPr>
          <w:rFonts w:hint="eastAsia"/>
          <w:kern w:val="2"/>
          <w:szCs w:val="32"/>
        </w:rPr>
        <w:t>64平方公里。</w:t>
      </w:r>
      <w:r>
        <w:rPr>
          <w:szCs w:val="32"/>
        </w:rPr>
        <w:t>开展国土空间土地综合整治，强化重要水源地、人口密集场所周边地质灾害隐患点综合治理，实施地灾隐患搬迁</w:t>
      </w:r>
      <w:r>
        <w:rPr>
          <w:rFonts w:hint="eastAsia"/>
          <w:szCs w:val="32"/>
        </w:rPr>
        <w:t>避让736人</w:t>
      </w:r>
      <w:r>
        <w:rPr>
          <w:szCs w:val="32"/>
        </w:rPr>
        <w:t>。扎实开展矿山修复，完成矿山生态修复治理</w:t>
      </w:r>
      <w:r>
        <w:rPr>
          <w:rFonts w:hint="eastAsia"/>
          <w:szCs w:val="32"/>
        </w:rPr>
        <w:t>74.6</w:t>
      </w:r>
      <w:r>
        <w:rPr>
          <w:szCs w:val="32"/>
        </w:rPr>
        <w:t>公顷</w:t>
      </w:r>
      <w:r>
        <w:rPr>
          <w:rFonts w:hint="eastAsia"/>
          <w:szCs w:val="32"/>
        </w:rPr>
        <w:t>。</w:t>
      </w:r>
      <w:r>
        <w:rPr>
          <w:szCs w:val="32"/>
        </w:rPr>
        <w:t>强化生物多样性保护，严格落实长江流域</w:t>
      </w:r>
      <w:r>
        <w:rPr>
          <w:rFonts w:hint="eastAsia"/>
          <w:szCs w:val="32"/>
        </w:rPr>
        <w:t>“</w:t>
      </w:r>
      <w:r>
        <w:rPr>
          <w:szCs w:val="32"/>
        </w:rPr>
        <w:t>十年禁渔</w:t>
      </w:r>
      <w:r>
        <w:rPr>
          <w:rFonts w:hint="eastAsia"/>
          <w:szCs w:val="32"/>
        </w:rPr>
        <w:t>”，增殖放流鱼苗3.6万尾</w:t>
      </w:r>
      <w:r>
        <w:rPr>
          <w:szCs w:val="32"/>
        </w:rPr>
        <w:t>。深入实施</w:t>
      </w:r>
      <w:r>
        <w:rPr>
          <w:rFonts w:hint="eastAsia"/>
          <w:szCs w:val="32"/>
        </w:rPr>
        <w:t>“</w:t>
      </w:r>
      <w:r>
        <w:rPr>
          <w:szCs w:val="32"/>
        </w:rPr>
        <w:t>三线一单</w:t>
      </w:r>
      <w:r>
        <w:rPr>
          <w:rFonts w:hint="eastAsia"/>
          <w:szCs w:val="32"/>
        </w:rPr>
        <w:t>”</w:t>
      </w:r>
      <w:r>
        <w:rPr>
          <w:szCs w:val="32"/>
        </w:rPr>
        <w:t>生态环境分区管控，</w:t>
      </w:r>
      <w:r>
        <w:rPr>
          <w:szCs w:val="32"/>
          <w:lang w:val="zh-CN" w:bidi="zh-CN"/>
        </w:rPr>
        <w:t>抓实中央和</w:t>
      </w:r>
      <w:r>
        <w:rPr>
          <w:rFonts w:hint="eastAsia"/>
          <w:szCs w:val="32"/>
          <w:lang w:val="zh-CN" w:bidi="zh-CN"/>
        </w:rPr>
        <w:t>市级</w:t>
      </w:r>
      <w:r>
        <w:rPr>
          <w:szCs w:val="32"/>
          <w:lang w:val="zh-CN" w:bidi="zh-CN"/>
        </w:rPr>
        <w:t>环保督察问题整改，</w:t>
      </w:r>
      <w:r>
        <w:rPr>
          <w:szCs w:val="32"/>
        </w:rPr>
        <w:t>对破坏生态环境的行为</w:t>
      </w:r>
      <w:r>
        <w:rPr>
          <w:rFonts w:hint="eastAsia"/>
          <w:szCs w:val="32"/>
        </w:rPr>
        <w:t>“</w:t>
      </w:r>
      <w:r>
        <w:rPr>
          <w:szCs w:val="32"/>
        </w:rPr>
        <w:t>零容忍</w:t>
      </w:r>
      <w:r>
        <w:rPr>
          <w:rFonts w:hint="eastAsia"/>
          <w:szCs w:val="32"/>
        </w:rPr>
        <w:t>”</w:t>
      </w:r>
      <w:r>
        <w:rPr>
          <w:szCs w:val="32"/>
        </w:rPr>
        <w:t>。</w:t>
      </w:r>
    </w:p>
    <w:p w14:paraId="6E3CAF73">
      <w:pPr>
        <w:overflowPunct w:val="0"/>
        <w:spacing w:line="579" w:lineRule="exact"/>
        <w:ind w:firstLine="643" w:firstLineChars="200"/>
      </w:pPr>
      <w:r>
        <w:rPr>
          <w:rFonts w:hint="eastAsia"/>
          <w:b/>
          <w:bCs/>
          <w:kern w:val="2"/>
          <w:szCs w:val="32"/>
        </w:rPr>
        <w:t>污染防治有力有效。</w:t>
      </w:r>
      <w:r>
        <w:rPr>
          <w:rFonts w:hint="eastAsia"/>
          <w:szCs w:val="32"/>
        </w:rPr>
        <w:t>水环境质量持续提升，持续推进“河长制”，累计巡河11658人次，</w:t>
      </w:r>
      <w:r>
        <w:rPr>
          <w:rFonts w:hint="eastAsia"/>
          <w:szCs w:val="32"/>
          <w:lang w:val="zh-CN"/>
        </w:rPr>
        <w:t>综合治理河</w:t>
      </w:r>
      <w:r>
        <w:rPr>
          <w:rFonts w:hint="eastAsia"/>
          <w:szCs w:val="32"/>
        </w:rPr>
        <w:t>道62公里，国考断面水质稳定在Ⅱ类标准及以上。空气环境质量持续提升，深化工业、交通、扬尘、生活等污染控制，城区PM2.5均值全市领先，空气质量优良天数保持在360天以上，优良率98</w:t>
      </w:r>
      <w:r>
        <w:rPr>
          <w:szCs w:val="32"/>
        </w:rPr>
        <w:t>%</w:t>
      </w:r>
      <w:r>
        <w:rPr>
          <w:rFonts w:hint="eastAsia"/>
          <w:szCs w:val="32"/>
        </w:rPr>
        <w:t>以上，成功创建“中国天然氧吧”。土壤环境质量持续提升，</w:t>
      </w:r>
      <w:r>
        <w:rPr>
          <w:szCs w:val="32"/>
        </w:rPr>
        <w:t>印发《2023年城口县受污染耕地土壤污染源头防治工作方案》，</w:t>
      </w:r>
      <w:r>
        <w:rPr>
          <w:rFonts w:cs="方正仿宋_GBK"/>
          <w:sz w:val="31"/>
          <w:szCs w:val="31"/>
        </w:rPr>
        <w:t>开展</w:t>
      </w:r>
      <w:r>
        <w:rPr>
          <w:rFonts w:hint="eastAsia" w:cs="方正仿宋_GBK"/>
          <w:sz w:val="31"/>
          <w:szCs w:val="31"/>
        </w:rPr>
        <w:t>污染土壤管控和修复治理，</w:t>
      </w:r>
      <w:r>
        <w:rPr>
          <w:rFonts w:hint="eastAsia"/>
          <w:szCs w:val="32"/>
        </w:rPr>
        <w:t>全县农用地、建设用地安全利用率均达到</w:t>
      </w:r>
      <w:r>
        <w:rPr>
          <w:szCs w:val="32"/>
        </w:rPr>
        <w:t>100%</w:t>
      </w:r>
      <w:r>
        <w:rPr>
          <w:rFonts w:hint="eastAsia"/>
          <w:szCs w:val="32"/>
        </w:rPr>
        <w:t>。</w:t>
      </w:r>
      <w:r>
        <w:rPr>
          <w:rFonts w:hint="eastAsia"/>
          <w:kern w:val="2"/>
          <w:szCs w:val="32"/>
        </w:rPr>
        <w:t>化肥、农药使用总量递减，畜禽粪污综合利用率达到90</w:t>
      </w:r>
      <w:r>
        <w:rPr>
          <w:kern w:val="2"/>
          <w:szCs w:val="32"/>
        </w:rPr>
        <w:t>%</w:t>
      </w:r>
      <w:r>
        <w:rPr>
          <w:rFonts w:hint="eastAsia"/>
          <w:kern w:val="2"/>
          <w:szCs w:val="32"/>
        </w:rPr>
        <w:t>以上。</w:t>
      </w:r>
    </w:p>
    <w:p w14:paraId="60AFF269">
      <w:pPr>
        <w:overflowPunct w:val="0"/>
        <w:spacing w:line="579" w:lineRule="exact"/>
        <w:ind w:firstLine="643" w:firstLineChars="200"/>
        <w:rPr>
          <w:szCs w:val="32"/>
        </w:rPr>
      </w:pPr>
      <w:r>
        <w:rPr>
          <w:rFonts w:hint="eastAsia"/>
          <w:b/>
          <w:bCs/>
          <w:kern w:val="2"/>
          <w:szCs w:val="32"/>
        </w:rPr>
        <w:t>绿色低碳扎实推进。</w:t>
      </w:r>
      <w:r>
        <w:rPr>
          <w:rFonts w:cs="方正仿宋_GBK"/>
          <w:sz w:val="31"/>
          <w:szCs w:val="31"/>
        </w:rPr>
        <w:t>稳妥有序推进碳达峰碳中</w:t>
      </w:r>
      <w:r>
        <w:rPr>
          <w:rFonts w:hint="eastAsia" w:cs="方正仿宋_GBK"/>
          <w:sz w:val="31"/>
          <w:szCs w:val="31"/>
        </w:rPr>
        <w:t>和，</w:t>
      </w:r>
      <w:r>
        <w:rPr>
          <w:rFonts w:hint="eastAsia"/>
          <w:kern w:val="2"/>
          <w:szCs w:val="32"/>
        </w:rPr>
        <w:t>严格落实“负面清单”制度，推进企业节能技改和落后产能淘汰，单位</w:t>
      </w:r>
      <w:r>
        <w:rPr>
          <w:kern w:val="2"/>
          <w:szCs w:val="32"/>
        </w:rPr>
        <w:t>GDP</w:t>
      </w:r>
      <w:r>
        <w:rPr>
          <w:rFonts w:hint="eastAsia"/>
          <w:kern w:val="2"/>
          <w:szCs w:val="32"/>
        </w:rPr>
        <w:t>能耗和二氧化碳排放下降率均完成市级下达目标。</w:t>
      </w:r>
      <w:r>
        <w:rPr>
          <w:rFonts w:cs="方正仿宋_GBK"/>
          <w:sz w:val="31"/>
          <w:szCs w:val="31"/>
        </w:rPr>
        <w:t>推进生态产品价值实</w:t>
      </w:r>
      <w:r>
        <w:rPr>
          <w:rFonts w:hint="eastAsia" w:cs="方正仿宋_GBK"/>
          <w:sz w:val="31"/>
          <w:szCs w:val="31"/>
        </w:rPr>
        <w:t>现机制先行先试，成功争取重庆市草地生态系统产品价值核算试点</w:t>
      </w:r>
      <w:r>
        <w:rPr>
          <w:rFonts w:hint="eastAsia"/>
          <w:kern w:val="2"/>
          <w:szCs w:val="32"/>
        </w:rPr>
        <w:t>。</w:t>
      </w:r>
      <w:r>
        <w:rPr>
          <w:rFonts w:hint="eastAsia"/>
          <w:szCs w:val="32"/>
        </w:rPr>
        <w:t>开展全域“无废城市”建设，</w:t>
      </w:r>
      <w:r>
        <w:rPr>
          <w:rFonts w:cs="方正仿宋_GBK"/>
          <w:sz w:val="31"/>
          <w:szCs w:val="31"/>
        </w:rPr>
        <w:t>加</w:t>
      </w:r>
      <w:r>
        <w:rPr>
          <w:rFonts w:hint="eastAsia" w:cs="方正仿宋_GBK"/>
          <w:sz w:val="31"/>
          <w:szCs w:val="31"/>
        </w:rPr>
        <w:t>快推进工业固体废物、医疗废物等重点废物收运网络全覆盖，</w:t>
      </w:r>
      <w:r>
        <w:rPr>
          <w:szCs w:val="32"/>
        </w:rPr>
        <w:t>城市生活垃圾无害化处理率达100%，生活垃圾回收利用率</w:t>
      </w:r>
      <w:r>
        <w:rPr>
          <w:rFonts w:hint="eastAsia"/>
          <w:szCs w:val="32"/>
        </w:rPr>
        <w:t>达40</w:t>
      </w:r>
      <w:r>
        <w:rPr>
          <w:szCs w:val="32"/>
        </w:rPr>
        <w:t>%。</w:t>
      </w:r>
      <w:r>
        <w:rPr>
          <w:rFonts w:cs="方正仿宋_GBK"/>
          <w:sz w:val="31"/>
          <w:szCs w:val="31"/>
        </w:rPr>
        <w:t>建立健全分时电价、居民</w:t>
      </w:r>
      <w:r>
        <w:rPr>
          <w:rFonts w:hint="eastAsia" w:cs="方正仿宋_GBK"/>
          <w:sz w:val="31"/>
          <w:szCs w:val="31"/>
        </w:rPr>
        <w:t>阶梯电价制度，引导用户节约用电、避峰用电。</w:t>
      </w:r>
      <w:r>
        <w:rPr>
          <w:rFonts w:cs="方正仿宋_GBK"/>
          <w:sz w:val="31"/>
          <w:szCs w:val="31"/>
        </w:rPr>
        <w:t>深入开展绿色生活创建</w:t>
      </w:r>
      <w:r>
        <w:rPr>
          <w:rFonts w:hint="eastAsia" w:cs="方正仿宋_GBK"/>
          <w:sz w:val="31"/>
          <w:szCs w:val="31"/>
        </w:rPr>
        <w:t>，</w:t>
      </w:r>
      <w:r>
        <w:rPr>
          <w:rFonts w:hint="eastAsia"/>
          <w:kern w:val="2"/>
          <w:szCs w:val="32"/>
        </w:rPr>
        <w:t>累计</w:t>
      </w:r>
      <w:r>
        <w:rPr>
          <w:kern w:val="2"/>
          <w:szCs w:val="32"/>
        </w:rPr>
        <w:t>创建节约型机关</w:t>
      </w:r>
      <w:r>
        <w:rPr>
          <w:rFonts w:hint="eastAsia"/>
          <w:kern w:val="2"/>
          <w:szCs w:val="32"/>
        </w:rPr>
        <w:t>50</w:t>
      </w:r>
      <w:r>
        <w:rPr>
          <w:kern w:val="2"/>
          <w:szCs w:val="32"/>
        </w:rPr>
        <w:t>家、绿色</w:t>
      </w:r>
      <w:r>
        <w:rPr>
          <w:rFonts w:hint="eastAsia"/>
          <w:kern w:val="2"/>
          <w:szCs w:val="32"/>
        </w:rPr>
        <w:t>家庭118户，</w:t>
      </w:r>
      <w:r>
        <w:rPr>
          <w:kern w:val="2"/>
          <w:szCs w:val="32"/>
        </w:rPr>
        <w:t>绿色建筑占比达</w:t>
      </w:r>
      <w:r>
        <w:rPr>
          <w:rFonts w:hint="eastAsia"/>
          <w:kern w:val="2"/>
          <w:szCs w:val="32"/>
        </w:rPr>
        <w:t>60</w:t>
      </w:r>
      <w:r>
        <w:rPr>
          <w:kern w:val="2"/>
          <w:szCs w:val="32"/>
        </w:rPr>
        <w:t>%</w:t>
      </w:r>
      <w:r>
        <w:rPr>
          <w:rFonts w:hint="eastAsia"/>
          <w:kern w:val="2"/>
          <w:szCs w:val="32"/>
        </w:rPr>
        <w:t>。</w:t>
      </w:r>
    </w:p>
    <w:p w14:paraId="79B08D3C">
      <w:pPr>
        <w:overflowPunct w:val="0"/>
        <w:spacing w:line="579" w:lineRule="exact"/>
        <w:ind w:firstLine="640" w:firstLineChars="200"/>
        <w:rPr>
          <w:rFonts w:eastAsia="方正楷体_GBK" w:cs="方正楷体_GBK"/>
          <w:szCs w:val="32"/>
        </w:rPr>
      </w:pPr>
      <w:r>
        <w:rPr>
          <w:rFonts w:hint="eastAsia" w:eastAsia="方正楷体_GBK" w:cs="方正楷体_GBK"/>
          <w:szCs w:val="32"/>
        </w:rPr>
        <w:t>（六）</w:t>
      </w:r>
      <w:r>
        <w:rPr>
          <w:rFonts w:eastAsia="方正楷体_GBK" w:cs="方正楷体_GBK"/>
          <w:szCs w:val="32"/>
        </w:rPr>
        <w:t>聚力建城市兴农村，</w:t>
      </w:r>
      <w:r>
        <w:rPr>
          <w:rFonts w:hint="eastAsia" w:eastAsia="方正楷体_GBK" w:cs="方正楷体_GBK"/>
          <w:szCs w:val="32"/>
        </w:rPr>
        <w:t>统筹</w:t>
      </w:r>
      <w:r>
        <w:rPr>
          <w:rFonts w:eastAsia="方正楷体_GBK" w:cs="方正楷体_GBK"/>
          <w:szCs w:val="32"/>
        </w:rPr>
        <w:t>推进城乡融合发展</w:t>
      </w:r>
    </w:p>
    <w:p w14:paraId="368B078C">
      <w:pPr>
        <w:overflowPunct w:val="0"/>
        <w:spacing w:line="579" w:lineRule="exact"/>
        <w:ind w:firstLine="643" w:firstLineChars="200"/>
        <w:rPr>
          <w:b/>
          <w:bCs/>
          <w:szCs w:val="32"/>
        </w:rPr>
      </w:pPr>
      <w:r>
        <w:rPr>
          <w:rFonts w:hint="eastAsia"/>
          <w:b/>
          <w:bCs/>
          <w:szCs w:val="32"/>
        </w:rPr>
        <w:t>推动巩固拓展脱贫攻坚成果同乡村振兴有效衔接。</w:t>
      </w:r>
      <w:r>
        <w:rPr>
          <w:rFonts w:hint="eastAsia"/>
          <w:szCs w:val="32"/>
        </w:rPr>
        <w:t>落实</w:t>
      </w:r>
      <w:r>
        <w:rPr>
          <w:szCs w:val="32"/>
        </w:rPr>
        <w:t>国家乡村振兴重点帮扶县</w:t>
      </w:r>
      <w:r>
        <w:rPr>
          <w:rFonts w:hint="eastAsia"/>
          <w:szCs w:val="32"/>
        </w:rPr>
        <w:t>“</w:t>
      </w:r>
      <w:r>
        <w:rPr>
          <w:szCs w:val="32"/>
        </w:rPr>
        <w:t>一县一策</w:t>
      </w:r>
      <w:r>
        <w:rPr>
          <w:rFonts w:hint="eastAsia"/>
          <w:szCs w:val="32"/>
        </w:rPr>
        <w:t>”</w:t>
      </w:r>
      <w:r>
        <w:rPr>
          <w:szCs w:val="32"/>
        </w:rPr>
        <w:t>。</w:t>
      </w:r>
      <w:r>
        <w:rPr>
          <w:szCs w:val="32"/>
          <w:lang w:val="zh-TW"/>
        </w:rPr>
        <w:t>建立动态监测机制</w:t>
      </w:r>
      <w:r>
        <w:rPr>
          <w:szCs w:val="32"/>
        </w:rPr>
        <w:t>，动态新增识别监测对象</w:t>
      </w:r>
      <w:r>
        <w:rPr>
          <w:rFonts w:hint="eastAsia"/>
          <w:szCs w:val="32"/>
        </w:rPr>
        <w:t>304户1033人，消除返贫风险1</w:t>
      </w:r>
      <w:r>
        <w:rPr>
          <w:szCs w:val="32"/>
        </w:rPr>
        <w:t>98</w:t>
      </w:r>
      <w:r>
        <w:rPr>
          <w:rFonts w:hint="eastAsia"/>
          <w:szCs w:val="32"/>
        </w:rPr>
        <w:t>户7</w:t>
      </w:r>
      <w:r>
        <w:rPr>
          <w:szCs w:val="32"/>
        </w:rPr>
        <w:t>97</w:t>
      </w:r>
      <w:r>
        <w:rPr>
          <w:rFonts w:hint="eastAsia"/>
          <w:szCs w:val="32"/>
        </w:rPr>
        <w:t>人</w:t>
      </w:r>
      <w:r>
        <w:rPr>
          <w:szCs w:val="32"/>
        </w:rPr>
        <w:t>。</w:t>
      </w:r>
      <w:r>
        <w:rPr>
          <w:szCs w:val="32"/>
          <w:lang w:val="zh-TW"/>
        </w:rPr>
        <w:t>建立低收入人群结对联系机制，实施</w:t>
      </w:r>
      <w:r>
        <w:rPr>
          <w:rFonts w:hint="eastAsia"/>
          <w:szCs w:val="32"/>
          <w:lang w:val="zh-TW"/>
        </w:rPr>
        <w:t>“</w:t>
      </w:r>
      <w:r>
        <w:rPr>
          <w:szCs w:val="32"/>
          <w:lang w:val="zh-TW"/>
        </w:rPr>
        <w:t>一户一策</w:t>
      </w:r>
      <w:r>
        <w:rPr>
          <w:rFonts w:hint="eastAsia"/>
          <w:szCs w:val="32"/>
          <w:lang w:val="zh-TW"/>
        </w:rPr>
        <w:t>”</w:t>
      </w:r>
      <w:r>
        <w:rPr>
          <w:szCs w:val="32"/>
          <w:lang w:val="zh-TW"/>
        </w:rPr>
        <w:t>，</w:t>
      </w:r>
      <w:r>
        <w:rPr>
          <w:rFonts w:hint="eastAsia"/>
          <w:szCs w:val="32"/>
          <w:lang w:val="zh-CN"/>
        </w:rPr>
        <w:t>“两不愁三保障”和饮水安全问题动态清零，</w:t>
      </w:r>
      <w:r>
        <w:rPr>
          <w:szCs w:val="32"/>
        </w:rPr>
        <w:t>全县脱贫人口人均纯收入增长11</w:t>
      </w:r>
      <w:r>
        <w:rPr>
          <w:rFonts w:hint="eastAsia"/>
          <w:szCs w:val="32"/>
        </w:rPr>
        <w:t>.4</w:t>
      </w:r>
      <w:r>
        <w:rPr>
          <w:szCs w:val="32"/>
        </w:rPr>
        <w:t>%</w:t>
      </w:r>
      <w:r>
        <w:rPr>
          <w:rFonts w:hint="eastAsia"/>
          <w:szCs w:val="32"/>
        </w:rPr>
        <w:t>。推广“千万工程”经验做法，实施农村人居环境整治，</w:t>
      </w:r>
      <w:r>
        <w:rPr>
          <w:szCs w:val="32"/>
        </w:rPr>
        <w:t>创建中国美丽休闲乡村1个、市级美丽宜居乡村10个，</w:t>
      </w:r>
      <w:r>
        <w:rPr>
          <w:szCs w:val="32"/>
          <w:lang w:val="zh-TW"/>
        </w:rPr>
        <w:t>集中打造修齐</w:t>
      </w:r>
      <w:r>
        <w:rPr>
          <w:szCs w:val="32"/>
        </w:rPr>
        <w:t>-高观</w:t>
      </w:r>
      <w:r>
        <w:rPr>
          <w:rFonts w:hint="eastAsia"/>
          <w:szCs w:val="32"/>
          <w:lang w:val="zh-TW"/>
        </w:rPr>
        <w:t>“</w:t>
      </w:r>
      <w:r>
        <w:rPr>
          <w:szCs w:val="32"/>
          <w:lang w:val="zh-TW"/>
        </w:rPr>
        <w:t>河美山乡</w:t>
      </w:r>
      <w:r>
        <w:rPr>
          <w:rFonts w:hint="eastAsia"/>
          <w:szCs w:val="32"/>
          <w:lang w:val="zh-TW"/>
        </w:rPr>
        <w:t>”</w:t>
      </w:r>
      <w:r>
        <w:rPr>
          <w:szCs w:val="32"/>
          <w:lang w:val="zh-TW"/>
        </w:rPr>
        <w:t>示范带</w:t>
      </w:r>
      <w:r>
        <w:rPr>
          <w:szCs w:val="32"/>
        </w:rPr>
        <w:t>和3个市级宜居宜业和美乡村</w:t>
      </w:r>
      <w:r>
        <w:rPr>
          <w:rFonts w:hint="eastAsia"/>
          <w:szCs w:val="32"/>
        </w:rPr>
        <w:t>，</w:t>
      </w:r>
      <w:r>
        <w:rPr>
          <w:rFonts w:hint="eastAsia"/>
          <w:szCs w:val="32"/>
          <w:lang w:val="zh-TW" w:bidi="zh-CN"/>
        </w:rPr>
        <w:t>岚天、北屏、高楠成功创建国家卫生乡镇</w:t>
      </w:r>
      <w:r>
        <w:rPr>
          <w:szCs w:val="32"/>
        </w:rPr>
        <w:t>。</w:t>
      </w:r>
      <w:r>
        <w:rPr>
          <w:kern w:val="2"/>
          <w:szCs w:val="32"/>
        </w:rPr>
        <w:t>新启动自然村通硬化公路建设94.</w:t>
      </w:r>
      <w:r>
        <w:rPr>
          <w:rFonts w:hint="eastAsia"/>
          <w:kern w:val="2"/>
          <w:szCs w:val="32"/>
        </w:rPr>
        <w:t>6</w:t>
      </w:r>
      <w:r>
        <w:rPr>
          <w:kern w:val="2"/>
          <w:szCs w:val="32"/>
        </w:rPr>
        <w:t>公里</w:t>
      </w:r>
      <w:r>
        <w:rPr>
          <w:rFonts w:hint="eastAsia"/>
          <w:kern w:val="2"/>
          <w:szCs w:val="32"/>
        </w:rPr>
        <w:t>，</w:t>
      </w:r>
      <w:r>
        <w:rPr>
          <w:rFonts w:hint="eastAsia"/>
          <w:szCs w:val="32"/>
        </w:rPr>
        <w:t>村民小组通硬化路率达92%</w:t>
      </w:r>
      <w:r>
        <w:rPr>
          <w:szCs w:val="32"/>
          <w:lang w:val="zh-TW"/>
        </w:rPr>
        <w:t>。</w:t>
      </w:r>
      <w:r>
        <w:rPr>
          <w:bCs/>
          <w:szCs w:val="32"/>
          <w:lang w:val="zh-TW"/>
        </w:rPr>
        <w:t>打造2个数字乡村治理示范点，</w:t>
      </w:r>
      <w:r>
        <w:rPr>
          <w:rFonts w:hint="eastAsia"/>
          <w:bCs/>
          <w:szCs w:val="32"/>
          <w:lang w:val="zh-TW"/>
        </w:rPr>
        <w:t>创建市级乡村治理示范乡镇1个、示范村</w:t>
      </w:r>
      <w:r>
        <w:rPr>
          <w:bCs/>
          <w:szCs w:val="32"/>
          <w:lang w:val="zh-TW"/>
        </w:rPr>
        <w:t>3</w:t>
      </w:r>
      <w:r>
        <w:rPr>
          <w:rFonts w:hint="eastAsia"/>
          <w:bCs/>
          <w:szCs w:val="32"/>
          <w:lang w:val="zh-TW"/>
        </w:rPr>
        <w:t>个</w:t>
      </w:r>
      <w:r>
        <w:rPr>
          <w:szCs w:val="32"/>
          <w:lang w:val="zh-TW"/>
        </w:rPr>
        <w:t>。</w:t>
      </w:r>
      <w:r>
        <w:rPr>
          <w:bCs/>
          <w:szCs w:val="32"/>
          <w:lang w:val="zh-TW"/>
        </w:rPr>
        <w:t>深化</w:t>
      </w:r>
      <w:r>
        <w:rPr>
          <w:rFonts w:hint="eastAsia"/>
          <w:bCs/>
          <w:szCs w:val="32"/>
          <w:lang w:val="zh-TW"/>
        </w:rPr>
        <w:t>“</w:t>
      </w:r>
      <w:r>
        <w:rPr>
          <w:bCs/>
          <w:szCs w:val="32"/>
          <w:lang w:val="zh-TW"/>
        </w:rPr>
        <w:t>万企兴万村</w:t>
      </w:r>
      <w:r>
        <w:rPr>
          <w:rFonts w:hint="eastAsia"/>
          <w:bCs/>
          <w:szCs w:val="32"/>
          <w:lang w:val="zh-TW"/>
        </w:rPr>
        <w:t>”</w:t>
      </w:r>
      <w:r>
        <w:rPr>
          <w:bCs/>
          <w:szCs w:val="32"/>
          <w:lang w:val="zh-TW"/>
        </w:rPr>
        <w:t>行动，</w:t>
      </w:r>
      <w:r>
        <w:rPr>
          <w:rFonts w:hint="eastAsia"/>
          <w:szCs w:val="32"/>
        </w:rPr>
        <w:t>北屏松柏村鲁渝协作“万企兴万村”新模式入选全国乡村振兴典型案例</w:t>
      </w:r>
      <w:r>
        <w:rPr>
          <w:szCs w:val="32"/>
          <w:lang w:val="zh-TW"/>
        </w:rPr>
        <w:t>。</w:t>
      </w:r>
    </w:p>
    <w:p w14:paraId="47DF38FA">
      <w:pPr>
        <w:overflowPunct w:val="0"/>
        <w:spacing w:line="579" w:lineRule="exact"/>
        <w:ind w:firstLine="643" w:firstLineChars="200"/>
        <w:rPr>
          <w:b/>
          <w:bCs/>
          <w:szCs w:val="32"/>
        </w:rPr>
      </w:pPr>
      <w:r>
        <w:rPr>
          <w:rFonts w:hint="eastAsia"/>
          <w:b/>
          <w:bCs/>
          <w:szCs w:val="32"/>
        </w:rPr>
        <w:t>优化提升城市功能品质。</w:t>
      </w:r>
      <w:r>
        <w:rPr>
          <w:rFonts w:cs="方正仿宋_GBK"/>
          <w:szCs w:val="32"/>
        </w:rPr>
        <w:t>有序推进东部新区建设</w:t>
      </w:r>
      <w:r>
        <w:rPr>
          <w:rFonts w:hint="eastAsia"/>
          <w:kern w:val="2"/>
          <w:szCs w:val="32"/>
        </w:rPr>
        <w:t>，完成东部新区征地拆迁</w:t>
      </w:r>
      <w:r>
        <w:rPr>
          <w:rFonts w:hint="eastAsia"/>
          <w:szCs w:val="32"/>
          <w:lang w:val="zh-CN" w:bidi="zh-CN"/>
        </w:rPr>
        <w:t>1531亩</w:t>
      </w:r>
      <w:r>
        <w:rPr>
          <w:rFonts w:hint="eastAsia"/>
          <w:kern w:val="2"/>
          <w:szCs w:val="32"/>
        </w:rPr>
        <w:t>，高铁站前广场等基础设施配套项目开工。深入实施</w:t>
      </w:r>
      <w:r>
        <w:rPr>
          <w:szCs w:val="32"/>
        </w:rPr>
        <w:t>城市更新</w:t>
      </w:r>
      <w:r>
        <w:rPr>
          <w:rFonts w:hint="eastAsia"/>
          <w:szCs w:val="32"/>
        </w:rPr>
        <w:t>行动</w:t>
      </w:r>
      <w:r>
        <w:rPr>
          <w:szCs w:val="32"/>
        </w:rPr>
        <w:t>，</w:t>
      </w:r>
      <w:r>
        <w:rPr>
          <w:rFonts w:hint="eastAsia"/>
          <w:szCs w:val="32"/>
          <w:lang w:bidi="zh-CN"/>
        </w:rPr>
        <w:t>滨</w:t>
      </w:r>
      <w:r>
        <w:rPr>
          <w:rFonts w:hint="eastAsia"/>
          <w:szCs w:val="32"/>
        </w:rPr>
        <w:t>河南北两岸环线贯通，任</w:t>
      </w:r>
      <w:r>
        <w:rPr>
          <w:rFonts w:hint="eastAsia"/>
          <w:szCs w:val="32"/>
          <w:lang w:bidi="zh-CN"/>
        </w:rPr>
        <w:t>河生态拦水坝投用，</w:t>
      </w:r>
      <w:r>
        <w:rPr>
          <w:rFonts w:hint="eastAsia"/>
          <w:szCs w:val="32"/>
          <w:shd w:val="clear" w:color="auto" w:fill="FFFFFF"/>
        </w:rPr>
        <w:t>四塘坝任河大桥、沱溪河桥通车</w:t>
      </w:r>
      <w:r>
        <w:rPr>
          <w:rFonts w:hint="eastAsia"/>
          <w:kern w:val="2"/>
          <w:szCs w:val="32"/>
        </w:rPr>
        <w:t>。全力推进老化管道更新改造，城市生活污水集中处理率稳定在98%以上，</w:t>
      </w:r>
      <w:r>
        <w:rPr>
          <w:rFonts w:hint="eastAsia"/>
          <w:szCs w:val="32"/>
        </w:rPr>
        <w:t>城市污水管网缺陷率控制在5%以内</w:t>
      </w:r>
      <w:r>
        <w:rPr>
          <w:rFonts w:hint="eastAsia"/>
          <w:kern w:val="2"/>
          <w:szCs w:val="32"/>
        </w:rPr>
        <w:t>。</w:t>
      </w:r>
      <w:r>
        <w:rPr>
          <w:rFonts w:hint="eastAsia"/>
          <w:szCs w:val="32"/>
        </w:rPr>
        <w:t>完成坡坎崖绿化5处、街头绿地提质项目2个，累计建成城市绿道10.8公里、城市公共绿地89.8万平方米、公园绿地52万平方米。</w:t>
      </w:r>
      <w:r>
        <w:rPr>
          <w:rFonts w:hint="eastAsia"/>
          <w:kern w:val="2"/>
          <w:szCs w:val="32"/>
        </w:rPr>
        <w:t>新（改）建停车场5个，新增停车泊位328个，</w:t>
      </w:r>
      <w:r>
        <w:rPr>
          <w:rFonts w:hint="eastAsia"/>
          <w:szCs w:val="32"/>
        </w:rPr>
        <w:t>新建充电桩146个，</w:t>
      </w:r>
      <w:r>
        <w:rPr>
          <w:rFonts w:hint="eastAsia"/>
          <w:kern w:val="2"/>
          <w:szCs w:val="32"/>
        </w:rPr>
        <w:t>充电桩布线覆盖率达100%。新建小微菜市场1个、爱心驿站2个、城市公厕2个，建成智慧小区2个。</w:t>
      </w:r>
      <w:r>
        <w:rPr>
          <w:rFonts w:hint="eastAsia"/>
          <w:szCs w:val="32"/>
        </w:rPr>
        <w:t>常态化开展“马路办公”，交办督办整改突出问题1500余个，整治问题窨井盖420个，拆除违法建筑0.9万平方米。</w:t>
      </w:r>
    </w:p>
    <w:p w14:paraId="6E222478">
      <w:pPr>
        <w:overflowPunct w:val="0"/>
        <w:spacing w:line="579" w:lineRule="exact"/>
        <w:ind w:firstLine="643" w:firstLineChars="200"/>
        <w:rPr>
          <w:szCs w:val="32"/>
        </w:rPr>
      </w:pPr>
      <w:r>
        <w:rPr>
          <w:rFonts w:hint="eastAsia"/>
          <w:b/>
          <w:bCs/>
          <w:szCs w:val="32"/>
        </w:rPr>
        <w:t>深化城乡发展。</w:t>
      </w:r>
      <w:r>
        <w:rPr>
          <w:rFonts w:hint="eastAsia"/>
          <w:szCs w:val="32"/>
        </w:rPr>
        <w:t>国土空间总体规划基本形成，完成咸宜、双河、东安等5个乡镇国土空间规划编制，实现28个村规划审批入库。谋划研究“一县一策”推动城口高质量发展若干举措。印发《城口县推进以县城为重要载体的城镇化建设实施方案》，立足旅游功能县城和重点生态功能区县城定位，编制“小县大城”试点方案，引导产业、人口和要素向县城集聚。编制《城口县落实强村富民综合改革实施意见》，以发展壮大新型农村集体经济为重点，扎实推进乡村振兴和农业农村现代化。完成农村土地承包经营权确权颁证。</w:t>
      </w:r>
    </w:p>
    <w:p w14:paraId="0AD3EFBD">
      <w:pPr>
        <w:tabs>
          <w:tab w:val="left" w:pos="2199"/>
        </w:tabs>
        <w:overflowPunct w:val="0"/>
        <w:spacing w:line="579" w:lineRule="exact"/>
        <w:ind w:firstLine="640" w:firstLineChars="200"/>
        <w:rPr>
          <w:rFonts w:eastAsia="方正楷体_GBK" w:cs="方正楷体_GBK"/>
          <w:szCs w:val="32"/>
        </w:rPr>
      </w:pPr>
      <w:r>
        <w:rPr>
          <w:rFonts w:hint="eastAsia" w:eastAsia="方正楷体_GBK" w:cs="方正楷体_GBK"/>
          <w:szCs w:val="32"/>
        </w:rPr>
        <w:t>（七）全面深化改革创新，有效激发高质量发展活力</w:t>
      </w:r>
    </w:p>
    <w:p w14:paraId="4E93A7C0">
      <w:pPr>
        <w:overflowPunct w:val="0"/>
        <w:spacing w:line="579" w:lineRule="exact"/>
        <w:ind w:firstLine="643" w:firstLineChars="200"/>
        <w:rPr>
          <w:b/>
          <w:bCs/>
          <w:szCs w:val="32"/>
        </w:rPr>
      </w:pPr>
      <w:r>
        <w:rPr>
          <w:rFonts w:hint="eastAsia"/>
          <w:b/>
          <w:bCs/>
          <w:szCs w:val="32"/>
        </w:rPr>
        <w:t>推进数字重庆建设。</w:t>
      </w:r>
      <w:r>
        <w:rPr>
          <w:rFonts w:hint="eastAsia"/>
          <w:szCs w:val="32"/>
        </w:rPr>
        <w:t>建成县级数据仓，</w:t>
      </w:r>
      <w:r>
        <w:rPr>
          <w:rFonts w:hint="eastAsia"/>
          <w:kern w:val="2"/>
          <w:szCs w:val="32"/>
        </w:rPr>
        <w:t>加快公共数据资源编目、归集，归集数据40.4万条。梳理核心业务216项、业务事项4173项，设施农业用地办理等3项“一件事”纳入市级应用。推进城市管理运行中心建设，新增3个操作台，实现数字驾驶舱、数字工作台、掌上指挥室事件全流程流转直观可视。推进“一中心四板块一网格”基层智治体系建设，完成乡镇街道基层治理指挥中心建设，葛城、庙坝、北屏等</w:t>
      </w:r>
      <w:r>
        <w:rPr>
          <w:rFonts w:hint="eastAsia"/>
          <w:szCs w:val="32"/>
          <w:lang w:val="zh-CN"/>
        </w:rPr>
        <w:t>3个乡镇街道</w:t>
      </w:r>
      <w:r>
        <w:rPr>
          <w:rFonts w:hint="eastAsia"/>
          <w:kern w:val="2"/>
          <w:szCs w:val="32"/>
        </w:rPr>
        <w:t>纳入</w:t>
      </w:r>
      <w:r>
        <w:rPr>
          <w:rFonts w:hint="eastAsia"/>
          <w:szCs w:val="32"/>
          <w:lang w:val="zh-CN"/>
        </w:rPr>
        <w:t>全市第二批基层智治体系建设试点</w:t>
      </w:r>
      <w:r>
        <w:rPr>
          <w:rFonts w:hint="eastAsia"/>
          <w:kern w:val="2"/>
          <w:szCs w:val="32"/>
        </w:rPr>
        <w:t>。</w:t>
      </w:r>
    </w:p>
    <w:p w14:paraId="605EFF76">
      <w:pPr>
        <w:overflowPunct w:val="0"/>
        <w:spacing w:line="579" w:lineRule="exact"/>
        <w:ind w:firstLine="643" w:firstLineChars="200"/>
        <w:rPr>
          <w:szCs w:val="32"/>
        </w:rPr>
      </w:pPr>
      <w:r>
        <w:rPr>
          <w:rFonts w:hint="eastAsia"/>
          <w:b/>
          <w:bCs/>
          <w:szCs w:val="32"/>
        </w:rPr>
        <w:t>深化重点领域改革。</w:t>
      </w:r>
      <w:r>
        <w:rPr>
          <w:rFonts w:hint="eastAsia"/>
          <w:kern w:val="2"/>
          <w:szCs w:val="32"/>
        </w:rPr>
        <w:t>制定全面深化改革实施举措75条，“路长制”改革入选全国典型案例。</w:t>
      </w:r>
      <w:r>
        <w:rPr>
          <w:rFonts w:cs="方正楷体_GBK"/>
          <w:szCs w:val="32"/>
          <w:lang w:val="zh-CN"/>
        </w:rPr>
        <w:t>深化国资国企改革，</w:t>
      </w:r>
      <w:r>
        <w:rPr>
          <w:rFonts w:hint="eastAsia"/>
          <w:kern w:val="2"/>
          <w:szCs w:val="32"/>
          <w:lang w:val="zh-TW"/>
        </w:rPr>
        <w:t>完成</w:t>
      </w:r>
      <w:r>
        <w:rPr>
          <w:rFonts w:hint="eastAsia" w:cs="方正楷体_GBK"/>
          <w:szCs w:val="32"/>
          <w:lang w:val="zh-CN"/>
        </w:rPr>
        <w:t>县属国有企业</w:t>
      </w:r>
      <w:r>
        <w:rPr>
          <w:rFonts w:hint="eastAsia"/>
          <w:kern w:val="2"/>
          <w:szCs w:val="32"/>
          <w:lang w:val="zh-TW"/>
        </w:rPr>
        <w:t>一二级公司党组织设置和隶属关系调整，</w:t>
      </w:r>
      <w:r>
        <w:rPr>
          <w:szCs w:val="32"/>
        </w:rPr>
        <w:t>国有资产规模突破324亿元</w:t>
      </w:r>
      <w:r>
        <w:rPr>
          <w:rFonts w:hint="eastAsia"/>
          <w:szCs w:val="32"/>
        </w:rPr>
        <w:t>、增长12%</w:t>
      </w:r>
      <w:r>
        <w:rPr>
          <w:rFonts w:hint="eastAsia" w:cs="方正楷体_GBK"/>
          <w:szCs w:val="32"/>
          <w:lang w:val="zh-CN"/>
        </w:rPr>
        <w:t>。</w:t>
      </w:r>
      <w:r>
        <w:rPr>
          <w:rFonts w:hint="eastAsia"/>
          <w:kern w:val="2"/>
          <w:szCs w:val="32"/>
          <w:lang w:val="zh-TW"/>
        </w:rPr>
        <w:t>全面承接财税金融改革，优化预算管理一体化建设，进一步盘活存量资产资源。推进</w:t>
      </w:r>
      <w:r>
        <w:rPr>
          <w:rFonts w:hint="eastAsia" w:cs="方正楷体_GBK"/>
          <w:szCs w:val="32"/>
          <w:lang w:val="zh-CN"/>
        </w:rPr>
        <w:t>园区开发区改革，编制完成《关于深化开发区管理制度改革推动开发区高质量发展的实施方案》，提出七个方面20项主要改革举措。</w:t>
      </w:r>
      <w:r>
        <w:rPr>
          <w:rFonts w:hint="eastAsia"/>
          <w:kern w:val="2"/>
          <w:szCs w:val="32"/>
          <w:lang w:val="zh-TW"/>
        </w:rPr>
        <w:t>推进强村富民综合改革，探索建立“强村公司”，发展新型农村集体经济，</w:t>
      </w:r>
      <w:r>
        <w:rPr>
          <w:rFonts w:hint="eastAsia"/>
          <w:szCs w:val="32"/>
        </w:rPr>
        <w:t>集体经济经营性收入10万元以上的村占比87.9%。推进</w:t>
      </w:r>
      <w:r>
        <w:rPr>
          <w:rFonts w:hint="eastAsia"/>
          <w:kern w:val="2"/>
          <w:szCs w:val="32"/>
          <w:lang w:val="zh-TW"/>
        </w:rPr>
        <w:t>林业综合改革，实施非国有林生态赎买2500亩，成为全国深化集体林权制度改革先行推进区。</w:t>
      </w:r>
    </w:p>
    <w:p w14:paraId="759AA968">
      <w:pPr>
        <w:overflowPunct w:val="0"/>
        <w:spacing w:line="579" w:lineRule="exact"/>
        <w:ind w:firstLine="643" w:firstLineChars="200"/>
        <w:rPr>
          <w:szCs w:val="32"/>
        </w:rPr>
      </w:pPr>
      <w:r>
        <w:rPr>
          <w:rFonts w:hint="eastAsia"/>
          <w:b/>
          <w:bCs/>
          <w:szCs w:val="32"/>
        </w:rPr>
        <w:t>持续优化营商环境。</w:t>
      </w:r>
      <w:r>
        <w:rPr>
          <w:rFonts w:hint="eastAsia" w:cs="方正楷体_GBK"/>
          <w:szCs w:val="32"/>
          <w:lang w:val="zh-CN"/>
        </w:rPr>
        <w:t>县政务服务大厅主体工程完工。</w:t>
      </w:r>
      <w:r>
        <w:rPr>
          <w:rFonts w:hint="eastAsia"/>
          <w:szCs w:val="32"/>
        </w:rPr>
        <w:t>深化“放管服”改革，90</w:t>
      </w:r>
      <w:r>
        <w:rPr>
          <w:szCs w:val="32"/>
        </w:rPr>
        <w:t>%的行政许可事项实现全程网办，政务服务好评率达</w:t>
      </w:r>
      <w:r>
        <w:rPr>
          <w:rFonts w:hint="eastAsia"/>
          <w:szCs w:val="32"/>
        </w:rPr>
        <w:t>100</w:t>
      </w:r>
      <w:r>
        <w:rPr>
          <w:szCs w:val="32"/>
        </w:rPr>
        <w:t>%。</w:t>
      </w:r>
      <w:r>
        <w:rPr>
          <w:rFonts w:hint="eastAsia" w:cs="方正楷体_GBK"/>
          <w:szCs w:val="32"/>
          <w:lang w:val="zh-CN"/>
        </w:rPr>
        <w:t>推进“一件事一次办”集成服务，完成</w:t>
      </w:r>
      <w:r>
        <w:rPr>
          <w:rFonts w:cs="方正楷体_GBK"/>
          <w:szCs w:val="32"/>
          <w:lang w:val="zh-CN"/>
        </w:rPr>
        <w:t>51</w:t>
      </w:r>
      <w:r>
        <w:rPr>
          <w:rFonts w:hint="eastAsia" w:cs="方正楷体_GBK"/>
          <w:szCs w:val="32"/>
          <w:lang w:val="zh-CN"/>
        </w:rPr>
        <w:t>个市级套餐、9个县级套餐基础架构。</w:t>
      </w:r>
      <w:r>
        <w:rPr>
          <w:rFonts w:hint="eastAsia"/>
          <w:szCs w:val="32"/>
        </w:rPr>
        <w:t>深化公共资源交易改革，强化公共资源交易的监管和执法，</w:t>
      </w:r>
      <w:r>
        <w:rPr>
          <w:rFonts w:hint="eastAsia" w:cs="方正楷体_GBK"/>
          <w:szCs w:val="32"/>
          <w:lang w:val="zh-CN"/>
        </w:rPr>
        <w:t>交易金额达</w:t>
      </w:r>
      <w:r>
        <w:rPr>
          <w:rFonts w:cs="方正楷体_GBK"/>
          <w:szCs w:val="32"/>
        </w:rPr>
        <w:t>24.5</w:t>
      </w:r>
      <w:r>
        <w:rPr>
          <w:rFonts w:hint="eastAsia" w:cs="方正楷体_GBK"/>
          <w:szCs w:val="32"/>
        </w:rPr>
        <w:t>亿元、增长</w:t>
      </w:r>
      <w:r>
        <w:rPr>
          <w:rFonts w:cs="方正楷体_GBK"/>
          <w:szCs w:val="32"/>
        </w:rPr>
        <w:t>37.6</w:t>
      </w:r>
      <w:r>
        <w:rPr>
          <w:rFonts w:hint="eastAsia" w:cs="方正楷体_GBK"/>
          <w:szCs w:val="32"/>
        </w:rPr>
        <w:t>%。</w:t>
      </w:r>
      <w:r>
        <w:rPr>
          <w:rFonts w:hint="eastAsia" w:cs="方正楷体_GBK"/>
          <w:szCs w:val="32"/>
          <w:lang w:val="zh-CN"/>
        </w:rPr>
        <w:t>打造“信用重庆”升级版，推进“三农”信用体系建设试点，严格落实信用“红黑名单”联合惩戒</w:t>
      </w:r>
      <w:r>
        <w:rPr>
          <w:szCs w:val="32"/>
        </w:rPr>
        <w:t>，引导失信市场主体重视信用诚信守法。</w:t>
      </w:r>
      <w:r>
        <w:rPr>
          <w:rFonts w:hint="eastAsia" w:cs="方正楷体_GBK"/>
          <w:szCs w:val="32"/>
          <w:lang w:val="zh-CN"/>
        </w:rPr>
        <w:t>广泛开展“信易贷·渝惠融”平台推广，累计授信通过4106万元，发放贷款339万元。</w:t>
      </w:r>
    </w:p>
    <w:p w14:paraId="6C362730">
      <w:pPr>
        <w:overflowPunct w:val="0"/>
        <w:spacing w:line="579" w:lineRule="exact"/>
        <w:ind w:firstLine="643" w:firstLineChars="200"/>
        <w:rPr>
          <w:strike/>
          <w:kern w:val="2"/>
          <w:szCs w:val="32"/>
        </w:rPr>
      </w:pPr>
      <w:r>
        <w:rPr>
          <w:rFonts w:hint="eastAsia"/>
          <w:b/>
          <w:bCs/>
          <w:szCs w:val="32"/>
        </w:rPr>
        <w:t>实施科技创新行动。</w:t>
      </w:r>
      <w:r>
        <w:rPr>
          <w:rFonts w:hint="eastAsia"/>
          <w:kern w:val="2"/>
          <w:szCs w:val="32"/>
        </w:rPr>
        <w:t>推进产业创新平台建设，认定市级新型研发机构2个</w:t>
      </w:r>
      <w:r>
        <w:rPr>
          <w:rFonts w:hint="eastAsia"/>
          <w:szCs w:val="32"/>
        </w:rPr>
        <w:t>、市级中小企业技术研发中心1个</w:t>
      </w:r>
      <w:r>
        <w:rPr>
          <w:rFonts w:hint="eastAsia"/>
          <w:kern w:val="2"/>
          <w:szCs w:val="32"/>
        </w:rPr>
        <w:t>。引导企业加大研发投入，全社会研发经费投入4200万元，同比增长22%；新增规上工业企业研发机构3家，规上工业企业研发费用达300万元。技术合同成交额达859万元，实现“零”的突破。优化科技金融服务，为科技型企业发放知识价值信用贷款1612万元、科技创新服务券100万元，有效帮助企业解决融资难题。持续实施“双倍增”行动计划，新增</w:t>
      </w:r>
      <w:r>
        <w:rPr>
          <w:rFonts w:hint="eastAsia"/>
          <w:szCs w:val="32"/>
          <w:lang w:val="zh-CN"/>
        </w:rPr>
        <w:t>“专精特新”企业</w:t>
      </w:r>
      <w:r>
        <w:rPr>
          <w:rFonts w:hint="eastAsia"/>
          <w:szCs w:val="32"/>
        </w:rPr>
        <w:t>5家、</w:t>
      </w:r>
      <w:r>
        <w:rPr>
          <w:rFonts w:hint="eastAsia"/>
          <w:kern w:val="2"/>
          <w:szCs w:val="32"/>
        </w:rPr>
        <w:t>高新技术企业6家、科技型企业32家，新增发明专利授权14件。</w:t>
      </w:r>
    </w:p>
    <w:p w14:paraId="01DB1661">
      <w:pPr>
        <w:overflowPunct w:val="0"/>
        <w:spacing w:line="579" w:lineRule="exact"/>
        <w:ind w:firstLine="640" w:firstLineChars="200"/>
        <w:rPr>
          <w:b/>
          <w:bCs/>
          <w:szCs w:val="32"/>
        </w:rPr>
      </w:pPr>
      <w:r>
        <w:rPr>
          <w:rFonts w:hint="eastAsia" w:eastAsia="方正楷体_GBK" w:cs="方正楷体_GBK"/>
          <w:szCs w:val="32"/>
        </w:rPr>
        <w:t>（八）聚焦人民群众急难愁盼问题，持续增进民生福祉</w:t>
      </w:r>
    </w:p>
    <w:p w14:paraId="19487CF5">
      <w:pPr>
        <w:overflowPunct w:val="0"/>
        <w:spacing w:line="579" w:lineRule="exact"/>
        <w:ind w:firstLine="643" w:firstLineChars="200"/>
        <w:rPr>
          <w:b/>
          <w:bCs/>
          <w:szCs w:val="32"/>
        </w:rPr>
      </w:pPr>
      <w:r>
        <w:rPr>
          <w:rFonts w:hint="eastAsia"/>
          <w:b/>
          <w:bCs/>
          <w:szCs w:val="32"/>
        </w:rPr>
        <w:t>全力以赴稳就业促创业。</w:t>
      </w:r>
      <w:r>
        <w:rPr>
          <w:rFonts w:hint="eastAsia"/>
          <w:szCs w:val="32"/>
        </w:rPr>
        <w:t>坚持就业优先战略，</w:t>
      </w:r>
      <w:r>
        <w:rPr>
          <w:bCs/>
          <w:szCs w:val="32"/>
        </w:rPr>
        <w:t>出台促进脱贫人口稳岗就业</w:t>
      </w:r>
      <w:r>
        <w:rPr>
          <w:rFonts w:hint="eastAsia"/>
          <w:bCs/>
          <w:szCs w:val="32"/>
        </w:rPr>
        <w:t>13</w:t>
      </w:r>
      <w:r>
        <w:rPr>
          <w:bCs/>
          <w:szCs w:val="32"/>
        </w:rPr>
        <w:t>条</w:t>
      </w:r>
      <w:r>
        <w:rPr>
          <w:rFonts w:hint="eastAsia"/>
          <w:bCs/>
          <w:szCs w:val="32"/>
        </w:rPr>
        <w:t>，</w:t>
      </w:r>
      <w:r>
        <w:rPr>
          <w:szCs w:val="32"/>
        </w:rPr>
        <w:t>通过转移输送、搭建平台、</w:t>
      </w:r>
      <w:r>
        <w:rPr>
          <w:rFonts w:hint="eastAsia"/>
          <w:szCs w:val="32"/>
        </w:rPr>
        <w:t>开发公益性岗位</w:t>
      </w:r>
      <w:r>
        <w:rPr>
          <w:szCs w:val="32"/>
        </w:rPr>
        <w:t>等方式，</w:t>
      </w:r>
      <w:r>
        <w:rPr>
          <w:rFonts w:hint="eastAsia"/>
          <w:bCs/>
          <w:szCs w:val="32"/>
          <w:lang w:val="zh-TW"/>
        </w:rPr>
        <w:t>推动8.8万人转移就业</w:t>
      </w:r>
      <w:r>
        <w:rPr>
          <w:szCs w:val="32"/>
          <w:lang w:val="zh-TW"/>
        </w:rPr>
        <w:t>。</w:t>
      </w:r>
      <w:r>
        <w:rPr>
          <w:rFonts w:hint="eastAsia" w:cs="宋体"/>
          <w:color w:val="000000"/>
          <w:szCs w:val="32"/>
        </w:rPr>
        <w:t>实施以工代赈项目</w:t>
      </w:r>
      <w:r>
        <w:rPr>
          <w:rFonts w:hint="eastAsia"/>
          <w:color w:val="000000"/>
          <w:szCs w:val="32"/>
        </w:rPr>
        <w:t>60</w:t>
      </w:r>
      <w:r>
        <w:rPr>
          <w:rFonts w:hint="eastAsia" w:cs="宋体"/>
          <w:color w:val="000000"/>
          <w:szCs w:val="32"/>
        </w:rPr>
        <w:t>个，吸纳务工群众9331人，发放劳务报酬7768万元，实现人均工资收入增长8325元。</w:t>
      </w:r>
      <w:r>
        <w:rPr>
          <w:rFonts w:hint="eastAsia"/>
          <w:szCs w:val="32"/>
        </w:rPr>
        <w:t>开展春风行动、百企进村送万岗、</w:t>
      </w:r>
      <w:r>
        <w:rPr>
          <w:rFonts w:hint="eastAsia" w:cs="宋体"/>
          <w:bCs/>
          <w:color w:val="000000"/>
          <w:szCs w:val="32"/>
        </w:rPr>
        <w:t>高校毕业生就业服务等专项行动，发布岗位需求1.2万个。发放创业担保贷款3809.7万元、扶持自主创业256人。精准把握培训需求，增设一批就业效果好、收入较高的培训工种，全面推行“培训+就业+服务”工作机制，开展补贴性职业技能培训1575人次。</w:t>
      </w:r>
    </w:p>
    <w:p w14:paraId="7FDC8E49">
      <w:pPr>
        <w:overflowPunct w:val="0"/>
        <w:spacing w:line="579" w:lineRule="exact"/>
        <w:ind w:firstLine="643" w:firstLineChars="200"/>
        <w:rPr>
          <w:szCs w:val="32"/>
        </w:rPr>
      </w:pPr>
      <w:r>
        <w:rPr>
          <w:rFonts w:hint="eastAsia"/>
          <w:b/>
          <w:bCs/>
          <w:szCs w:val="32"/>
        </w:rPr>
        <w:t>健全完善公共服务体系。</w:t>
      </w:r>
      <w:r>
        <w:rPr>
          <w:rFonts w:hint="eastAsia" w:cs="宋体"/>
          <w:szCs w:val="32"/>
        </w:rPr>
        <w:t>推进教育基础设施建设，城口育才中学主体工程完工，</w:t>
      </w:r>
      <w:r>
        <w:rPr>
          <w:rFonts w:hint="eastAsia"/>
          <w:szCs w:val="32"/>
        </w:rPr>
        <w:t>改扩建中小学2所、幼儿园1所</w:t>
      </w:r>
      <w:r>
        <w:rPr>
          <w:rFonts w:hint="eastAsia" w:cs="宋体"/>
          <w:szCs w:val="32"/>
        </w:rPr>
        <w:t>。</w:t>
      </w:r>
      <w:r>
        <w:rPr>
          <w:rFonts w:hint="eastAsia"/>
          <w:bCs/>
          <w:szCs w:val="32"/>
        </w:rPr>
        <w:t>开展集团化办学，形成优质校带薄弱校的城乡教育一体化格局，</w:t>
      </w:r>
      <w:r>
        <w:rPr>
          <w:rFonts w:hint="eastAsia" w:cs="仿宋"/>
          <w:szCs w:val="32"/>
        </w:rPr>
        <w:t>高考</w:t>
      </w:r>
      <w:r>
        <w:rPr>
          <w:rFonts w:cs="仿宋"/>
          <w:szCs w:val="32"/>
        </w:rPr>
        <w:t>大学录取率、本科上线率</w:t>
      </w:r>
      <w:r>
        <w:rPr>
          <w:rFonts w:hint="eastAsia" w:cs="仿宋"/>
          <w:szCs w:val="32"/>
        </w:rPr>
        <w:t>创历史新高，</w:t>
      </w:r>
      <w:r>
        <w:rPr>
          <w:rFonts w:hint="eastAsia"/>
          <w:szCs w:val="32"/>
        </w:rPr>
        <w:t>学前三年毛入园率达92%，普惠性幼儿园覆盖率稳定在100</w:t>
      </w:r>
      <w:r>
        <w:rPr>
          <w:szCs w:val="32"/>
        </w:rPr>
        <w:t>%</w:t>
      </w:r>
      <w:r>
        <w:rPr>
          <w:rFonts w:hint="eastAsia"/>
          <w:szCs w:val="32"/>
        </w:rPr>
        <w:t>。</w:t>
      </w:r>
      <w:r>
        <w:rPr>
          <w:szCs w:val="32"/>
        </w:rPr>
        <w:t>以总医院</w:t>
      </w:r>
      <w:r>
        <w:rPr>
          <w:rFonts w:hint="eastAsia"/>
          <w:szCs w:val="32"/>
        </w:rPr>
        <w:t>为抓手</w:t>
      </w:r>
      <w:r>
        <w:rPr>
          <w:szCs w:val="32"/>
        </w:rPr>
        <w:t>的医药卫生体制改革全面启动</w:t>
      </w:r>
      <w:r>
        <w:rPr>
          <w:rFonts w:hint="eastAsia"/>
          <w:szCs w:val="32"/>
        </w:rPr>
        <w:t>，成功</w:t>
      </w:r>
      <w:r>
        <w:rPr>
          <w:szCs w:val="32"/>
        </w:rPr>
        <w:t>申报市级重点专科</w:t>
      </w:r>
      <w:r>
        <w:rPr>
          <w:rFonts w:hint="eastAsia"/>
          <w:szCs w:val="32"/>
        </w:rPr>
        <w:t>1</w:t>
      </w:r>
      <w:r>
        <w:rPr>
          <w:szCs w:val="32"/>
        </w:rPr>
        <w:t>个，培育县级重点专科6个</w:t>
      </w:r>
      <w:r>
        <w:rPr>
          <w:rFonts w:hint="eastAsia"/>
          <w:szCs w:val="32"/>
        </w:rPr>
        <w:t>。迁改建乡镇卫生院2所，</w:t>
      </w:r>
      <w:r>
        <w:rPr>
          <w:szCs w:val="32"/>
        </w:rPr>
        <w:t>县人民医院住院综合楼</w:t>
      </w:r>
      <w:r>
        <w:rPr>
          <w:rFonts w:hint="eastAsia"/>
          <w:szCs w:val="32"/>
        </w:rPr>
        <w:t>建成，</w:t>
      </w:r>
      <w:r>
        <w:rPr>
          <w:szCs w:val="32"/>
        </w:rPr>
        <w:t>县妇幼保健院迁建</w:t>
      </w:r>
      <w:r>
        <w:rPr>
          <w:rFonts w:hint="eastAsia"/>
          <w:szCs w:val="32"/>
        </w:rPr>
        <w:t>工程完工。“一老一小”服务体系不断健全，现有县中心敬老院1个、片区中心敬老院5个，</w:t>
      </w:r>
      <w:r>
        <w:rPr>
          <w:szCs w:val="32"/>
        </w:rPr>
        <w:t>县人民医院、县中医医院设立老龄病科</w:t>
      </w:r>
      <w:r>
        <w:rPr>
          <w:rFonts w:hint="eastAsia"/>
          <w:szCs w:val="32"/>
        </w:rPr>
        <w:t>，</w:t>
      </w:r>
      <w:r>
        <w:rPr>
          <w:szCs w:val="32"/>
        </w:rPr>
        <w:t>现有</w:t>
      </w:r>
      <w:r>
        <w:rPr>
          <w:rFonts w:hint="eastAsia"/>
          <w:szCs w:val="32"/>
        </w:rPr>
        <w:t>托育机构6家、托位540个。完成公益性安葬设施专项规划，</w:t>
      </w:r>
      <w:r>
        <w:rPr>
          <w:szCs w:val="32"/>
        </w:rPr>
        <w:t>青龙山陵园</w:t>
      </w:r>
      <w:r>
        <w:rPr>
          <w:rFonts w:hint="eastAsia"/>
          <w:szCs w:val="32"/>
        </w:rPr>
        <w:t>工程形象进度达80%。</w:t>
      </w:r>
    </w:p>
    <w:p w14:paraId="5443D3CB">
      <w:pPr>
        <w:overflowPunct w:val="0"/>
        <w:spacing w:line="579" w:lineRule="exact"/>
        <w:ind w:firstLine="643" w:firstLineChars="200"/>
        <w:rPr>
          <w:szCs w:val="32"/>
        </w:rPr>
      </w:pPr>
      <w:r>
        <w:rPr>
          <w:rFonts w:hint="eastAsia"/>
          <w:b/>
          <w:bCs/>
          <w:szCs w:val="32"/>
        </w:rPr>
        <w:t>扎实做好基本民生保障。</w:t>
      </w:r>
      <w:r>
        <w:rPr>
          <w:rFonts w:hint="eastAsia" w:ascii="方正仿宋_GBK" w:hAnsi="方正仿宋_GBK" w:cs="方正仿宋_GBK"/>
          <w:szCs w:val="32"/>
        </w:rPr>
        <w:t>持续开展社会救助兜底保障，</w:t>
      </w:r>
      <w:r>
        <w:rPr>
          <w:rFonts w:hint="eastAsia"/>
          <w:szCs w:val="32"/>
        </w:rPr>
        <w:t>发放低保金6833.8万元、特困供养金2294.4万元、临时救助资金411.9万元，实现“应保尽保”“应养尽养”“应救尽救”。落实全民参保计划，基本养老保险、基本医疗保险参保率均在95%以上。充分整合公益项目和互联网慈善资源，全年累计募集资金400余万元，建立“渝康家园”14个，关爱救助困难群众1000余名。</w:t>
      </w:r>
      <w:r>
        <w:rPr>
          <w:rFonts w:hint="eastAsia"/>
          <w:szCs w:val="32"/>
          <w:lang w:val="zh-CN"/>
        </w:rPr>
        <w:t>完成困难重度残疾人家庭无障碍改造</w:t>
      </w:r>
      <w:r>
        <w:rPr>
          <w:szCs w:val="32"/>
          <w:lang w:val="zh-CN"/>
        </w:rPr>
        <w:t>73</w:t>
      </w:r>
      <w:r>
        <w:rPr>
          <w:rFonts w:hint="eastAsia"/>
          <w:szCs w:val="32"/>
          <w:lang w:val="zh-CN"/>
        </w:rPr>
        <w:t>户，</w:t>
      </w:r>
      <w:r>
        <w:rPr>
          <w:rFonts w:hint="eastAsia"/>
          <w:szCs w:val="32"/>
        </w:rPr>
        <w:t>创建市级</w:t>
      </w:r>
      <w:r>
        <w:rPr>
          <w:szCs w:val="32"/>
        </w:rPr>
        <w:t>残疾人家庭无障碍改造示范村社5个</w:t>
      </w:r>
      <w:r>
        <w:rPr>
          <w:rFonts w:hint="eastAsia"/>
          <w:szCs w:val="32"/>
        </w:rPr>
        <w:t>，残疾儿童康复中心建成开放。</w:t>
      </w:r>
      <w:r>
        <w:rPr>
          <w:color w:val="000000"/>
          <w:kern w:val="2"/>
          <w:szCs w:val="32"/>
        </w:rPr>
        <w:t>分类保障孤儿、事实无人抚养儿童等困境未成年人，累计发放补助186.8万元。落实资助政策，兑现困难学生资助2748万元</w:t>
      </w:r>
      <w:r>
        <w:rPr>
          <w:rFonts w:hint="eastAsia"/>
          <w:color w:val="000000"/>
          <w:kern w:val="2"/>
          <w:szCs w:val="32"/>
        </w:rPr>
        <w:t>，</w:t>
      </w:r>
      <w:r>
        <w:rPr>
          <w:color w:val="000000"/>
          <w:kern w:val="2"/>
          <w:szCs w:val="32"/>
        </w:rPr>
        <w:t>办理大学生生源地助学贷款3958.</w:t>
      </w:r>
      <w:r>
        <w:rPr>
          <w:rFonts w:hint="eastAsia"/>
          <w:color w:val="000000"/>
          <w:kern w:val="2"/>
          <w:szCs w:val="32"/>
        </w:rPr>
        <w:t>7</w:t>
      </w:r>
      <w:r>
        <w:rPr>
          <w:color w:val="000000"/>
          <w:kern w:val="2"/>
          <w:szCs w:val="32"/>
        </w:rPr>
        <w:t>万元，受益大学生人数及额度双创历史新高</w:t>
      </w:r>
      <w:r>
        <w:rPr>
          <w:rFonts w:hint="eastAsia"/>
          <w:color w:val="000000"/>
          <w:kern w:val="2"/>
          <w:szCs w:val="32"/>
        </w:rPr>
        <w:t>。</w:t>
      </w:r>
    </w:p>
    <w:p w14:paraId="3B56EC0B">
      <w:pPr>
        <w:overflowPunct w:val="0"/>
        <w:spacing w:line="579" w:lineRule="exact"/>
        <w:ind w:firstLine="643" w:firstLineChars="200"/>
        <w:rPr>
          <w:szCs w:val="32"/>
        </w:rPr>
      </w:pPr>
      <w:r>
        <w:rPr>
          <w:rFonts w:hint="eastAsia"/>
          <w:b/>
          <w:bCs/>
          <w:szCs w:val="32"/>
        </w:rPr>
        <w:t>平安城口建设全面加强。</w:t>
      </w:r>
      <w:r>
        <w:rPr>
          <w:rFonts w:hint="eastAsia"/>
          <w:szCs w:val="32"/>
        </w:rPr>
        <w:t>成功争取国家隐性债务风险化解试点，深入实施债券违约、非法集资等多领域金融风险专项治理。推进“根治欠薪”工作，</w:t>
      </w:r>
      <w:r>
        <w:rPr>
          <w:szCs w:val="32"/>
        </w:rPr>
        <w:t>为2698名劳动者追发工资4309万元。</w:t>
      </w:r>
      <w:r>
        <w:rPr>
          <w:rFonts w:hint="eastAsia"/>
          <w:szCs w:val="32"/>
        </w:rPr>
        <w:t>高效推动“保交楼”，完成名豪广场、碧桂园2083户</w:t>
      </w:r>
      <w:r>
        <w:rPr>
          <w:rFonts w:hint="eastAsia"/>
          <w:szCs w:val="32"/>
          <w:lang w:bidi="zh-CN"/>
        </w:rPr>
        <w:t>25.5万平方米房屋</w:t>
      </w:r>
      <w:r>
        <w:rPr>
          <w:rFonts w:hint="eastAsia"/>
          <w:szCs w:val="32"/>
        </w:rPr>
        <w:t>交付，</w:t>
      </w:r>
      <w:r>
        <w:rPr>
          <w:rFonts w:hint="eastAsia"/>
          <w:szCs w:val="32"/>
          <w:lang w:bidi="zh-CN"/>
        </w:rPr>
        <w:t>在全市率先完成“保交楼”任务</w:t>
      </w:r>
      <w:r>
        <w:rPr>
          <w:rFonts w:hint="eastAsia"/>
          <w:szCs w:val="32"/>
        </w:rPr>
        <w:t>。开展矛盾纠纷“大排查大起底大化解”专项行动，排查化解矛盾纠纷2068起，到市进京非访滋事事件“零发生”。持续强化巡逻防控，严厉打击违法犯罪，刑事案件发案率下降24%、破案率52%，治安案件下降36.8%，电诈发案全市降幅最大、入室盗窃破案率全市最高，实现命案“零”发生。推进重大事故隐患专项排查整治，完成自建房排查整治，加强自然灾害防治，连续14年无较大及以上安全生产事故发生，连续4年无因灾伤亡事件发生，群众安全感、满意度指数均保持在99%以上。</w:t>
      </w:r>
    </w:p>
    <w:p w14:paraId="6F252084">
      <w:pPr>
        <w:pStyle w:val="9"/>
        <w:overflowPunct w:val="0"/>
        <w:spacing w:after="0" w:line="579" w:lineRule="exact"/>
        <w:ind w:firstLine="640" w:firstLineChars="200"/>
      </w:pPr>
      <w:r>
        <w:rPr>
          <w:rFonts w:hint="eastAsia"/>
          <w:szCs w:val="32"/>
        </w:rPr>
        <w:t>受宏观环境以及疫情平稳转段恢复阵痛期影响，全县经济社会发展受到较大冲击，有效需求不足、社会预期偏弱，主要经济指标在承压中实现阶梯式增长，这是全县上下共同努力的结果。县十八届人大三次会议审议批准的37项计划指标中，6项为约束性指标，全部完成年度任务；31项为预期性指标，其中22项指标达到预期，地区生产总值、农业增加值、一般公共预算收入等9项指标低于预期。（具体完成情况详见附件1）</w:t>
      </w:r>
    </w:p>
    <w:p w14:paraId="4D43E4AE">
      <w:pPr>
        <w:overflowPunct w:val="0"/>
        <w:spacing w:line="579" w:lineRule="exact"/>
        <w:ind w:firstLine="640" w:firstLineChars="200"/>
        <w:rPr>
          <w:szCs w:val="32"/>
        </w:rPr>
      </w:pPr>
      <w:r>
        <w:rPr>
          <w:rFonts w:hint="eastAsia"/>
          <w:szCs w:val="32"/>
        </w:rPr>
        <w:t>2023年全县续建53个重点项目，新开工61个重点项目，完成固定资产投资约44.5亿元，同比增长8%。政府工作报告强调的重点工作领域中，基础设施、生态环保、产业发展、乡村振兴、产业招商引资、房地产六个板块项目，分别完成投资27.3亿元、5.1亿元、2.2亿元、1.6亿元、6.7亿元、1.5亿元，分别占年度计划的61%、12%、5%、4%、15%、3%。分投资来源看，政府投资项目79个，完成投资31.6亿元、占年度计划的71%；社会投资项目24个，完成投资12.8亿元、占年度计划的29%。</w:t>
      </w:r>
    </w:p>
    <w:p w14:paraId="367561E4">
      <w:pPr>
        <w:overflowPunct w:val="0"/>
        <w:spacing w:line="579" w:lineRule="exact"/>
        <w:ind w:firstLine="640" w:firstLineChars="200"/>
        <w:rPr>
          <w:rFonts w:eastAsia="方正黑体_GBK" w:cs="方正黑体_GBK"/>
          <w:szCs w:val="32"/>
        </w:rPr>
      </w:pPr>
      <w:r>
        <w:rPr>
          <w:rFonts w:hint="eastAsia" w:eastAsia="方正黑体_GBK" w:cs="方正黑体_GBK"/>
          <w:szCs w:val="32"/>
        </w:rPr>
        <w:t>二、</w:t>
      </w:r>
      <w:r>
        <w:rPr>
          <w:rFonts w:eastAsia="方正黑体_GBK"/>
          <w:szCs w:val="32"/>
        </w:rPr>
        <w:t>2024</w:t>
      </w:r>
      <w:r>
        <w:rPr>
          <w:rFonts w:hint="eastAsia" w:eastAsia="方正黑体_GBK" w:cs="方正黑体_GBK"/>
          <w:szCs w:val="32"/>
        </w:rPr>
        <w:t>年国民经济和社会发展计划总体考虑</w:t>
      </w:r>
    </w:p>
    <w:p w14:paraId="4CF3A16D">
      <w:pPr>
        <w:overflowPunct w:val="0"/>
        <w:spacing w:line="579" w:lineRule="exact"/>
        <w:ind w:firstLine="640" w:firstLineChars="200"/>
        <w:rPr>
          <w:szCs w:val="32"/>
        </w:rPr>
      </w:pPr>
      <w:r>
        <w:rPr>
          <w:szCs w:val="32"/>
        </w:rPr>
        <w:t>202</w:t>
      </w:r>
      <w:r>
        <w:rPr>
          <w:rFonts w:hint="eastAsia"/>
          <w:szCs w:val="32"/>
        </w:rPr>
        <w:t>4</w:t>
      </w:r>
      <w:r>
        <w:rPr>
          <w:szCs w:val="32"/>
        </w:rPr>
        <w:t>年，是</w:t>
      </w:r>
      <w:r>
        <w:rPr>
          <w:rFonts w:hint="eastAsia"/>
          <w:szCs w:val="32"/>
        </w:rPr>
        <w:t>中华人民共和国</w:t>
      </w:r>
      <w:r>
        <w:rPr>
          <w:szCs w:val="32"/>
        </w:rPr>
        <w:t>成立75周年，</w:t>
      </w:r>
      <w:r>
        <w:rPr>
          <w:rFonts w:hint="eastAsia"/>
          <w:szCs w:val="32"/>
        </w:rPr>
        <w:t>也</w:t>
      </w:r>
      <w:r>
        <w:rPr>
          <w:szCs w:val="32"/>
        </w:rPr>
        <w:t>是</w:t>
      </w:r>
      <w:r>
        <w:rPr>
          <w:rFonts w:hint="eastAsia"/>
          <w:szCs w:val="32"/>
        </w:rPr>
        <w:t>“</w:t>
      </w:r>
      <w:r>
        <w:rPr>
          <w:szCs w:val="32"/>
        </w:rPr>
        <w:t>十四五</w:t>
      </w:r>
      <w:r>
        <w:rPr>
          <w:rFonts w:hint="eastAsia"/>
          <w:szCs w:val="32"/>
        </w:rPr>
        <w:t>”规划实施后半期</w:t>
      </w:r>
      <w:r>
        <w:rPr>
          <w:szCs w:val="32"/>
        </w:rPr>
        <w:t>的关键之年</w:t>
      </w:r>
      <w:r>
        <w:rPr>
          <w:rFonts w:hint="eastAsia"/>
          <w:szCs w:val="32"/>
        </w:rPr>
        <w:t>，更是“三县一城一枢纽”纵深推进的重要一年</w:t>
      </w:r>
      <w:r>
        <w:rPr>
          <w:szCs w:val="32"/>
        </w:rPr>
        <w:t>。要全面对标对表中央</w:t>
      </w:r>
      <w:r>
        <w:rPr>
          <w:rFonts w:hint="eastAsia"/>
          <w:szCs w:val="32"/>
        </w:rPr>
        <w:t>、市、县</w:t>
      </w:r>
      <w:r>
        <w:rPr>
          <w:szCs w:val="32"/>
        </w:rPr>
        <w:t>经济工作会议要求，结合</w:t>
      </w:r>
      <w:r>
        <w:rPr>
          <w:rFonts w:hint="eastAsia"/>
          <w:szCs w:val="32"/>
        </w:rPr>
        <w:t>城口</w:t>
      </w:r>
      <w:r>
        <w:rPr>
          <w:szCs w:val="32"/>
        </w:rPr>
        <w:t>实际，系统全面谋划，抓住关键环节，加快推动实现变革性实践、取得突破性进展、形成标志性成果。</w:t>
      </w:r>
    </w:p>
    <w:p w14:paraId="0BE0F8DA">
      <w:pPr>
        <w:overflowPunct w:val="0"/>
        <w:spacing w:line="579" w:lineRule="exact"/>
        <w:ind w:firstLine="640" w:firstLineChars="200"/>
        <w:rPr>
          <w:rFonts w:eastAsia="方正楷体_GBK" w:cs="方正楷体_GBK"/>
          <w:szCs w:val="32"/>
        </w:rPr>
      </w:pPr>
      <w:r>
        <w:rPr>
          <w:rFonts w:hint="eastAsia" w:eastAsia="方正楷体_GBK" w:cs="方正楷体_GBK"/>
          <w:szCs w:val="32"/>
        </w:rPr>
        <w:t>（一）宏观形势判断</w:t>
      </w:r>
    </w:p>
    <w:p w14:paraId="75854888">
      <w:pPr>
        <w:overflowPunct w:val="0"/>
        <w:spacing w:line="579" w:lineRule="exact"/>
        <w:ind w:firstLine="640" w:firstLineChars="200"/>
        <w:rPr>
          <w:szCs w:val="32"/>
        </w:rPr>
      </w:pPr>
      <w:r>
        <w:rPr>
          <w:rFonts w:hint="eastAsia"/>
          <w:szCs w:val="32"/>
        </w:rPr>
        <w:t>机遇和挑战并存，总体上机遇大于挑战。</w:t>
      </w:r>
      <w:r>
        <w:rPr>
          <w:rFonts w:hint="eastAsia"/>
          <w:b/>
          <w:bCs/>
          <w:szCs w:val="32"/>
        </w:rPr>
        <w:t>从全国看，</w:t>
      </w:r>
      <w:r>
        <w:rPr>
          <w:rFonts w:hint="eastAsia"/>
          <w:szCs w:val="32"/>
        </w:rPr>
        <w:t>全球经济不稳定不确定不平稳因素加大稳增长压力，在复杂的形势下，国家正在进行稳增长政策的预调微调，整个经济增长止跌趋温迹象越来越明显，随着经济的逐渐复苏和科技创新的推动，未来经济发展将迎来新的增长点和变化，经济形势逐渐稳固，经济预期出现好转。</w:t>
      </w:r>
      <w:r>
        <w:rPr>
          <w:rFonts w:hint="eastAsia"/>
          <w:b/>
          <w:bCs/>
          <w:szCs w:val="32"/>
        </w:rPr>
        <w:t>从全市看</w:t>
      </w:r>
      <w:r>
        <w:rPr>
          <w:rFonts w:hint="eastAsia"/>
          <w:szCs w:val="32"/>
        </w:rPr>
        <w:t>，重庆加快推动成渝地区双城经济圈建设、西部陆海新通道建设，持续深耕科技创新、先进制造、现代服务、民营经济等领域发展，强化政策“工具箱”和“组合拳”落地见效，随着“33618”现代制造业集群体系、科技创新生态、数字重庆逐渐成型，民营经济发展支持政策加快落地见效，全市经济活力将不断释放。</w:t>
      </w:r>
      <w:r>
        <w:rPr>
          <w:rFonts w:hint="eastAsia"/>
          <w:b/>
          <w:bCs/>
          <w:szCs w:val="32"/>
        </w:rPr>
        <w:t>从全县看，</w:t>
      </w:r>
      <w:r>
        <w:rPr>
          <w:rFonts w:hint="eastAsia"/>
          <w:szCs w:val="32"/>
        </w:rPr>
        <w:t>推动成渝地区双城经济圈建设、数字重庆建设为城口实现经济高质量发展注入强劲动力，国家乡村振兴重点帮扶县“一县一策”、“以县城为重要载体的城镇化建设”推动城口发展向前迈进，支持山区库区高质量发展、“小县大城”试点为城口带来新的发展机遇，突出的资源优势和一直以来坚持的绿色发展道路为城口带来可持续发展潜力。随着战略部署落地落实、政策措施加力显效、转型升级潜力释放、主体动力激能蓄势，必将形成新的经济增长点，全县经济将持续稳定回升向好。</w:t>
      </w:r>
    </w:p>
    <w:p w14:paraId="2C83A678">
      <w:pPr>
        <w:overflowPunct w:val="0"/>
        <w:spacing w:line="579" w:lineRule="exact"/>
        <w:ind w:firstLine="640" w:firstLineChars="200"/>
        <w:rPr>
          <w:rFonts w:eastAsia="方正楷体_GBK" w:cs="方正楷体_GBK"/>
          <w:szCs w:val="32"/>
        </w:rPr>
      </w:pPr>
      <w:r>
        <w:rPr>
          <w:rFonts w:hint="eastAsia" w:eastAsia="方正楷体_GBK" w:cs="方正楷体_GBK"/>
          <w:szCs w:val="32"/>
        </w:rPr>
        <w:t>（二）总体要求</w:t>
      </w:r>
    </w:p>
    <w:p w14:paraId="5E84F034">
      <w:pPr>
        <w:overflowPunct w:val="0"/>
        <w:spacing w:line="579"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坚持以习近平新时代中国特色社会主义思想为指导，全面贯彻党的二十大、二十届二中全会和中央经济工作会议精神，全面落实市委六届二次、三次、四次全会和市委经济工作会议部署，认真落实县委十四届历次全会和县委经济工作会议安排，坚持稳中求进、以进促稳、先立后破，完整、准确、全面贯彻新发展理念，积极服务和融入新发展格局，着力推动高质量发展，突出稳进增效、除险固安、改革突破、惠民强企工作导向，全面深化改革开放，统筹扩大内需和深化供给侧结构性改革，统筹新型城镇化和乡村全面振兴，统筹高质量发展和高水平安全，全面落实国家重大战略，以科技创新引领现代化产业体系建设，切实增强经济活力、防范化解风险、改善社会预期，巩固和增强经济回升向好态势，持续推动经济实现质的有效提升和量的合理增长，加快建设“三县一城一枢纽”，努力在秦巴山区强县富民现代化建设中展现新担当新作为。</w:t>
      </w:r>
    </w:p>
    <w:p w14:paraId="11D541E3">
      <w:pPr>
        <w:overflowPunct w:val="0"/>
        <w:spacing w:line="579" w:lineRule="exact"/>
        <w:ind w:firstLine="640" w:firstLineChars="200"/>
        <w:rPr>
          <w:rFonts w:eastAsia="方正楷体_GBK" w:cs="方正楷体_GBK"/>
          <w:szCs w:val="32"/>
        </w:rPr>
      </w:pPr>
      <w:r>
        <w:rPr>
          <w:rFonts w:hint="eastAsia" w:eastAsia="方正楷体_GBK" w:cs="方正楷体_GBK"/>
          <w:szCs w:val="32"/>
        </w:rPr>
        <w:t>（三）主要发展目标</w:t>
      </w:r>
    </w:p>
    <w:p w14:paraId="6FE35F73">
      <w:pPr>
        <w:overflowPunct w:val="0"/>
        <w:spacing w:line="550" w:lineRule="exact"/>
        <w:ind w:firstLine="640" w:firstLineChars="200"/>
        <w:rPr>
          <w:szCs w:val="32"/>
        </w:rPr>
      </w:pPr>
      <w:r>
        <w:rPr>
          <w:rFonts w:hint="eastAsia"/>
          <w:szCs w:val="32"/>
        </w:rPr>
        <w:t>立足新时代、锚定新目标、对标新要求，综合分析2024年宏观经济形势和政策取向，结合我县经济增长支撑因素和潜在水平，2024年全县经济社会发展的主要预期目标为：地区生产总值增长6.5%，规上工业增加值增长15%，固定资产投资增长8%，社会消费品零售总额增长7%，一般公共预算收入增长7%，全体居民人均可支配收入增长6.5%，农村居民人均可支配收入增长7.5%，节能减排降碳等约束性指标完成市级下达的任务。（具体情况详见附件2）</w:t>
      </w:r>
    </w:p>
    <w:p w14:paraId="6ABDCAE7">
      <w:pPr>
        <w:overflowPunct w:val="0"/>
        <w:spacing w:line="550" w:lineRule="exact"/>
        <w:ind w:firstLine="640" w:firstLineChars="200"/>
        <w:rPr>
          <w:rFonts w:eastAsia="方正楷体_GBK" w:cs="方正楷体_GBK"/>
          <w:szCs w:val="32"/>
        </w:rPr>
      </w:pPr>
      <w:r>
        <w:rPr>
          <w:rFonts w:hint="eastAsia" w:eastAsia="方正楷体_GBK" w:cs="方正楷体_GBK"/>
          <w:szCs w:val="32"/>
        </w:rPr>
        <w:t>（四）重大项目安排</w:t>
      </w:r>
    </w:p>
    <w:p w14:paraId="4606AB42">
      <w:pPr>
        <w:overflowPunct w:val="0"/>
        <w:spacing w:line="550" w:lineRule="exact"/>
        <w:ind w:firstLine="640" w:firstLineChars="200"/>
        <w:rPr>
          <w:szCs w:val="32"/>
        </w:rPr>
      </w:pPr>
      <w:r>
        <w:rPr>
          <w:rFonts w:hint="eastAsia"/>
          <w:szCs w:val="32"/>
        </w:rPr>
        <w:t>2024年，我县重点围绕成渝双城经济圈建设等国家战略布局，紧盯国家、市级支持的重点领域和政策投向，紧扣“三县一城一枢纽”发展目标，谋划县级重点项目135个，总投资235.93亿元，2024年计划完成投资48亿元。其中，国有投资项目90个，总投资74.4亿元，占总投资额的31.5%，2024年计划完成投资25.57亿元，占年度计划的53.1%；社会投资项目45个，总投资161.52亿元，占总投资额的68.5%，2024年计划完成投资22.53亿元，占年度计划的46.9%。按行业领域分，基础设施项目65个，总投资60.38亿元，2024年计划完成投资19亿元；生态环保项目9个，总投资4.51亿元，2024年计划完成投资2.31亿元；产业发展项目4个，总投资6.42亿元，2024年计划完成投资亿元2.5亿元；乡村振兴项目12个，总投资3.1亿元，2024年计划完成投资1.77亿元；产业招商引资项目44个，总投资158.52亿元，2024年计划完成投资20.6亿元；房地产项目1个，总投资3亿元，2024年计划完成投资2亿元。</w:t>
      </w:r>
    </w:p>
    <w:p w14:paraId="0FF893D0">
      <w:pPr>
        <w:overflowPunct w:val="0"/>
        <w:spacing w:line="579" w:lineRule="exact"/>
        <w:ind w:firstLine="640" w:firstLineChars="200"/>
        <w:rPr>
          <w:rFonts w:eastAsia="方正黑体_GBK" w:cs="方正黑体_GBK"/>
          <w:szCs w:val="32"/>
        </w:rPr>
      </w:pPr>
      <w:r>
        <w:rPr>
          <w:rFonts w:hint="eastAsia" w:eastAsia="方正黑体_GBK" w:cs="方正黑体_GBK"/>
          <w:szCs w:val="32"/>
        </w:rPr>
        <w:t>三、</w:t>
      </w:r>
      <w:r>
        <w:rPr>
          <w:rFonts w:eastAsia="方正黑体_GBK"/>
          <w:szCs w:val="32"/>
        </w:rPr>
        <w:t>2024</w:t>
      </w:r>
      <w:r>
        <w:rPr>
          <w:rFonts w:hint="eastAsia" w:eastAsia="方正黑体_GBK" w:cs="方正黑体_GBK"/>
          <w:szCs w:val="32"/>
        </w:rPr>
        <w:t>年实现国民经济和社会发展计划的重点工作</w:t>
      </w:r>
    </w:p>
    <w:p w14:paraId="10BA36A2">
      <w:pPr>
        <w:overflowPunct w:val="0"/>
        <w:spacing w:line="579" w:lineRule="exact"/>
        <w:ind w:firstLine="640" w:firstLineChars="200"/>
        <w:rPr>
          <w:szCs w:val="32"/>
        </w:rPr>
      </w:pPr>
      <w:r>
        <w:rPr>
          <w:rFonts w:hint="eastAsia"/>
          <w:szCs w:val="32"/>
        </w:rPr>
        <w:t>为确保全县国民经济和社会发展达到预期目标，2024年必须坚持把推动高质量发展作为首要任务，全面融入成渝地区双城经济圈建设，不折不扣落实好各项目标任务，确保经济运行在合理区间。</w:t>
      </w:r>
    </w:p>
    <w:p w14:paraId="46BFE4EC">
      <w:pPr>
        <w:overflowPunct w:val="0"/>
        <w:spacing w:line="579" w:lineRule="exact"/>
        <w:ind w:firstLine="608" w:firstLineChars="200"/>
        <w:rPr>
          <w:color w:val="000000"/>
          <w:kern w:val="2"/>
          <w:szCs w:val="32"/>
        </w:rPr>
      </w:pPr>
      <w:bookmarkStart w:id="0" w:name="_Toc766753809"/>
      <w:bookmarkStart w:id="1" w:name="_Toc1227925570"/>
      <w:bookmarkStart w:id="2" w:name="_Toc14752"/>
      <w:bookmarkStart w:id="3" w:name="_Toc21681"/>
      <w:bookmarkStart w:id="4" w:name="_Toc25935"/>
      <w:bookmarkStart w:id="5" w:name="_Toc10076"/>
      <w:bookmarkStart w:id="6" w:name="_Toc20496"/>
      <w:r>
        <w:rPr>
          <w:rFonts w:hint="eastAsia" w:eastAsia="方正楷体_GBK" w:cs="方正楷体_GBK"/>
          <w:w w:val="95"/>
          <w:szCs w:val="32"/>
        </w:rPr>
        <w:t>（一）</w:t>
      </w:r>
      <w:r>
        <w:rPr>
          <w:rFonts w:hint="eastAsia" w:eastAsia="方正楷体_GBK" w:cs="方正楷体_GBK"/>
          <w:w w:val="95"/>
          <w:szCs w:val="40"/>
        </w:rPr>
        <w:t>坚持抓好“一号工程”，推动成渝地区双城经济圈建设。</w:t>
      </w:r>
      <w:r>
        <w:rPr>
          <w:rFonts w:hint="eastAsia"/>
          <w:color w:val="000000"/>
          <w:kern w:val="2"/>
          <w:szCs w:val="32"/>
        </w:rPr>
        <w:t>按照市委“一号工程”和全市工作总抓手总牵引的决策部署，加快实施“十项行动”，迭代升级“四张清单”，推进城宣万革命老区振兴发展示范区建设，力争取得突破性进展。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185E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7E3CB98E">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1</w:t>
            </w:r>
            <w:r>
              <w:rPr>
                <w:rFonts w:eastAsia="方正黑体_GBK"/>
                <w:color w:val="000000"/>
                <w:sz w:val="28"/>
                <w:szCs w:val="28"/>
              </w:rPr>
              <w:t>：</w:t>
            </w:r>
            <w:r>
              <w:rPr>
                <w:rFonts w:hint="eastAsia" w:eastAsia="方正黑体_GBK"/>
                <w:color w:val="000000"/>
                <w:sz w:val="28"/>
                <w:szCs w:val="28"/>
              </w:rPr>
              <w:t>2024年推动成渝地区双城经济圈建设</w:t>
            </w:r>
            <w:r>
              <w:rPr>
                <w:rFonts w:eastAsia="方正黑体_GBK"/>
                <w:color w:val="000000"/>
                <w:sz w:val="28"/>
                <w:szCs w:val="28"/>
              </w:rPr>
              <w:t>重点</w:t>
            </w:r>
            <w:r>
              <w:rPr>
                <w:rFonts w:hint="eastAsia" w:eastAsia="方正黑体_GBK"/>
                <w:color w:val="000000"/>
                <w:sz w:val="28"/>
                <w:szCs w:val="28"/>
              </w:rPr>
              <w:t>事项</w:t>
            </w:r>
          </w:p>
        </w:tc>
      </w:tr>
      <w:tr w14:paraId="6B69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0C0EB1D9">
            <w:pPr>
              <w:overflowPunct w:val="0"/>
              <w:spacing w:line="360" w:lineRule="exact"/>
              <w:ind w:firstLine="482" w:firstLineChars="200"/>
              <w:rPr>
                <w:sz w:val="24"/>
                <w:szCs w:val="32"/>
              </w:rPr>
            </w:pPr>
            <w:r>
              <w:rPr>
                <w:rFonts w:hint="eastAsia"/>
                <w:b/>
                <w:bCs/>
                <w:sz w:val="24"/>
                <w:szCs w:val="32"/>
              </w:rPr>
              <w:t>集中力量办好自己的事。</w:t>
            </w:r>
            <w:r>
              <w:rPr>
                <w:rFonts w:hint="eastAsia"/>
                <w:sz w:val="24"/>
                <w:szCs w:val="32"/>
              </w:rPr>
              <w:t>全力推动城市提升能级、建设现代基础设施网络、构建现代化产业体系、加快科技创新中心建设、打造文旅消费目的地、推进生态优先绿色发展、推动重点领域改革、实施更高水平开放、推动城乡融合区域协调发展、实施高品质生活惠民富民“十项行动”共43项重点任务落地落实，迭代升级重大项目、重大政策、重大改革、重大平台等“四张清单”，力争取得更多突破性进展、标志性成果。</w:t>
            </w:r>
          </w:p>
          <w:p w14:paraId="2D6D8264">
            <w:pPr>
              <w:overflowPunct w:val="0"/>
              <w:spacing w:line="360" w:lineRule="exact"/>
              <w:ind w:firstLine="482" w:firstLineChars="200"/>
              <w:rPr>
                <w:sz w:val="24"/>
                <w:szCs w:val="32"/>
              </w:rPr>
            </w:pPr>
            <w:r>
              <w:rPr>
                <w:rFonts w:hint="eastAsia"/>
                <w:b/>
                <w:bCs/>
                <w:sz w:val="24"/>
                <w:szCs w:val="32"/>
              </w:rPr>
              <w:t>齐心协力办好合作的事。</w:t>
            </w:r>
            <w:r>
              <w:rPr>
                <w:rFonts w:hint="eastAsia"/>
                <w:sz w:val="24"/>
                <w:szCs w:val="32"/>
              </w:rPr>
              <w:t>以城宣万革命老区振兴发展示范区建设、九龙坡对口协同为抓手，推进协同合作。引导商业综合体、优质品牌商家开展联动，共建文化旅游消费市场。深化政务服务“川渝通办”，推动两地政务数据资源共享共用，持续完善公共服务事项跨域通办联通机制。深化生态环境保护协作，持续开展生态环境执法联动协作机制、执法信息交流等活动。联动万源共同争取纳入丹江口库区上游地区对口协作范围，万源至城口天然气长输管道实现供气。协同推进教育高质量发展、医疗卫生服务合作，促进资源优势互补。推动与九龙坡区土地、资金、人才等资源要素协同高效配置，积极探索对口协同发展成本共担、收益共享机制。</w:t>
            </w:r>
          </w:p>
          <w:p w14:paraId="1C96C8D6">
            <w:pPr>
              <w:overflowPunct w:val="0"/>
              <w:spacing w:line="360" w:lineRule="exact"/>
              <w:ind w:firstLine="482" w:firstLineChars="200"/>
            </w:pPr>
            <w:r>
              <w:rPr>
                <w:rFonts w:hint="eastAsia"/>
                <w:b/>
                <w:bCs/>
                <w:sz w:val="24"/>
                <w:szCs w:val="32"/>
              </w:rPr>
              <w:t>保障双城经济圈工作高效运行。</w:t>
            </w:r>
            <w:r>
              <w:rPr>
                <w:rFonts w:hint="eastAsia"/>
                <w:sz w:val="24"/>
                <w:szCs w:val="32"/>
              </w:rPr>
              <w:t>完善向上争取机制，滚动建立对接争取政策包、项目库，推动更多事项纳入国家盘子。建全“赛马比拼”机制，常态化推进“八张问题清单”“八张报表”“五项机制”，推动重大部署落地落实。完善市级、县级重点项目开工、在建、前期“三张清单”，协调解决项目前期、招商引资、要素供给等方面卡点难点问题，挂图作战、倒排工期，保障一批重大项目顺利落地、加快实施，保障一批重大改革顺利推进、快出效果。</w:t>
            </w:r>
          </w:p>
        </w:tc>
      </w:tr>
    </w:tbl>
    <w:p w14:paraId="4A3934C0">
      <w:pPr>
        <w:overflowPunct w:val="0"/>
        <w:spacing w:line="579" w:lineRule="exact"/>
        <w:ind w:firstLine="640" w:firstLineChars="200"/>
        <w:rPr>
          <w:kern w:val="2"/>
          <w:szCs w:val="32"/>
        </w:rPr>
      </w:pPr>
      <w:r>
        <w:rPr>
          <w:rFonts w:hint="eastAsia" w:eastAsia="方正楷体_GBK" w:cs="方正楷体_GBK"/>
          <w:szCs w:val="32"/>
        </w:rPr>
        <w:t>（二）坚持扩大有效需求，推动经济循环体系加快形成。</w:t>
      </w:r>
      <w:r>
        <w:rPr>
          <w:rFonts w:hint="eastAsia"/>
          <w:kern w:val="2"/>
          <w:szCs w:val="32"/>
        </w:rPr>
        <w:t>以扩大内需为战略基点，增强消费的基础性作用，提高投资的战略性作用，形成需求牵引供给、供给创造需求的动态平衡，为经济社会平稳健康发展提供强劲动力和坚实支撑。</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2C1A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78BD098A">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2</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经济建设</w:t>
            </w:r>
            <w:r>
              <w:rPr>
                <w:rFonts w:eastAsia="方正黑体_GBK"/>
                <w:color w:val="000000"/>
                <w:sz w:val="28"/>
                <w:szCs w:val="28"/>
              </w:rPr>
              <w:t>重点</w:t>
            </w:r>
            <w:r>
              <w:rPr>
                <w:rFonts w:hint="eastAsia" w:eastAsia="方正黑体_GBK"/>
                <w:color w:val="000000"/>
                <w:sz w:val="28"/>
                <w:szCs w:val="28"/>
              </w:rPr>
              <w:t>事项</w:t>
            </w:r>
          </w:p>
        </w:tc>
      </w:tr>
      <w:tr w14:paraId="2DE3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48BA0EF8">
            <w:pPr>
              <w:overflowPunct w:val="0"/>
              <w:spacing w:line="360" w:lineRule="exact"/>
              <w:ind w:firstLine="482" w:firstLineChars="200"/>
              <w:rPr>
                <w:sz w:val="24"/>
                <w:szCs w:val="32"/>
              </w:rPr>
            </w:pPr>
            <w:r>
              <w:rPr>
                <w:rFonts w:hint="eastAsia"/>
                <w:b/>
                <w:bCs/>
                <w:sz w:val="24"/>
                <w:szCs w:val="32"/>
              </w:rPr>
              <w:t>拓展有效投资空间。</w:t>
            </w:r>
            <w:r>
              <w:rPr>
                <w:rFonts w:hint="eastAsia"/>
                <w:sz w:val="24"/>
                <w:szCs w:val="32"/>
              </w:rPr>
              <w:t>持续开展“抓项目扩投资”专项行动，聚焦基础设施、农业农村、生态环保、民生保障等短板弱项，实施重大项目135个，固定资产投资增长8%。加强要素保障</w:t>
            </w:r>
            <w:r>
              <w:rPr>
                <w:sz w:val="24"/>
              </w:rPr>
              <w:t>，全年争取中央预算内投资</w:t>
            </w:r>
            <w:r>
              <w:rPr>
                <w:rFonts w:hint="eastAsia"/>
                <w:sz w:val="24"/>
              </w:rPr>
              <w:t>5</w:t>
            </w:r>
            <w:r>
              <w:rPr>
                <w:sz w:val="24"/>
              </w:rPr>
              <w:t>亿元</w:t>
            </w:r>
            <w:r>
              <w:rPr>
                <w:rFonts w:hint="eastAsia"/>
                <w:sz w:val="24"/>
              </w:rPr>
              <w:t>、</w:t>
            </w:r>
            <w:r>
              <w:rPr>
                <w:sz w:val="24"/>
              </w:rPr>
              <w:t>地方政府专项债</w:t>
            </w:r>
            <w:r>
              <w:rPr>
                <w:rFonts w:hint="eastAsia"/>
                <w:sz w:val="24"/>
              </w:rPr>
              <w:t>10</w:t>
            </w:r>
            <w:r>
              <w:rPr>
                <w:sz w:val="24"/>
              </w:rPr>
              <w:t>亿元、</w:t>
            </w:r>
            <w:r>
              <w:rPr>
                <w:rFonts w:hint="eastAsia"/>
                <w:sz w:val="24"/>
              </w:rPr>
              <w:t>特别国债5亿元</w:t>
            </w:r>
            <w:r>
              <w:rPr>
                <w:sz w:val="24"/>
              </w:rPr>
              <w:t>，向上争取资金</w:t>
            </w:r>
            <w:r>
              <w:rPr>
                <w:rFonts w:hint="eastAsia"/>
                <w:sz w:val="24"/>
              </w:rPr>
              <w:t>40</w:t>
            </w:r>
            <w:r>
              <w:rPr>
                <w:sz w:val="24"/>
              </w:rPr>
              <w:t>亿元。完成征地拆迁700亩，开展低效用地盘活整治试点。</w:t>
            </w:r>
            <w:r>
              <w:rPr>
                <w:rFonts w:hint="eastAsia"/>
                <w:sz w:val="24"/>
                <w:szCs w:val="32"/>
              </w:rPr>
              <w:t>深化投融资体制改革</w:t>
            </w:r>
            <w:r>
              <w:rPr>
                <w:sz w:val="24"/>
                <w:szCs w:val="32"/>
              </w:rPr>
              <w:t>，拓宽项目融资渠道，鼓励和引导更多社会资本投入项目建设</w:t>
            </w:r>
            <w:r>
              <w:rPr>
                <w:rFonts w:hint="eastAsia"/>
                <w:sz w:val="24"/>
                <w:szCs w:val="32"/>
              </w:rPr>
              <w:t>，力争民间投资增长10%以上</w:t>
            </w:r>
            <w:r>
              <w:rPr>
                <w:sz w:val="24"/>
                <w:szCs w:val="32"/>
              </w:rPr>
              <w:t>。建立招商产业图谱、企业图谱、项目图谱，</w:t>
            </w:r>
            <w:r>
              <w:rPr>
                <w:rFonts w:hint="eastAsia"/>
                <w:sz w:val="24"/>
                <w:szCs w:val="32"/>
              </w:rPr>
              <w:t>紧盯主导产业、数字产业、战略性新兴产业，新引进亿元级以上项目10个、20亿元级以上项目1个。完善招商引资“四个一批”动态台账，细化项目清单，</w:t>
            </w:r>
            <w:r>
              <w:rPr>
                <w:sz w:val="24"/>
              </w:rPr>
              <w:t>协议引资55亿元，到位资金12亿元</w:t>
            </w:r>
            <w:r>
              <w:rPr>
                <w:rFonts w:hint="eastAsia"/>
                <w:sz w:val="24"/>
              </w:rPr>
              <w:t>，新签约项目开工率达到55%</w:t>
            </w:r>
            <w:r>
              <w:rPr>
                <w:rFonts w:hint="eastAsia"/>
                <w:sz w:val="24"/>
                <w:szCs w:val="32"/>
              </w:rPr>
              <w:t>。</w:t>
            </w:r>
          </w:p>
          <w:p w14:paraId="5179BF69">
            <w:pPr>
              <w:overflowPunct w:val="0"/>
              <w:spacing w:line="360" w:lineRule="exact"/>
              <w:ind w:firstLine="482" w:firstLineChars="200"/>
              <w:rPr>
                <w:b/>
                <w:bCs/>
                <w:sz w:val="24"/>
                <w:szCs w:val="32"/>
              </w:rPr>
            </w:pPr>
            <w:r>
              <w:rPr>
                <w:rFonts w:hint="eastAsia"/>
                <w:b/>
                <w:bCs/>
                <w:sz w:val="24"/>
                <w:szCs w:val="32"/>
              </w:rPr>
              <w:t>提升消费供给质量。</w:t>
            </w:r>
            <w:r>
              <w:rPr>
                <w:rFonts w:hint="eastAsia"/>
                <w:sz w:val="24"/>
                <w:szCs w:val="32"/>
              </w:rPr>
              <w:t>提质升级消费平台，投用大巴山假日酒店，完善土城老街功能和业态，打造河街夜市经济带，名豪商文旅综合体招商入驻率达到50%。提档升级城区商业设施，序时推进乡镇商贸中心等县域商业项目，补齐县域商业基础设施短板。优化消费供给，指导商贸企业用好用活大巴山森林人家融资担保基金等金融产品，提升餐饮、住宿业运营管理和服务水平。提质“中国大巴山原生态美食之乡”品牌</w:t>
            </w:r>
            <w:r>
              <w:rPr>
                <w:sz w:val="24"/>
                <w:szCs w:val="32"/>
              </w:rPr>
              <w:t>，培育巴山原乡美食和中国药膳地标城市体验店</w:t>
            </w:r>
            <w:r>
              <w:rPr>
                <w:rFonts w:hint="eastAsia"/>
                <w:sz w:val="24"/>
                <w:szCs w:val="32"/>
              </w:rPr>
              <w:t>，</w:t>
            </w:r>
            <w:r>
              <w:rPr>
                <w:sz w:val="24"/>
                <w:szCs w:val="32"/>
              </w:rPr>
              <w:t>举办第三届美食文化暨直播电商节和第二届城口老腊肉年货节，加大消费券发放力度</w:t>
            </w:r>
            <w:r>
              <w:rPr>
                <w:rFonts w:hint="eastAsia"/>
                <w:sz w:val="24"/>
                <w:szCs w:val="32"/>
              </w:rPr>
              <w:t>，电商销售额增长10%，</w:t>
            </w:r>
            <w:r>
              <w:rPr>
                <w:sz w:val="24"/>
                <w:szCs w:val="32"/>
              </w:rPr>
              <w:t>社会消费品零售总额增速</w:t>
            </w:r>
            <w:r>
              <w:rPr>
                <w:rFonts w:hint="eastAsia"/>
                <w:sz w:val="24"/>
                <w:szCs w:val="32"/>
              </w:rPr>
              <w:t>7</w:t>
            </w:r>
            <w:r>
              <w:rPr>
                <w:sz w:val="24"/>
                <w:szCs w:val="32"/>
              </w:rPr>
              <w:t>%。</w:t>
            </w:r>
            <w:r>
              <w:rPr>
                <w:rFonts w:hint="eastAsia"/>
                <w:sz w:val="24"/>
                <w:szCs w:val="32"/>
              </w:rPr>
              <w:t>推进国家消费帮扶产地示范区创建工作。</w:t>
            </w:r>
            <w:r>
              <w:rPr>
                <w:kern w:val="2"/>
                <w:sz w:val="24"/>
              </w:rPr>
              <w:t>积极推进扩大外贸</w:t>
            </w:r>
            <w:r>
              <w:rPr>
                <w:rFonts w:hint="eastAsia"/>
                <w:kern w:val="2"/>
                <w:sz w:val="24"/>
              </w:rPr>
              <w:t>出口，</w:t>
            </w:r>
            <w:r>
              <w:rPr>
                <w:rFonts w:hint="eastAsia"/>
                <w:kern w:val="2"/>
                <w:sz w:val="24"/>
                <w:lang w:val="zh-CN"/>
              </w:rPr>
              <w:t>培育进出口企业</w:t>
            </w:r>
            <w:r>
              <w:rPr>
                <w:rFonts w:hint="eastAsia"/>
                <w:kern w:val="2"/>
                <w:sz w:val="24"/>
              </w:rPr>
              <w:t>1</w:t>
            </w:r>
            <w:r>
              <w:rPr>
                <w:rFonts w:hint="eastAsia"/>
                <w:kern w:val="2"/>
                <w:sz w:val="24"/>
                <w:lang w:val="zh-CN"/>
              </w:rPr>
              <w:t>家，</w:t>
            </w:r>
            <w:r>
              <w:rPr>
                <w:rFonts w:hint="eastAsia"/>
                <w:sz w:val="24"/>
                <w:szCs w:val="32"/>
              </w:rPr>
              <w:t>推动城口老腊肉、香菇等农特产品和传统工艺品出口。</w:t>
            </w:r>
          </w:p>
          <w:p w14:paraId="061B3303">
            <w:pPr>
              <w:overflowPunct w:val="0"/>
              <w:spacing w:line="360" w:lineRule="exact"/>
              <w:ind w:firstLine="482" w:firstLineChars="200"/>
            </w:pPr>
            <w:r>
              <w:rPr>
                <w:rFonts w:hint="eastAsia"/>
                <w:b/>
                <w:bCs/>
                <w:sz w:val="24"/>
                <w:szCs w:val="32"/>
              </w:rPr>
              <w:t>持续加强企业培育。</w:t>
            </w:r>
            <w:r>
              <w:rPr>
                <w:rFonts w:hint="eastAsia"/>
                <w:sz w:val="24"/>
                <w:szCs w:val="32"/>
              </w:rPr>
              <w:t>坚持“两个毫不动摇”，出台支持民营经济政策举措，</w:t>
            </w:r>
            <w:r>
              <w:rPr>
                <w:sz w:val="24"/>
                <w:szCs w:val="32"/>
              </w:rPr>
              <w:t>全面落实助企纾困一揽子措施，</w:t>
            </w:r>
            <w:r>
              <w:rPr>
                <w:rFonts w:hint="eastAsia"/>
                <w:sz w:val="24"/>
                <w:szCs w:val="32"/>
              </w:rPr>
              <w:t>落实企业服务专员制度，减轻企业各类负担1.5亿元，民营经济占GDP比重提升到52%。</w:t>
            </w:r>
            <w:r>
              <w:rPr>
                <w:sz w:val="24"/>
                <w:szCs w:val="32"/>
              </w:rPr>
              <w:t>优化资源和服务供给，着力解决市场准入、信贷融资、人才要素等问题，保护</w:t>
            </w:r>
            <w:r>
              <w:rPr>
                <w:rFonts w:hint="eastAsia"/>
                <w:sz w:val="24"/>
                <w:szCs w:val="32"/>
              </w:rPr>
              <w:t>市场</w:t>
            </w:r>
            <w:r>
              <w:rPr>
                <w:sz w:val="24"/>
                <w:szCs w:val="32"/>
              </w:rPr>
              <w:t>公平竞争。</w:t>
            </w:r>
            <w:r>
              <w:rPr>
                <w:rFonts w:hint="eastAsia"/>
                <w:sz w:val="24"/>
                <w:szCs w:val="32"/>
              </w:rPr>
              <w:t>实施中小企业梯队成长培育计划，配套出台扶持政策，</w:t>
            </w:r>
            <w:r>
              <w:rPr>
                <w:sz w:val="24"/>
                <w:szCs w:val="32"/>
              </w:rPr>
              <w:t>培育规上工业企业</w:t>
            </w:r>
            <w:r>
              <w:rPr>
                <w:rFonts w:hint="eastAsia"/>
                <w:sz w:val="24"/>
                <w:szCs w:val="32"/>
              </w:rPr>
              <w:t>7</w:t>
            </w:r>
            <w:r>
              <w:rPr>
                <w:sz w:val="24"/>
                <w:szCs w:val="32"/>
              </w:rPr>
              <w:t>家、规上服务业企业</w:t>
            </w:r>
            <w:r>
              <w:rPr>
                <w:rFonts w:hint="eastAsia"/>
                <w:sz w:val="24"/>
                <w:szCs w:val="32"/>
              </w:rPr>
              <w:t>3</w:t>
            </w:r>
            <w:r>
              <w:rPr>
                <w:sz w:val="24"/>
                <w:szCs w:val="32"/>
              </w:rPr>
              <w:t>家、限上商贸企业</w:t>
            </w:r>
            <w:r>
              <w:rPr>
                <w:rFonts w:hint="eastAsia"/>
                <w:sz w:val="24"/>
                <w:szCs w:val="32"/>
              </w:rPr>
              <w:t>3</w:t>
            </w:r>
            <w:r>
              <w:rPr>
                <w:sz w:val="24"/>
                <w:szCs w:val="32"/>
              </w:rPr>
              <w:t>家、资质等级建筑业企业</w:t>
            </w:r>
            <w:r>
              <w:rPr>
                <w:rFonts w:hint="eastAsia"/>
                <w:sz w:val="24"/>
                <w:szCs w:val="32"/>
              </w:rPr>
              <w:t>2</w:t>
            </w:r>
            <w:r>
              <w:rPr>
                <w:sz w:val="24"/>
                <w:szCs w:val="32"/>
              </w:rPr>
              <w:t>家、</w:t>
            </w:r>
            <w:r>
              <w:rPr>
                <w:rFonts w:hint="eastAsia"/>
                <w:sz w:val="24"/>
                <w:szCs w:val="32"/>
              </w:rPr>
              <w:t>“</w:t>
            </w:r>
            <w:r>
              <w:rPr>
                <w:sz w:val="24"/>
                <w:szCs w:val="32"/>
              </w:rPr>
              <w:t>专精特新</w:t>
            </w:r>
            <w:r>
              <w:rPr>
                <w:rFonts w:hint="eastAsia"/>
                <w:sz w:val="24"/>
                <w:szCs w:val="32"/>
              </w:rPr>
              <w:t>”</w:t>
            </w:r>
            <w:r>
              <w:rPr>
                <w:sz w:val="24"/>
                <w:szCs w:val="32"/>
              </w:rPr>
              <w:t>企业</w:t>
            </w:r>
            <w:r>
              <w:rPr>
                <w:rFonts w:hint="eastAsia"/>
                <w:sz w:val="24"/>
                <w:szCs w:val="32"/>
              </w:rPr>
              <w:t>3</w:t>
            </w:r>
            <w:r>
              <w:rPr>
                <w:sz w:val="24"/>
                <w:szCs w:val="32"/>
              </w:rPr>
              <w:t>家。</w:t>
            </w:r>
          </w:p>
        </w:tc>
      </w:tr>
    </w:tbl>
    <w:p w14:paraId="1D878E69">
      <w:pPr>
        <w:overflowPunct w:val="0"/>
        <w:spacing w:line="579" w:lineRule="exact"/>
        <w:ind w:firstLine="640" w:firstLineChars="200"/>
        <w:rPr>
          <w:kern w:val="2"/>
          <w:szCs w:val="32"/>
        </w:rPr>
      </w:pPr>
      <w:r>
        <w:rPr>
          <w:rFonts w:hint="eastAsia" w:eastAsia="方正楷体_GBK" w:cs="方正楷体_GBK"/>
          <w:szCs w:val="32"/>
        </w:rPr>
        <w:t>（三）</w:t>
      </w:r>
      <w:r>
        <w:rPr>
          <w:rFonts w:hint="eastAsia" w:eastAsia="方正楷体_GBK" w:cs="方正楷体_GBK"/>
          <w:kern w:val="2"/>
        </w:rPr>
        <w:t>坚持强基础补短板，推动基础设施加快建设。</w:t>
      </w:r>
      <w:r>
        <w:rPr>
          <w:rFonts w:hint="eastAsia"/>
          <w:kern w:val="2"/>
          <w:szCs w:val="32"/>
        </w:rPr>
        <w:t>聚焦补齐基础设施短板，统筹推进交通、能源、水利和新型基础设施建设，完善公共设施，</w:t>
      </w:r>
      <w:r>
        <w:rPr>
          <w:rFonts w:hint="eastAsia" w:cs="方正仿宋_GBK"/>
          <w:kern w:val="2"/>
          <w:szCs w:val="32"/>
        </w:rPr>
        <w:t>加快建设渝川陕毗邻区县综合交通枢纽</w:t>
      </w:r>
      <w:r>
        <w:rPr>
          <w:rFonts w:hint="eastAsia"/>
          <w:kern w:val="2"/>
          <w:szCs w:val="32"/>
        </w:rPr>
        <w:t>，为高质量发展提供有力支撑。</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6DCA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189E99CE">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3</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基础设施建设</w:t>
            </w:r>
            <w:r>
              <w:rPr>
                <w:rFonts w:eastAsia="方正黑体_GBK"/>
                <w:color w:val="000000"/>
                <w:sz w:val="28"/>
                <w:szCs w:val="28"/>
              </w:rPr>
              <w:t>重点</w:t>
            </w:r>
            <w:r>
              <w:rPr>
                <w:rFonts w:hint="eastAsia" w:eastAsia="方正黑体_GBK"/>
                <w:color w:val="000000"/>
                <w:sz w:val="28"/>
                <w:szCs w:val="28"/>
              </w:rPr>
              <w:t>事项</w:t>
            </w:r>
          </w:p>
        </w:tc>
      </w:tr>
      <w:tr w14:paraId="0750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6BF3575C">
            <w:pPr>
              <w:overflowPunct w:val="0"/>
              <w:spacing w:line="360" w:lineRule="exact"/>
              <w:ind w:firstLine="482" w:firstLineChars="200"/>
              <w:rPr>
                <w:sz w:val="24"/>
              </w:rPr>
            </w:pPr>
            <w:r>
              <w:rPr>
                <w:rFonts w:hint="eastAsia"/>
                <w:b/>
                <w:bCs/>
                <w:sz w:val="24"/>
              </w:rPr>
              <w:t>持续优化交通路网。</w:t>
            </w:r>
            <w:r>
              <w:rPr>
                <w:rFonts w:hint="eastAsia"/>
                <w:sz w:val="24"/>
              </w:rPr>
              <w:t>加快打通对外交通“大动脉”，</w:t>
            </w:r>
            <w:r>
              <w:rPr>
                <w:rFonts w:hint="eastAsia"/>
                <w:sz w:val="24"/>
                <w:lang w:val="zh-CN"/>
              </w:rPr>
              <w:t>推进G69银百高速大巴山隧道建设，</w:t>
            </w:r>
            <w:r>
              <w:rPr>
                <w:rFonts w:hint="eastAsia"/>
                <w:sz w:val="24"/>
              </w:rPr>
              <w:t>做好西渝高铁城口段地方协建工作</w:t>
            </w:r>
            <w:r>
              <w:rPr>
                <w:rFonts w:hint="eastAsia"/>
                <w:sz w:val="24"/>
                <w:lang w:val="zh-CN"/>
              </w:rPr>
              <w:t>，争取城宣大邻、城万高速公路进入国高网。</w:t>
            </w:r>
            <w:r>
              <w:rPr>
                <w:rFonts w:hint="eastAsia"/>
                <w:sz w:val="24"/>
              </w:rPr>
              <w:t>持续畅通内部交通“微循环”，推进G651县城至亢谷原级改造项目提级论证等有关工作，完成咸宜场镇至返水坪道路升级改造（二期）、</w:t>
            </w:r>
            <w:r>
              <w:rPr>
                <w:rFonts w:hint="eastAsia"/>
                <w:sz w:val="24"/>
                <w:lang w:val="zh-CN"/>
              </w:rPr>
              <w:t>G211燕子河至通渝隧道改造工程等</w:t>
            </w:r>
            <w:r>
              <w:rPr>
                <w:rFonts w:hint="eastAsia"/>
                <w:sz w:val="24"/>
              </w:rPr>
              <w:t>4个</w:t>
            </w:r>
            <w:r>
              <w:rPr>
                <w:rFonts w:hint="eastAsia"/>
                <w:sz w:val="24"/>
                <w:lang w:val="zh-CN"/>
              </w:rPr>
              <w:t>续建项目，开工S301城万快速通道县城至八台山路面大修工程、S501修齐至岚天道路升级改造工程、东安至朝阳公路改建工程等</w:t>
            </w:r>
            <w:r>
              <w:rPr>
                <w:rFonts w:hint="eastAsia"/>
                <w:sz w:val="24"/>
              </w:rPr>
              <w:t>12个</w:t>
            </w:r>
            <w:r>
              <w:rPr>
                <w:rFonts w:hint="eastAsia"/>
                <w:sz w:val="24"/>
                <w:lang w:val="zh-CN"/>
              </w:rPr>
              <w:t>新建项目。</w:t>
            </w:r>
          </w:p>
          <w:p w14:paraId="24A73171">
            <w:pPr>
              <w:overflowPunct w:val="0"/>
              <w:spacing w:line="360" w:lineRule="exact"/>
              <w:ind w:firstLine="482" w:firstLineChars="200"/>
              <w:rPr>
                <w:sz w:val="24"/>
                <w:lang w:val="zh-CN"/>
              </w:rPr>
            </w:pPr>
            <w:r>
              <w:rPr>
                <w:rFonts w:hint="eastAsia"/>
                <w:b/>
                <w:bCs/>
                <w:sz w:val="24"/>
              </w:rPr>
              <w:t>完善水利、能源基础设施。</w:t>
            </w:r>
            <w:r>
              <w:rPr>
                <w:rFonts w:hint="eastAsia"/>
                <w:sz w:val="24"/>
                <w:lang w:val="zh-CN"/>
              </w:rPr>
              <w:t>推进重大水利工程建设，完成水网规划编制，实施水利高质量发展三年行动。推进骨干水源工程建设，建成投用松柏水库，完成丰收水库前期，启动明通水库、高望水库前期工作。推动城市配电网项目建设，建设明通牵引站及龙洞湾牵引站。加快推进中广核四期10万千瓦风电、风光储一体化项目建设，开工国家能源集团10万千瓦风电、三峡集团10万千瓦风电、中广核月亮坪风电项目，清洁能源总装机规模达到75万千瓦、产值突破4亿元。全面做好城口至开州220千伏输电线路地方协调配合工作，力争尽早开工建设。</w:t>
            </w:r>
          </w:p>
          <w:p w14:paraId="1A11F74E">
            <w:pPr>
              <w:overflowPunct w:val="0"/>
              <w:spacing w:line="360" w:lineRule="exact"/>
              <w:ind w:firstLine="482" w:firstLineChars="200"/>
            </w:pPr>
            <w:r>
              <w:rPr>
                <w:rFonts w:hint="eastAsia"/>
                <w:b/>
                <w:bCs/>
                <w:sz w:val="24"/>
              </w:rPr>
              <w:t>推进</w:t>
            </w:r>
            <w:r>
              <w:rPr>
                <w:rFonts w:hint="eastAsia"/>
                <w:b/>
                <w:bCs/>
                <w:sz w:val="24"/>
                <w:lang w:val="zh-CN"/>
              </w:rPr>
              <w:t>新型基础设施。</w:t>
            </w:r>
            <w:r>
              <w:rPr>
                <w:rFonts w:hint="eastAsia"/>
                <w:sz w:val="24"/>
                <w:lang w:val="zh-CN"/>
              </w:rPr>
              <w:t>夯实数字基础设施，实现高速率网络城乡全覆盖，宽带用户普及率达到90%以上。加快实施千兆光纤等信息化项目，加大5G规模组网力度，新建5G基站</w:t>
            </w:r>
            <w:r>
              <w:rPr>
                <w:rFonts w:hint="eastAsia"/>
                <w:sz w:val="24"/>
              </w:rPr>
              <w:t>60</w:t>
            </w:r>
            <w:r>
              <w:rPr>
                <w:rFonts w:hint="eastAsia"/>
                <w:sz w:val="24"/>
                <w:lang w:val="zh-CN"/>
              </w:rPr>
              <w:t>个、光纤网络300皮长公里，实现乡镇场镇、高速公路沿线等重点区域5G网络全覆盖，行政村5G网络通达率达到80%。持续开展电信普遍服务试点，改扩建</w:t>
            </w:r>
            <w:r>
              <w:rPr>
                <w:rFonts w:hint="eastAsia"/>
                <w:sz w:val="24"/>
              </w:rPr>
              <w:t>一批</w:t>
            </w:r>
            <w:r>
              <w:rPr>
                <w:rFonts w:hint="eastAsia"/>
                <w:sz w:val="24"/>
                <w:lang w:val="zh-CN"/>
              </w:rPr>
              <w:t>4G基站。推进老城片区燃气等管网及配套设施更新改造项目建设，开工坪坝至巴山天然气管道工程，实施燃气管网更新改造项目2个，新建燃气管网190公里，新增天然气用户1000户。</w:t>
            </w:r>
          </w:p>
        </w:tc>
      </w:tr>
    </w:tbl>
    <w:p w14:paraId="14C0EACD">
      <w:pPr>
        <w:overflowPunct w:val="0"/>
        <w:spacing w:line="579" w:lineRule="exact"/>
        <w:ind w:firstLine="640" w:firstLineChars="200"/>
        <w:rPr>
          <w:szCs w:val="32"/>
        </w:rPr>
      </w:pPr>
      <w:r>
        <w:rPr>
          <w:rFonts w:hint="eastAsia" w:eastAsia="方正楷体_GBK" w:cs="方正楷体_GBK"/>
          <w:szCs w:val="32"/>
        </w:rPr>
        <w:t>（四）</w:t>
      </w:r>
      <w:r>
        <w:rPr>
          <w:rFonts w:hint="eastAsia" w:eastAsia="方正楷体_GBK" w:cs="方正楷体_GBK"/>
          <w:kern w:val="2"/>
        </w:rPr>
        <w:t>坚持践行“两山”理念，推动绿色发展再创佳绩。</w:t>
      </w:r>
      <w:r>
        <w:rPr>
          <w:rFonts w:hint="eastAsia"/>
          <w:szCs w:val="32"/>
        </w:rPr>
        <w:t>对标落实“美丽中国”战略任务和重大举措，牢固树立和践行绿水青山就是金山银山的理念，进一步推动长江经济带高质量发展，加快建设生态优先绿色发展示范县。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7FE5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09E7B43D">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4</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生态优先绿色发展</w:t>
            </w:r>
            <w:r>
              <w:rPr>
                <w:rFonts w:eastAsia="方正黑体_GBK"/>
                <w:color w:val="000000"/>
                <w:sz w:val="28"/>
                <w:szCs w:val="28"/>
              </w:rPr>
              <w:t>重点</w:t>
            </w:r>
            <w:r>
              <w:rPr>
                <w:rFonts w:hint="eastAsia" w:eastAsia="方正黑体_GBK"/>
                <w:color w:val="000000"/>
                <w:sz w:val="28"/>
                <w:szCs w:val="28"/>
              </w:rPr>
              <w:t>事项</w:t>
            </w:r>
          </w:p>
        </w:tc>
      </w:tr>
      <w:tr w14:paraId="6A2E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4694A21D">
            <w:pPr>
              <w:overflowPunct w:val="0"/>
              <w:spacing w:line="360" w:lineRule="exact"/>
              <w:ind w:firstLine="482" w:firstLineChars="200"/>
              <w:rPr>
                <w:sz w:val="24"/>
                <w:szCs w:val="32"/>
                <w:lang w:val="zh-CN"/>
              </w:rPr>
            </w:pPr>
            <w:r>
              <w:rPr>
                <w:rFonts w:hint="eastAsia"/>
                <w:b/>
                <w:bCs/>
                <w:sz w:val="24"/>
                <w:szCs w:val="32"/>
                <w:lang w:val="zh-CN"/>
              </w:rPr>
              <w:t>推进碳达峰碳中和。</w:t>
            </w:r>
            <w:r>
              <w:rPr>
                <w:rFonts w:hint="eastAsia"/>
                <w:sz w:val="24"/>
                <w:szCs w:val="32"/>
                <w:lang w:val="zh-CN"/>
              </w:rPr>
              <w:t>全面落实碳达峰碳中和实施意见、碳达峰实施方案等系列政策文件，严格落实“负面清单”制度，坚决遏制“两高一低”项目盲目发展，推进企业节能技改和落后产能淘汰，</w:t>
            </w:r>
            <w:r>
              <w:rPr>
                <w:rFonts w:hint="eastAsia"/>
                <w:sz w:val="24"/>
                <w:szCs w:val="32"/>
              </w:rPr>
              <w:t>单位地区生产总值综合能耗下降3.9</w:t>
            </w:r>
            <w:r>
              <w:rPr>
                <w:rFonts w:hint="eastAsia"/>
                <w:sz w:val="24"/>
                <w:szCs w:val="32"/>
                <w:lang w:val="zh-CN"/>
              </w:rPr>
              <w:t>%</w:t>
            </w:r>
            <w:r>
              <w:rPr>
                <w:rFonts w:hint="eastAsia"/>
                <w:sz w:val="24"/>
                <w:szCs w:val="32"/>
              </w:rPr>
              <w:t>。</w:t>
            </w:r>
            <w:r>
              <w:rPr>
                <w:rFonts w:hint="eastAsia"/>
                <w:sz w:val="24"/>
                <w:szCs w:val="32"/>
                <w:lang w:val="zh-CN"/>
              </w:rPr>
              <w:t>科学调整能源结构，加快充电桩等设施建设，</w:t>
            </w:r>
            <w:r>
              <w:rPr>
                <w:rFonts w:hint="eastAsia"/>
                <w:sz w:val="24"/>
                <w:szCs w:val="32"/>
              </w:rPr>
              <w:t>加快</w:t>
            </w:r>
            <w:r>
              <w:rPr>
                <w:rFonts w:hint="eastAsia"/>
                <w:sz w:val="24"/>
                <w:szCs w:val="32"/>
                <w:lang w:val="zh-CN"/>
              </w:rPr>
              <w:t>推进</w:t>
            </w:r>
            <w:r>
              <w:rPr>
                <w:sz w:val="24"/>
                <w:szCs w:val="32"/>
                <w:lang w:val="zh-CN"/>
              </w:rPr>
              <w:t>静脉产业园</w:t>
            </w:r>
            <w:r>
              <w:rPr>
                <w:rFonts w:hint="eastAsia"/>
                <w:sz w:val="24"/>
                <w:szCs w:val="32"/>
              </w:rPr>
              <w:t>等</w:t>
            </w:r>
            <w:r>
              <w:rPr>
                <w:rFonts w:hint="eastAsia"/>
                <w:sz w:val="24"/>
                <w:szCs w:val="32"/>
                <w:lang w:val="zh-CN"/>
              </w:rPr>
              <w:t>再生资源回收体系建设。</w:t>
            </w:r>
            <w:r>
              <w:rPr>
                <w:sz w:val="24"/>
                <w:szCs w:val="32"/>
                <w:lang w:val="zh-CN"/>
              </w:rPr>
              <w:t>大力发展绿色低碳建筑，</w:t>
            </w:r>
            <w:r>
              <w:rPr>
                <w:sz w:val="24"/>
                <w:szCs w:val="32"/>
              </w:rPr>
              <w:t>绿色建筑占比达</w:t>
            </w:r>
            <w:r>
              <w:rPr>
                <w:rFonts w:hint="eastAsia"/>
                <w:sz w:val="24"/>
                <w:szCs w:val="32"/>
              </w:rPr>
              <w:t>到60</w:t>
            </w:r>
            <w:r>
              <w:rPr>
                <w:sz w:val="24"/>
                <w:szCs w:val="32"/>
              </w:rPr>
              <w:t>%</w:t>
            </w:r>
            <w:r>
              <w:rPr>
                <w:rFonts w:hint="eastAsia"/>
                <w:sz w:val="24"/>
                <w:szCs w:val="32"/>
              </w:rPr>
              <w:t>以上</w:t>
            </w:r>
            <w:r>
              <w:rPr>
                <w:rFonts w:hint="eastAsia"/>
                <w:sz w:val="24"/>
                <w:szCs w:val="32"/>
                <w:lang w:val="zh-CN"/>
              </w:rPr>
              <w:t>。积极培育生态绿色文化，持续开展绿色家庭、</w:t>
            </w:r>
            <w:r>
              <w:rPr>
                <w:rFonts w:hint="eastAsia"/>
                <w:sz w:val="24"/>
                <w:szCs w:val="32"/>
              </w:rPr>
              <w:t>绿色校园、绿色机关等</w:t>
            </w:r>
            <w:r>
              <w:rPr>
                <w:rFonts w:hint="eastAsia"/>
                <w:sz w:val="24"/>
                <w:szCs w:val="32"/>
                <w:lang w:val="zh-CN"/>
              </w:rPr>
              <w:t>创建行动，加快形成衣食住行等领域绿色低碳生活新风尚。</w:t>
            </w:r>
            <w:r>
              <w:rPr>
                <w:rFonts w:hint="eastAsia"/>
                <w:sz w:val="24"/>
                <w:szCs w:val="32"/>
              </w:rPr>
              <w:t>持续</w:t>
            </w:r>
            <w:r>
              <w:rPr>
                <w:rFonts w:hint="eastAsia"/>
                <w:sz w:val="24"/>
                <w:szCs w:val="32"/>
                <w:lang w:val="zh-CN"/>
              </w:rPr>
              <w:t>实施林业碳汇项目，打通“绿水青山”转化为“金山银山”的实现路径。</w:t>
            </w:r>
          </w:p>
          <w:p w14:paraId="38A11B43">
            <w:pPr>
              <w:overflowPunct w:val="0"/>
              <w:spacing w:line="360" w:lineRule="exact"/>
              <w:ind w:firstLine="482" w:firstLineChars="200"/>
              <w:rPr>
                <w:sz w:val="24"/>
                <w:szCs w:val="32"/>
                <w:lang w:val="zh-CN"/>
              </w:rPr>
            </w:pPr>
            <w:r>
              <w:rPr>
                <w:rFonts w:hint="eastAsia"/>
                <w:b/>
                <w:bCs/>
                <w:sz w:val="24"/>
                <w:szCs w:val="32"/>
                <w:lang w:val="zh-CN"/>
              </w:rPr>
              <w:t>生态环境保护</w:t>
            </w:r>
            <w:r>
              <w:rPr>
                <w:rFonts w:hint="eastAsia"/>
                <w:b/>
                <w:bCs/>
                <w:sz w:val="24"/>
                <w:szCs w:val="32"/>
              </w:rPr>
              <w:t>修复</w:t>
            </w:r>
            <w:r>
              <w:rPr>
                <w:rFonts w:hint="eastAsia"/>
                <w:b/>
                <w:bCs/>
                <w:sz w:val="24"/>
                <w:szCs w:val="32"/>
                <w:lang w:val="zh-CN"/>
              </w:rPr>
              <w:t>。</w:t>
            </w:r>
            <w:r>
              <w:rPr>
                <w:rFonts w:hint="eastAsia"/>
                <w:sz w:val="24"/>
                <w:szCs w:val="32"/>
                <w:lang w:val="zh-CN"/>
              </w:rPr>
              <w:t>统筹山水林田湖草沙一体化保护和系统治理，深入推行“林长制”，持续开展国土绿化行动，实施森林改培抚育9万亩，完成营造林8万亩，实施大巴山南麓和嘉陵江流域生态修复项目，推进国家森林城市创建。加强林草资源保护，规范林木采伐管理，修建防火公路45公路、阻隔带163公里，森林火灾受害率控制在</w:t>
            </w:r>
            <w:r>
              <w:rPr>
                <w:rFonts w:hint="eastAsia"/>
                <w:sz w:val="24"/>
                <w:szCs w:val="32"/>
              </w:rPr>
              <w:t>0.3</w:t>
            </w:r>
            <w:r>
              <w:rPr>
                <w:sz w:val="24"/>
                <w:szCs w:val="32"/>
                <w:lang w:val="zh-CN"/>
              </w:rPr>
              <w:t>‰</w:t>
            </w:r>
            <w:r>
              <w:rPr>
                <w:rFonts w:hint="eastAsia"/>
                <w:sz w:val="24"/>
                <w:szCs w:val="32"/>
                <w:lang w:val="zh-CN"/>
              </w:rPr>
              <w:t>以下。加强重点流域、生态功能区、饮用水源地生态系统保护和修复，加快推进前河-旗杆山生态走廊生态产品价值实现等项目建设，不断提高生态支撑能力和水源涵养能力。持续开展水土流失综合治理，治理水土流失</w:t>
            </w:r>
            <w:r>
              <w:rPr>
                <w:rFonts w:hint="eastAsia"/>
                <w:sz w:val="24"/>
                <w:szCs w:val="32"/>
              </w:rPr>
              <w:t>140</w:t>
            </w:r>
            <w:r>
              <w:rPr>
                <w:rFonts w:hint="eastAsia"/>
                <w:sz w:val="24"/>
                <w:szCs w:val="32"/>
                <w:lang w:val="zh-CN"/>
              </w:rPr>
              <w:t>平方公里，创建国家水土保持示范工程。</w:t>
            </w:r>
            <w:r>
              <w:rPr>
                <w:sz w:val="24"/>
                <w:szCs w:val="32"/>
                <w:lang w:val="zh-CN"/>
              </w:rPr>
              <w:t>开展国土空间土地综合整治，强化重要水源地、人口密集场所周边地质灾害隐患点综合治理</w:t>
            </w:r>
            <w:r>
              <w:rPr>
                <w:rFonts w:hint="eastAsia"/>
                <w:sz w:val="24"/>
                <w:szCs w:val="32"/>
                <w:lang w:val="zh-CN"/>
              </w:rPr>
              <w:t>，启动275户搬迁避让，完成5处地质灾害点治理，地质灾害点智能化检测率达95%以上。</w:t>
            </w:r>
            <w:r>
              <w:rPr>
                <w:sz w:val="24"/>
                <w:szCs w:val="32"/>
                <w:lang w:val="zh-CN"/>
              </w:rPr>
              <w:t>开展矿山修复行动，建设绿色矿山2个</w:t>
            </w:r>
            <w:r>
              <w:rPr>
                <w:rFonts w:hint="eastAsia"/>
                <w:sz w:val="24"/>
                <w:szCs w:val="32"/>
                <w:lang w:val="zh-CN"/>
              </w:rPr>
              <w:t>。</w:t>
            </w:r>
          </w:p>
          <w:p w14:paraId="15E73116">
            <w:pPr>
              <w:overflowPunct w:val="0"/>
              <w:spacing w:line="360" w:lineRule="exact"/>
              <w:ind w:firstLine="482" w:firstLineChars="200"/>
            </w:pPr>
            <w:r>
              <w:rPr>
                <w:rFonts w:hint="eastAsia"/>
                <w:b/>
                <w:bCs/>
                <w:sz w:val="24"/>
                <w:szCs w:val="32"/>
                <w:lang w:val="zh-CN"/>
              </w:rPr>
              <w:t>打好污染防治攻坚战。</w:t>
            </w:r>
            <w:r>
              <w:rPr>
                <w:rFonts w:hint="eastAsia"/>
                <w:sz w:val="24"/>
                <w:szCs w:val="32"/>
                <w:lang w:val="zh-CN"/>
              </w:rPr>
              <w:t>紧盯污染防治重点领域和关键环节，打好蓝天、碧水、净土保卫战。加强大气污染治理，实施“四控两增”，深化工业废气、交通污染、扬尘和生活污染等重点领域管控，</w:t>
            </w:r>
            <w:r>
              <w:rPr>
                <w:rFonts w:hint="eastAsia"/>
                <w:sz w:val="24"/>
                <w:szCs w:val="32"/>
              </w:rPr>
              <w:t>城区</w:t>
            </w:r>
            <w:r>
              <w:rPr>
                <w:rFonts w:hint="eastAsia"/>
                <w:sz w:val="24"/>
                <w:szCs w:val="32"/>
                <w:lang w:val="zh-CN"/>
              </w:rPr>
              <w:t>空气优良天数保持在</w:t>
            </w:r>
            <w:r>
              <w:rPr>
                <w:rFonts w:hint="eastAsia"/>
                <w:sz w:val="24"/>
                <w:szCs w:val="32"/>
              </w:rPr>
              <w:t>360天</w:t>
            </w:r>
            <w:r>
              <w:rPr>
                <w:rFonts w:hint="eastAsia"/>
                <w:sz w:val="24"/>
                <w:szCs w:val="32"/>
                <w:lang w:val="zh-CN"/>
              </w:rPr>
              <w:t>以上。持续推进河湖长制，常态化开展“三排”“四乱”整治，综合整治河道47公里，有效提升污水“三率”，确保国考断面水质稳定在Ⅱ类标准及以上。推进城乡污水治理一体化，新改建城乡污水管网13公里，城市、农村污水管网缺陷率分别控制在5%、10%以内。加强土壤和固体废物管理，排查整治关闭矿山遗留固体废物，强化受污染耕地安全利用，确保全县农用地安全利用率保持在</w:t>
            </w:r>
            <w:r>
              <w:rPr>
                <w:rFonts w:hint="eastAsia"/>
                <w:sz w:val="24"/>
                <w:szCs w:val="32"/>
              </w:rPr>
              <w:t>100%</w:t>
            </w:r>
            <w:r>
              <w:rPr>
                <w:rFonts w:hint="eastAsia"/>
                <w:sz w:val="24"/>
                <w:szCs w:val="32"/>
                <w:lang w:val="zh-CN"/>
              </w:rPr>
              <w:t>。实施化肥农药减量增效行动，全面推广有机肥，农膜回收率达88%。加大交通、建筑施工等领域噪声污染防治，解决群众关心的突出噪声问题。</w:t>
            </w:r>
          </w:p>
        </w:tc>
      </w:tr>
    </w:tbl>
    <w:p w14:paraId="5103236C">
      <w:pPr>
        <w:overflowPunct w:val="0"/>
        <w:spacing w:line="579" w:lineRule="exact"/>
        <w:ind w:firstLine="640" w:firstLineChars="200"/>
        <w:rPr>
          <w:szCs w:val="32"/>
        </w:rPr>
      </w:pPr>
      <w:r>
        <w:rPr>
          <w:rFonts w:hint="eastAsia" w:eastAsia="方正楷体_GBK" w:cs="方正楷体_GBK"/>
          <w:szCs w:val="32"/>
        </w:rPr>
        <w:t>（五）</w:t>
      </w:r>
      <w:r>
        <w:rPr>
          <w:rFonts w:hint="eastAsia" w:eastAsia="方正楷体_GBK" w:cs="方正楷体_GBK"/>
          <w:szCs w:val="40"/>
        </w:rPr>
        <w:t>坚持提升产业能级，推动实体经济健康发展。</w:t>
      </w:r>
      <w:r>
        <w:rPr>
          <w:rFonts w:hint="eastAsia"/>
          <w:szCs w:val="32"/>
        </w:rPr>
        <w:t>把发展经济着力点放在实体经济，聚焦“1+3+N”现代制造业集群体系，以开发区为载体、项目为支撑、企业为主体，强化要素保障和配套服务，促进农业接二连三，工业转型升级，文旅康养、服务业产业化、多元化发展，加快建设农文旅融合发展示范县。</w:t>
      </w:r>
    </w:p>
    <w:tbl>
      <w:tblPr>
        <w:tblStyle w:val="16"/>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01EF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7D4ABD57">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5</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年产业发展重点</w:t>
            </w:r>
            <w:r>
              <w:rPr>
                <w:rFonts w:hint="eastAsia" w:eastAsia="方正黑体_GBK"/>
                <w:color w:val="000000"/>
                <w:sz w:val="28"/>
                <w:szCs w:val="28"/>
              </w:rPr>
              <w:t>事项</w:t>
            </w:r>
          </w:p>
        </w:tc>
      </w:tr>
      <w:tr w14:paraId="026E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53C741B6">
            <w:pPr>
              <w:overflowPunct w:val="0"/>
              <w:spacing w:line="340" w:lineRule="exact"/>
              <w:ind w:firstLine="482" w:firstLineChars="200"/>
              <w:rPr>
                <w:sz w:val="24"/>
                <w:lang w:val="zh-CN"/>
              </w:rPr>
            </w:pPr>
            <w:r>
              <w:rPr>
                <w:rFonts w:hint="eastAsia"/>
                <w:b/>
                <w:bCs/>
                <w:sz w:val="24"/>
              </w:rPr>
              <w:t>推动农业现代化提标增效。</w:t>
            </w:r>
            <w:r>
              <w:rPr>
                <w:rFonts w:hint="eastAsia"/>
                <w:sz w:val="24"/>
                <w:lang w:val="zh-CN"/>
              </w:rPr>
              <w:t>全力稳住粮食基本盘，新建和改造提升高标准农田1万亩，粮食播种面积稳定在37.7万亩、产量稳定在9.05万吨。</w:t>
            </w:r>
            <w:r>
              <w:rPr>
                <w:rFonts w:hint="eastAsia"/>
                <w:sz w:val="24"/>
              </w:rPr>
              <w:t>发展壮大主导产业，</w:t>
            </w:r>
            <w:r>
              <w:rPr>
                <w:rFonts w:hint="eastAsia"/>
                <w:sz w:val="24"/>
                <w:lang w:val="zh-CN"/>
              </w:rPr>
              <w:t>稳定生猪产量，建成投产腊肉等加工生产线，</w:t>
            </w:r>
            <w:r>
              <w:rPr>
                <w:rFonts w:hint="eastAsia"/>
                <w:sz w:val="24"/>
              </w:rPr>
              <w:t>丰富城口老腊肉“五大体系”，</w:t>
            </w:r>
            <w:r>
              <w:rPr>
                <w:rFonts w:hint="eastAsia"/>
                <w:sz w:val="24"/>
                <w:lang w:val="zh-CN"/>
              </w:rPr>
              <w:t>老腊肉年产量达到1.2万吨、产值突破12亿元；推进中药产业全产业链发展，新引进中药企业3家，新建中药材GAP基地2个，中药材加工产值达到8亿元。</w:t>
            </w:r>
            <w:r>
              <w:rPr>
                <w:rFonts w:hint="eastAsia"/>
                <w:sz w:val="24"/>
              </w:rPr>
              <w:t>聚焦</w:t>
            </w:r>
            <w:r>
              <w:rPr>
                <w:rFonts w:hint="eastAsia"/>
                <w:sz w:val="24"/>
                <w:lang w:val="zh-CN"/>
              </w:rPr>
              <w:t>山地鸡、食用菌、鸡鸣茶、核桃等特色产业，推进中辰菌鼎食用菌菌袋生产、鸡鸣茶全产业链发展等项目，提升特色产业市场化水平。创建国家农业产业强镇，培育市级及以上农业龙头企业2家，新增“两品一标一名牌”5个，农业增加值增长4.5%。</w:t>
            </w:r>
          </w:p>
          <w:p w14:paraId="5E15B03E">
            <w:pPr>
              <w:overflowPunct w:val="0"/>
              <w:spacing w:line="340" w:lineRule="exact"/>
              <w:ind w:firstLine="482" w:firstLineChars="200"/>
              <w:rPr>
                <w:sz w:val="24"/>
              </w:rPr>
            </w:pPr>
            <w:r>
              <w:rPr>
                <w:rFonts w:hint="eastAsia"/>
                <w:b/>
                <w:bCs/>
                <w:sz w:val="24"/>
              </w:rPr>
              <w:t>推动新型工业化提速增量。</w:t>
            </w:r>
            <w:r>
              <w:rPr>
                <w:rFonts w:hint="eastAsia"/>
                <w:sz w:val="24"/>
              </w:rPr>
              <w:t>紧盯行业头部企业开展招商合作，签约工业项目50亿元。全力打造中药材、城口老腊肉、绿色建材等产业为主的3个10亿级主导产业集群，全面推进预制菜、新材料等2个5亿级特色产业集群，加快建设坪坝农副食品加工园区和庙坝特色中药产业园。投产200万吨建筑骨料、100万方页岩陶粒、20万吨锰转型绿色建材等项目，绿色建材产值突破3亿元。做大钡粉、石油加重剂产能，提质发展高纯氯化钡加工，钡新材料产值突破3.5亿元</w:t>
            </w:r>
            <w:r>
              <w:rPr>
                <w:rFonts w:hint="eastAsia"/>
                <w:sz w:val="24"/>
                <w:lang w:val="zh-CN"/>
              </w:rPr>
              <w:t>。规上工业增加值</w:t>
            </w:r>
            <w:r>
              <w:rPr>
                <w:rFonts w:hint="eastAsia"/>
                <w:sz w:val="24"/>
              </w:rPr>
              <w:t>增长15%</w:t>
            </w:r>
            <w:r>
              <w:rPr>
                <w:rFonts w:hint="eastAsia"/>
                <w:sz w:val="24"/>
                <w:lang w:val="zh-CN"/>
              </w:rPr>
              <w:t>。</w:t>
            </w:r>
            <w:r>
              <w:rPr>
                <w:rFonts w:hint="eastAsia"/>
                <w:sz w:val="24"/>
              </w:rPr>
              <w:t>深入实施“上云用数赋智”行动，建成市级数字化车间1个，工业技改投资增长12%，数字经济增加值增长15%。推进</w:t>
            </w:r>
            <w:r>
              <w:rPr>
                <w:rFonts w:hint="eastAsia"/>
                <w:sz w:val="24"/>
                <w:lang w:val="zh-CN"/>
              </w:rPr>
              <w:t>“亩均论英雄”改革，建立健全亩均效益综合评价办法，</w:t>
            </w:r>
            <w:r>
              <w:rPr>
                <w:rFonts w:hint="eastAsia"/>
                <w:sz w:val="24"/>
              </w:rPr>
              <w:t>推进园区开发区和低效企业转型升级、提质增效。</w:t>
            </w:r>
          </w:p>
          <w:p w14:paraId="5A8467E1">
            <w:pPr>
              <w:overflowPunct w:val="0"/>
              <w:spacing w:line="340" w:lineRule="exact"/>
              <w:ind w:firstLine="482" w:firstLineChars="200"/>
              <w:rPr>
                <w:sz w:val="24"/>
                <w:lang w:val="zh-CN"/>
              </w:rPr>
            </w:pPr>
            <w:r>
              <w:rPr>
                <w:rFonts w:hint="eastAsia"/>
                <w:b/>
                <w:bCs/>
                <w:sz w:val="24"/>
              </w:rPr>
              <w:t>推动</w:t>
            </w:r>
            <w:r>
              <w:rPr>
                <w:rFonts w:hint="eastAsia"/>
                <w:b/>
                <w:bCs/>
                <w:sz w:val="24"/>
                <w:lang w:val="zh-CN"/>
              </w:rPr>
              <w:t>文旅康养产业</w:t>
            </w:r>
            <w:r>
              <w:rPr>
                <w:rFonts w:hint="eastAsia"/>
                <w:b/>
                <w:bCs/>
                <w:sz w:val="24"/>
              </w:rPr>
              <w:t>化发展。</w:t>
            </w:r>
            <w:r>
              <w:rPr>
                <w:rFonts w:hint="eastAsia"/>
                <w:sz w:val="24"/>
              </w:rPr>
              <w:t>开展全域旅游发展规划更新提升。启动国家级旅游度假区创建攻坚行动</w:t>
            </w:r>
            <w:r>
              <w:rPr>
                <w:rFonts w:hint="eastAsia"/>
                <w:sz w:val="24"/>
                <w:lang w:val="zh-CN"/>
              </w:rPr>
              <w:t>，实施亢家寨景区体验、亢谷松柏水库旅游综合开发</w:t>
            </w:r>
            <w:r>
              <w:rPr>
                <w:rFonts w:hint="eastAsia"/>
                <w:sz w:val="24"/>
              </w:rPr>
              <w:t>等</w:t>
            </w:r>
            <w:r>
              <w:rPr>
                <w:rFonts w:hint="eastAsia"/>
                <w:sz w:val="24"/>
                <w:lang w:val="zh-CN"/>
              </w:rPr>
              <w:t>项目，提升景区基础设施建设。加快推进中国西部智慧医养健康中心标杆、“开心原点”酒店</w:t>
            </w:r>
            <w:r>
              <w:rPr>
                <w:rFonts w:hint="eastAsia"/>
                <w:sz w:val="24"/>
              </w:rPr>
              <w:t>等</w:t>
            </w:r>
            <w:r>
              <w:rPr>
                <w:rFonts w:hint="eastAsia"/>
                <w:sz w:val="24"/>
                <w:lang w:val="zh-CN"/>
              </w:rPr>
              <w:t>项目建设，加大黄安坝冰雪</w:t>
            </w:r>
            <w:r>
              <w:rPr>
                <w:rFonts w:hint="eastAsia"/>
                <w:sz w:val="24"/>
              </w:rPr>
              <w:t>等</w:t>
            </w:r>
            <w:r>
              <w:rPr>
                <w:rFonts w:hint="eastAsia"/>
                <w:sz w:val="24"/>
                <w:lang w:val="zh-CN"/>
              </w:rPr>
              <w:t>项目招商力度，完成</w:t>
            </w:r>
            <w:r>
              <w:rPr>
                <w:rFonts w:hint="eastAsia"/>
                <w:sz w:val="24"/>
              </w:rPr>
              <w:t>文旅康养</w:t>
            </w:r>
            <w:r>
              <w:rPr>
                <w:rFonts w:hint="eastAsia"/>
                <w:sz w:val="24"/>
                <w:lang w:val="zh-CN"/>
              </w:rPr>
              <w:t>产业招商引资项目</w:t>
            </w:r>
            <w:r>
              <w:rPr>
                <w:rFonts w:hint="eastAsia"/>
                <w:sz w:val="24"/>
              </w:rPr>
              <w:t>2</w:t>
            </w:r>
            <w:r>
              <w:rPr>
                <w:rFonts w:hint="eastAsia"/>
                <w:sz w:val="24"/>
                <w:lang w:val="zh-CN"/>
              </w:rPr>
              <w:t>个、到位资金</w:t>
            </w:r>
            <w:r>
              <w:rPr>
                <w:rFonts w:hint="eastAsia"/>
                <w:sz w:val="24"/>
              </w:rPr>
              <w:t>0.5</w:t>
            </w:r>
            <w:r>
              <w:rPr>
                <w:rFonts w:hint="eastAsia"/>
                <w:sz w:val="24"/>
                <w:lang w:val="zh-CN"/>
              </w:rPr>
              <w:t>亿元</w:t>
            </w:r>
            <w:r>
              <w:rPr>
                <w:rFonts w:hint="eastAsia"/>
                <w:sz w:val="24"/>
              </w:rPr>
              <w:t>。</w:t>
            </w:r>
            <w:r>
              <w:rPr>
                <w:rFonts w:hint="eastAsia"/>
                <w:sz w:val="24"/>
                <w:lang w:val="zh-CN"/>
              </w:rPr>
              <w:t>创建国家3A级景区1个、A级景区村庄</w:t>
            </w:r>
            <w:r>
              <w:rPr>
                <w:rFonts w:hint="eastAsia"/>
                <w:sz w:val="24"/>
              </w:rPr>
              <w:t>2</w:t>
            </w:r>
            <w:r>
              <w:rPr>
                <w:rFonts w:hint="eastAsia"/>
                <w:sz w:val="24"/>
                <w:lang w:val="zh-CN"/>
              </w:rPr>
              <w:t>0个，申报全国乙级民宿2家、丙级名宿5家，新推出旅游</w:t>
            </w:r>
            <w:r>
              <w:rPr>
                <w:rFonts w:hint="eastAsia"/>
                <w:sz w:val="24"/>
              </w:rPr>
              <w:t>精品线路1条</w:t>
            </w:r>
            <w:r>
              <w:rPr>
                <w:rFonts w:hint="eastAsia"/>
                <w:sz w:val="24"/>
                <w:lang w:val="zh-CN"/>
              </w:rPr>
              <w:t>。</w:t>
            </w:r>
            <w:r>
              <w:rPr>
                <w:rFonts w:hint="eastAsia"/>
                <w:sz w:val="24"/>
              </w:rPr>
              <w:t>加强红色遗址遗迹保护开发，新建红色研学基地1个，建成综合训练基地。加快发展中医药保健服务业，打造集旅游、观光、医养、科研为一体的综合业态。开展消夏康养节、彩叶文化旅游节、自行车爬坡赛等系列活动100场次，游客接待量达到630万人次，旅游综合收入增长15%。</w:t>
            </w:r>
          </w:p>
          <w:p w14:paraId="39B03598">
            <w:pPr>
              <w:overflowPunct w:val="0"/>
              <w:spacing w:line="340" w:lineRule="exact"/>
              <w:ind w:firstLine="482" w:firstLineChars="200"/>
            </w:pPr>
            <w:r>
              <w:rPr>
                <w:rFonts w:hint="eastAsia"/>
                <w:b/>
                <w:bCs/>
                <w:kern w:val="2"/>
                <w:sz w:val="24"/>
              </w:rPr>
              <w:t>推动服务业多元化发展。</w:t>
            </w:r>
            <w:r>
              <w:rPr>
                <w:rFonts w:hint="eastAsia"/>
                <w:kern w:val="2"/>
                <w:sz w:val="24"/>
                <w:lang w:val="zh-CN"/>
              </w:rPr>
              <w:t>聚焦生产性服务业向专业化和价值链高端延伸，加快发展现代物流、金融服务、</w:t>
            </w:r>
            <w:r>
              <w:rPr>
                <w:rFonts w:hint="eastAsia"/>
                <w:kern w:val="2"/>
                <w:sz w:val="24"/>
              </w:rPr>
              <w:t>现代商贸和</w:t>
            </w:r>
            <w:r>
              <w:rPr>
                <w:rFonts w:hint="eastAsia"/>
                <w:kern w:val="2"/>
                <w:sz w:val="24"/>
                <w:lang w:val="zh-CN"/>
              </w:rPr>
              <w:t>健康养老服务业。按照“基建带通道、通道带物流、物流带经贸、经贸带产业”发展思路，依托G69银百高速，推进歇脚坡邮政邮件处理暨电商仓配中心、冷链配送中心等项目建设，加快</w:t>
            </w:r>
            <w:r>
              <w:rPr>
                <w:rFonts w:hint="eastAsia"/>
                <w:kern w:val="2"/>
                <w:sz w:val="24"/>
              </w:rPr>
              <w:t>建设</w:t>
            </w:r>
            <w:r>
              <w:rPr>
                <w:kern w:val="2"/>
                <w:sz w:val="24"/>
                <w:lang w:val="zh-CN"/>
              </w:rPr>
              <w:t>秦巴地区特色边贸仓储物流中心</w:t>
            </w:r>
            <w:bookmarkStart w:id="7" w:name="_Toc78784024"/>
            <w:r>
              <w:rPr>
                <w:kern w:val="2"/>
                <w:sz w:val="24"/>
                <w:lang w:val="zh-CN"/>
              </w:rPr>
              <w:t>。</w:t>
            </w:r>
            <w:bookmarkEnd w:id="7"/>
            <w:r>
              <w:rPr>
                <w:rFonts w:hint="eastAsia"/>
                <w:kern w:val="2"/>
                <w:sz w:val="24"/>
                <w:lang w:val="zh-CN"/>
              </w:rPr>
              <w:t>加快发展产业金融、绿色金融、普惠金融，持续创新金融产品供给，加大直接融资力度，增强金融服务实体经济能力。聚焦生活性服务业向高品质和多样化升级，支持发展“一老一小”服务业，不断增强养老、大健康、家政、护理等公益性、基础性服务业供给。</w:t>
            </w:r>
          </w:p>
        </w:tc>
      </w:tr>
    </w:tbl>
    <w:p w14:paraId="64708199">
      <w:pPr>
        <w:overflowPunct w:val="0"/>
        <w:spacing w:line="579" w:lineRule="exact"/>
        <w:ind w:firstLine="640" w:firstLineChars="200"/>
        <w:rPr>
          <w:szCs w:val="32"/>
        </w:rPr>
      </w:pPr>
      <w:r>
        <w:rPr>
          <w:rFonts w:hint="eastAsia" w:eastAsia="方正楷体_GBK" w:cs="方正楷体_GBK"/>
          <w:szCs w:val="32"/>
        </w:rPr>
        <w:t>（六）</w:t>
      </w:r>
      <w:r>
        <w:rPr>
          <w:rFonts w:hint="eastAsia" w:eastAsia="方正楷体_GBK" w:cs="方正楷体_GBK"/>
          <w:kern w:val="2"/>
        </w:rPr>
        <w:t>坚持巩固脱贫成果，推动乡村全面振兴。</w:t>
      </w:r>
      <w:r>
        <w:rPr>
          <w:rFonts w:hint="eastAsia"/>
          <w:szCs w:val="32"/>
        </w:rPr>
        <w:t>坚持把巩固拓展脱贫攻坚成果同乡村振兴有效衔接作为首要任务，不断促进农业增产增效、农民创收增收、农村宜居宜业，加快建设巩固拓展脱贫攻坚成果同乡村振兴有效衔接示范县。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0B3B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0334152C">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6</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农业农村发展</w:t>
            </w:r>
            <w:r>
              <w:rPr>
                <w:rFonts w:eastAsia="方正黑体_GBK"/>
                <w:color w:val="000000"/>
                <w:sz w:val="28"/>
                <w:szCs w:val="28"/>
              </w:rPr>
              <w:t>重点</w:t>
            </w:r>
            <w:r>
              <w:rPr>
                <w:rFonts w:hint="eastAsia" w:eastAsia="方正黑体_GBK"/>
                <w:color w:val="000000"/>
                <w:sz w:val="28"/>
                <w:szCs w:val="28"/>
              </w:rPr>
              <w:t>事项</w:t>
            </w:r>
          </w:p>
        </w:tc>
      </w:tr>
      <w:tr w14:paraId="6658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38F2F50D">
            <w:pPr>
              <w:overflowPunct w:val="0"/>
              <w:spacing w:line="360" w:lineRule="exact"/>
              <w:ind w:firstLine="482" w:firstLineChars="200"/>
              <w:rPr>
                <w:sz w:val="24"/>
                <w:szCs w:val="32"/>
                <w:lang w:val="zh-CN"/>
              </w:rPr>
            </w:pPr>
            <w:r>
              <w:rPr>
                <w:rFonts w:hint="eastAsia"/>
                <w:b/>
                <w:bCs/>
                <w:sz w:val="24"/>
                <w:szCs w:val="32"/>
              </w:rPr>
              <w:t>巩固拓展脱贫攻坚成果。</w:t>
            </w:r>
            <w:r>
              <w:rPr>
                <w:rFonts w:hint="eastAsia"/>
                <w:sz w:val="24"/>
                <w:szCs w:val="32"/>
              </w:rPr>
              <w:t>迭代升级</w:t>
            </w:r>
            <w:r>
              <w:rPr>
                <w:rFonts w:hint="eastAsia"/>
                <w:sz w:val="24"/>
                <w:szCs w:val="32"/>
                <w:lang w:val="zh-CN"/>
              </w:rPr>
              <w:t>“一县一策”政策</w:t>
            </w:r>
            <w:r>
              <w:rPr>
                <w:rFonts w:hint="eastAsia"/>
                <w:sz w:val="24"/>
                <w:szCs w:val="32"/>
              </w:rPr>
              <w:t>措施，深化国家、市级结对帮扶。</w:t>
            </w:r>
            <w:r>
              <w:rPr>
                <w:rFonts w:hint="eastAsia"/>
                <w:sz w:val="24"/>
                <w:szCs w:val="32"/>
                <w:lang w:val="zh-CN"/>
              </w:rPr>
              <w:t>完善防止返贫监测网络，深化“大走访大排查大整改”行动，“一户一策”精准帮扶监测对象，</w:t>
            </w:r>
            <w:r>
              <w:rPr>
                <w:rFonts w:hint="eastAsia"/>
                <w:sz w:val="24"/>
                <w:szCs w:val="32"/>
              </w:rPr>
              <w:t>落实“两不愁三保障”及饮水安全问题动态清零机制，</w:t>
            </w:r>
            <w:r>
              <w:rPr>
                <w:rFonts w:hint="eastAsia"/>
                <w:sz w:val="24"/>
                <w:szCs w:val="32"/>
                <w:lang w:val="zh-CN"/>
              </w:rPr>
              <w:t>持续开展产业就业帮扶，群众认可度稳定在95%以上。实施新型农业经营主体培育提升行动，实施乡村人才振兴“五万计划”，</w:t>
            </w:r>
            <w:r>
              <w:rPr>
                <w:rFonts w:hint="eastAsia"/>
                <w:sz w:val="24"/>
                <w:szCs w:val="32"/>
              </w:rPr>
              <w:t>推动易地扶贫搬迁后续扶持，</w:t>
            </w:r>
            <w:r>
              <w:rPr>
                <w:rFonts w:hint="eastAsia"/>
                <w:sz w:val="24"/>
                <w:szCs w:val="32"/>
                <w:lang w:val="zh-CN"/>
              </w:rPr>
              <w:t>通过产业发展、外出务工、帮扶车间、公益性岗位等措施，脱贫人口人均纯收入增长10%以上，</w:t>
            </w:r>
            <w:r>
              <w:rPr>
                <w:rFonts w:hint="eastAsia"/>
                <w:sz w:val="24"/>
                <w:szCs w:val="32"/>
              </w:rPr>
              <w:t>城乡居民收入比缩小至2.45</w:t>
            </w:r>
            <w:r>
              <w:rPr>
                <w:sz w:val="24"/>
                <w:szCs w:val="32"/>
              </w:rPr>
              <w:t>:</w:t>
            </w:r>
            <w:r>
              <w:rPr>
                <w:rFonts w:hint="eastAsia"/>
                <w:sz w:val="24"/>
                <w:szCs w:val="32"/>
              </w:rPr>
              <w:t>1。</w:t>
            </w:r>
            <w:r>
              <w:rPr>
                <w:rFonts w:hint="eastAsia"/>
                <w:sz w:val="24"/>
                <w:szCs w:val="32"/>
                <w:lang w:val="zh-CN"/>
              </w:rPr>
              <w:t>深化消费帮扶工作，帮扶产业覆盖脱贫人口占比达到90%。</w:t>
            </w:r>
          </w:p>
          <w:p w14:paraId="68F81932">
            <w:pPr>
              <w:overflowPunct w:val="0"/>
              <w:spacing w:line="360" w:lineRule="exact"/>
              <w:ind w:firstLine="482" w:firstLineChars="200"/>
              <w:rPr>
                <w:sz w:val="24"/>
                <w:szCs w:val="32"/>
              </w:rPr>
            </w:pPr>
            <w:r>
              <w:rPr>
                <w:rFonts w:hint="eastAsia"/>
                <w:b/>
                <w:bCs/>
                <w:sz w:val="24"/>
                <w:szCs w:val="32"/>
                <w:lang w:val="zh-CN"/>
              </w:rPr>
              <w:t>建设宜居宜业和美乡村。</w:t>
            </w:r>
            <w:r>
              <w:rPr>
                <w:rFonts w:hint="eastAsia"/>
                <w:sz w:val="24"/>
                <w:szCs w:val="32"/>
                <w:lang w:val="zh-CN"/>
              </w:rPr>
              <w:t>突出乡镇联城带村的纽带作用，</w:t>
            </w:r>
            <w:r>
              <w:rPr>
                <w:rFonts w:hint="eastAsia"/>
                <w:sz w:val="24"/>
                <w:szCs w:val="32"/>
              </w:rPr>
              <w:t>持续推进乡镇国土空间规划编制，完成咸宜、北屏“强镇带村”专项规划。持续完善农村基础设施，</w:t>
            </w:r>
            <w:r>
              <w:rPr>
                <w:rFonts w:hint="eastAsia"/>
                <w:sz w:val="24"/>
              </w:rPr>
              <w:t>建设“四好农村公路”170公里</w:t>
            </w:r>
            <w:r>
              <w:rPr>
                <w:rFonts w:hint="eastAsia"/>
                <w:sz w:val="24"/>
                <w:lang w:val="zh-CN"/>
              </w:rPr>
              <w:t>，</w:t>
            </w:r>
            <w:r>
              <w:rPr>
                <w:rFonts w:hint="eastAsia"/>
                <w:sz w:val="24"/>
                <w:szCs w:val="32"/>
              </w:rPr>
              <w:t>改造提升乡镇场镇供水设施5个。启动美丽乡村整县建设行动，改善农村人居环境</w:t>
            </w:r>
            <w:r>
              <w:rPr>
                <w:rFonts w:hint="eastAsia"/>
                <w:sz w:val="24"/>
                <w:szCs w:val="32"/>
                <w:lang w:val="zh-CN"/>
              </w:rPr>
              <w:t>，创建国家卫生乡镇</w:t>
            </w:r>
            <w:r>
              <w:rPr>
                <w:rFonts w:hint="eastAsia"/>
                <w:sz w:val="24"/>
                <w:szCs w:val="32"/>
              </w:rPr>
              <w:t>。</w:t>
            </w:r>
            <w:r>
              <w:rPr>
                <w:rFonts w:hint="eastAsia"/>
                <w:sz w:val="24"/>
                <w:szCs w:val="32"/>
                <w:lang w:val="zh-CN"/>
              </w:rPr>
              <w:t>深化农村厕所、垃圾、污水“三大革命”，农村卫生厕所普及率达80%，农村生活污水集中处理率达到60%，行政村生活垃圾有效治理比例达到100%。深入实施全市“四千行动”，打造市级重点镇、县级重点乡镇和重点村乡村振兴示范片，创建中国美丽休闲乡村</w:t>
            </w:r>
            <w:r>
              <w:rPr>
                <w:rFonts w:hint="eastAsia"/>
                <w:sz w:val="24"/>
                <w:szCs w:val="32"/>
              </w:rPr>
              <w:t>1个、</w:t>
            </w:r>
            <w:r>
              <w:rPr>
                <w:rFonts w:hint="eastAsia"/>
                <w:sz w:val="24"/>
                <w:szCs w:val="32"/>
                <w:lang w:val="zh-CN"/>
              </w:rPr>
              <w:t>市级巴渝和美乡村示范村10个、县级美丽</w:t>
            </w:r>
            <w:r>
              <w:rPr>
                <w:rFonts w:hint="eastAsia"/>
                <w:sz w:val="24"/>
                <w:szCs w:val="32"/>
              </w:rPr>
              <w:t>庭院30</w:t>
            </w:r>
            <w:r>
              <w:rPr>
                <w:rFonts w:hint="eastAsia"/>
                <w:sz w:val="24"/>
                <w:szCs w:val="32"/>
                <w:lang w:val="zh-CN"/>
              </w:rPr>
              <w:t>家。强化乡村治理“四治融合”，加快健全“一中心四板块一网格”基层智治体系，实现一体化治理智治平台全覆盖。</w:t>
            </w:r>
          </w:p>
          <w:p w14:paraId="0FE46DF6">
            <w:pPr>
              <w:overflowPunct w:val="0"/>
              <w:spacing w:line="360" w:lineRule="exact"/>
              <w:ind w:firstLine="482" w:firstLineChars="200"/>
            </w:pPr>
            <w:r>
              <w:rPr>
                <w:rFonts w:hint="eastAsia"/>
                <w:b/>
                <w:bCs/>
                <w:sz w:val="24"/>
                <w:szCs w:val="32"/>
              </w:rPr>
              <w:t>合力推动强村富民。</w:t>
            </w:r>
            <w:r>
              <w:rPr>
                <w:rFonts w:hint="eastAsia"/>
                <w:sz w:val="24"/>
                <w:szCs w:val="32"/>
              </w:rPr>
              <w:t>持续深化“三社融合”改革，启动“强村公司”改革试点10个，发展壮大集体经济，村集体经营性收入10万元以上的村占比提高到90%。</w:t>
            </w:r>
            <w:r>
              <w:rPr>
                <w:rFonts w:hint="eastAsia"/>
                <w:sz w:val="24"/>
                <w:szCs w:val="32"/>
                <w:lang w:val="zh-CN"/>
              </w:rPr>
              <w:t>深入推进农村产权制度改革，</w:t>
            </w:r>
            <w:r>
              <w:rPr>
                <w:rFonts w:hint="eastAsia"/>
                <w:sz w:val="24"/>
                <w:szCs w:val="32"/>
              </w:rPr>
              <w:t>利用</w:t>
            </w:r>
            <w:r>
              <w:rPr>
                <w:rFonts w:hint="eastAsia"/>
                <w:sz w:val="24"/>
                <w:szCs w:val="32"/>
                <w:lang w:val="zh-CN"/>
              </w:rPr>
              <w:t>市农村土地交易所农村产权流转交易平台，设立乡镇街道产权流转交易工作站</w:t>
            </w:r>
            <w:r>
              <w:rPr>
                <w:rFonts w:hint="eastAsia"/>
                <w:sz w:val="24"/>
                <w:szCs w:val="32"/>
              </w:rPr>
              <w:t>和</w:t>
            </w:r>
            <w:r>
              <w:rPr>
                <w:rFonts w:hint="eastAsia"/>
                <w:sz w:val="24"/>
                <w:szCs w:val="32"/>
                <w:lang w:val="zh-CN"/>
              </w:rPr>
              <w:t>村级产权流转交易服务点。深化集体林权制度改革全国试点，推进全国林下经济示范基地创建，实施重点生态区位非国有林生态赎买改革试点2000亩。启动新一轮土地承包到期后再延长30年试点。</w:t>
            </w:r>
          </w:p>
        </w:tc>
      </w:tr>
    </w:tbl>
    <w:p w14:paraId="60B8BE5A">
      <w:pPr>
        <w:overflowPunct w:val="0"/>
        <w:spacing w:line="579" w:lineRule="exact"/>
        <w:ind w:firstLine="640" w:firstLineChars="200"/>
        <w:rPr>
          <w:kern w:val="2"/>
          <w:szCs w:val="32"/>
        </w:rPr>
      </w:pPr>
      <w:r>
        <w:rPr>
          <w:rFonts w:hint="eastAsia" w:eastAsia="方正楷体_GBK" w:cs="方正楷体_GBK"/>
          <w:szCs w:val="32"/>
        </w:rPr>
        <w:t>（七）坚持提升城市品质，推动新型城镇化提质扩容。</w:t>
      </w:r>
      <w:r>
        <w:rPr>
          <w:szCs w:val="32"/>
        </w:rPr>
        <w:t>坚持以人为核心、以提升品质为导向、以城市治理为抓手，深入实施以县城为重要载体的城镇化建设，全面推进</w:t>
      </w:r>
      <w:r>
        <w:rPr>
          <w:rFonts w:hint="eastAsia"/>
          <w:szCs w:val="32"/>
        </w:rPr>
        <w:t>“</w:t>
      </w:r>
      <w:r>
        <w:rPr>
          <w:szCs w:val="32"/>
        </w:rPr>
        <w:t>小县大城</w:t>
      </w:r>
      <w:r>
        <w:rPr>
          <w:rFonts w:hint="eastAsia"/>
          <w:szCs w:val="32"/>
        </w:rPr>
        <w:t>”</w:t>
      </w:r>
      <w:r>
        <w:rPr>
          <w:szCs w:val="32"/>
        </w:rPr>
        <w:t>试点，</w:t>
      </w:r>
      <w:r>
        <w:rPr>
          <w:rFonts w:hint="eastAsia"/>
          <w:szCs w:val="32"/>
        </w:rPr>
        <w:t>加快</w:t>
      </w:r>
      <w:r>
        <w:rPr>
          <w:szCs w:val="32"/>
        </w:rPr>
        <w:t>建设宜居宜业宜游的大巴山生态康养城。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437C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68ED36B1">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7</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城市建设</w:t>
            </w:r>
            <w:r>
              <w:rPr>
                <w:rFonts w:eastAsia="方正黑体_GBK"/>
                <w:color w:val="000000"/>
                <w:sz w:val="28"/>
                <w:szCs w:val="28"/>
              </w:rPr>
              <w:t>重点</w:t>
            </w:r>
            <w:r>
              <w:rPr>
                <w:rFonts w:hint="eastAsia" w:eastAsia="方正黑体_GBK"/>
                <w:color w:val="000000"/>
                <w:sz w:val="28"/>
                <w:szCs w:val="28"/>
              </w:rPr>
              <w:t>事项</w:t>
            </w:r>
          </w:p>
        </w:tc>
      </w:tr>
      <w:tr w14:paraId="7570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53E4F334">
            <w:pPr>
              <w:overflowPunct w:val="0"/>
              <w:spacing w:line="360" w:lineRule="exact"/>
              <w:ind w:firstLine="482" w:firstLineChars="200"/>
              <w:rPr>
                <w:sz w:val="24"/>
                <w:szCs w:val="32"/>
              </w:rPr>
            </w:pPr>
            <w:r>
              <w:rPr>
                <w:rFonts w:hint="eastAsia"/>
                <w:b/>
                <w:bCs/>
                <w:sz w:val="24"/>
                <w:szCs w:val="32"/>
              </w:rPr>
              <w:t>推进东部新区建设。</w:t>
            </w:r>
            <w:r>
              <w:rPr>
                <w:rFonts w:hint="eastAsia"/>
                <w:sz w:val="24"/>
                <w:szCs w:val="32"/>
                <w:lang w:val="zh-CN"/>
              </w:rPr>
              <w:t>拉开东部新区城市框架，完成新区水土流失综合治理，推进巴山大道、高铁站前广场、配套基础设施（一期）等项目建设，完成年度投资4亿元，形象进度达40%以上。完成新城水厂项目前期设计，持续推进棉沙村棚户区改造项目。</w:t>
            </w:r>
            <w:r>
              <w:rPr>
                <w:rFonts w:hint="eastAsia"/>
                <w:sz w:val="24"/>
                <w:lang w:val="zh-CN"/>
              </w:rPr>
              <w:t>完成高铁和东部新区电力线路迁改。</w:t>
            </w:r>
            <w:r>
              <w:rPr>
                <w:rFonts w:hint="eastAsia"/>
                <w:sz w:val="24"/>
                <w:szCs w:val="32"/>
                <w:lang w:val="zh-CN"/>
              </w:rPr>
              <w:t>围绕大巴山文化艺术中心、巴山街市、场景商业综合体等EOD项目开展融资策划，完成授信及设计。</w:t>
            </w:r>
          </w:p>
          <w:p w14:paraId="5291C796">
            <w:pPr>
              <w:overflowPunct w:val="0"/>
              <w:spacing w:line="360" w:lineRule="exact"/>
              <w:ind w:firstLine="482" w:firstLineChars="200"/>
              <w:rPr>
                <w:sz w:val="24"/>
                <w:szCs w:val="32"/>
              </w:rPr>
            </w:pPr>
            <w:r>
              <w:rPr>
                <w:rFonts w:hint="eastAsia"/>
                <w:b/>
                <w:bCs/>
                <w:sz w:val="24"/>
                <w:szCs w:val="32"/>
              </w:rPr>
              <w:t>提升老城生活品质</w:t>
            </w:r>
            <w:r>
              <w:rPr>
                <w:rFonts w:hint="eastAsia"/>
                <w:sz w:val="24"/>
                <w:szCs w:val="32"/>
              </w:rPr>
              <w:t>。提升城市建设水平，加快推进滨河体育公园、燃气管网及配套设施更新改造等城市更新项目建设，启动保障性租赁住房维修提升、城市防洪排涝等项目，新改建城乡污水管网13公里，</w:t>
            </w:r>
            <w:r>
              <w:rPr>
                <w:rFonts w:hint="eastAsia"/>
                <w:sz w:val="24"/>
                <w:szCs w:val="32"/>
                <w:lang w:val="zh-CN"/>
              </w:rPr>
              <w:t>完成高坪坎、观音堂和任河路老旧小区改造，</w:t>
            </w:r>
            <w:r>
              <w:rPr>
                <w:rFonts w:hint="eastAsia"/>
                <w:sz w:val="24"/>
                <w:szCs w:val="32"/>
              </w:rPr>
              <w:t>新启动土城东门片区和商业街片区2个老旧小区改造。推进县城绕城道路前期工作，构建“五横三纵”城市道路骨架。持续推动“平急两用”项目，积极盘活城市低效和闲置资源。完善城市配套功能，建成“劳动者港湾”2个，新建、改造城市公厕3座，新建小微停车场2个、充电桩100个，新增城市公共绿地1.5万平方米、公园绿地0.5万平方米，创建市级园林城市。</w:t>
            </w:r>
            <w:r>
              <w:rPr>
                <w:rFonts w:hint="eastAsia"/>
                <w:sz w:val="24"/>
                <w:lang w:val="zh-CN"/>
              </w:rPr>
              <w:t>推进智慧城市建设，持续围绕民生、城市治理、产业融合、生态宜居、政府管理领域打造智慧应用场景。</w:t>
            </w:r>
          </w:p>
          <w:p w14:paraId="55765E7F">
            <w:pPr>
              <w:overflowPunct w:val="0"/>
              <w:spacing w:line="360" w:lineRule="exact"/>
              <w:ind w:firstLine="482" w:firstLineChars="200"/>
            </w:pPr>
            <w:r>
              <w:rPr>
                <w:rFonts w:hint="eastAsia"/>
                <w:b/>
                <w:bCs/>
                <w:sz w:val="24"/>
                <w:szCs w:val="32"/>
              </w:rPr>
              <w:t>推进文明城市创建。</w:t>
            </w:r>
            <w:r>
              <w:rPr>
                <w:rFonts w:hint="eastAsia"/>
                <w:sz w:val="24"/>
                <w:szCs w:val="32"/>
                <w:lang w:val="zh-CN"/>
              </w:rPr>
              <w:t>成功创建全国文明城市，巩固国家卫生县城创建成果，创建国家卫生乡镇1个。</w:t>
            </w:r>
            <w:r>
              <w:rPr>
                <w:rFonts w:hint="eastAsia"/>
                <w:sz w:val="24"/>
                <w:szCs w:val="32"/>
              </w:rPr>
              <w:t>常态化开展“马路办公”</w:t>
            </w:r>
            <w:r>
              <w:rPr>
                <w:rFonts w:hint="eastAsia"/>
                <w:sz w:val="24"/>
              </w:rPr>
              <w:t>“</w:t>
            </w:r>
            <w:r>
              <w:rPr>
                <w:sz w:val="24"/>
              </w:rPr>
              <w:t>一线办公</w:t>
            </w:r>
            <w:r>
              <w:rPr>
                <w:rFonts w:hint="eastAsia"/>
                <w:sz w:val="24"/>
              </w:rPr>
              <w:t>”</w:t>
            </w:r>
            <w:r>
              <w:rPr>
                <w:rFonts w:hint="eastAsia"/>
                <w:sz w:val="24"/>
                <w:szCs w:val="32"/>
              </w:rPr>
              <w:t>，加快一体化城市运行管理服务平台建设，全覆盖开展数字化管理。</w:t>
            </w:r>
            <w:r>
              <w:rPr>
                <w:sz w:val="24"/>
              </w:rPr>
              <w:t>聚焦乱停乱放、横穿马路、违法搭建、犬类管理等领域开展专项整治，规范城区停车、人车通行等秩序。</w:t>
            </w:r>
            <w:r>
              <w:rPr>
                <w:sz w:val="24"/>
                <w:lang w:val="zh-CN"/>
              </w:rPr>
              <w:t>加强市政设施管理维护，持续推进</w:t>
            </w:r>
            <w:r>
              <w:rPr>
                <w:rFonts w:hint="eastAsia"/>
                <w:sz w:val="24"/>
                <w:lang w:val="zh-CN"/>
              </w:rPr>
              <w:t>“</w:t>
            </w:r>
            <w:r>
              <w:rPr>
                <w:sz w:val="24"/>
                <w:lang w:val="zh-CN"/>
              </w:rPr>
              <w:t>灯明景靓工程</w:t>
            </w:r>
            <w:r>
              <w:rPr>
                <w:rFonts w:hint="eastAsia"/>
                <w:sz w:val="24"/>
                <w:lang w:val="zh-CN"/>
              </w:rPr>
              <w:t>”</w:t>
            </w:r>
            <w:r>
              <w:rPr>
                <w:sz w:val="24"/>
                <w:lang w:val="zh-CN"/>
              </w:rPr>
              <w:t>，实施窨井盖专项整治。建成扬尘控制示范工地5个、智慧工地</w:t>
            </w:r>
            <w:r>
              <w:rPr>
                <w:sz w:val="24"/>
              </w:rPr>
              <w:t>5个。启动</w:t>
            </w:r>
            <w:r>
              <w:rPr>
                <w:rFonts w:hint="eastAsia"/>
                <w:sz w:val="24"/>
              </w:rPr>
              <w:t>“</w:t>
            </w:r>
            <w:r>
              <w:rPr>
                <w:sz w:val="24"/>
              </w:rPr>
              <w:t>无废城市</w:t>
            </w:r>
            <w:r>
              <w:rPr>
                <w:rFonts w:hint="eastAsia"/>
                <w:sz w:val="24"/>
              </w:rPr>
              <w:t>”</w:t>
            </w:r>
            <w:r>
              <w:rPr>
                <w:sz w:val="24"/>
              </w:rPr>
              <w:t>创建，创建市级垃圾分类先锋单元5个</w:t>
            </w:r>
            <w:r>
              <w:rPr>
                <w:rFonts w:hint="eastAsia"/>
                <w:sz w:val="24"/>
              </w:rPr>
              <w:t>，创建垃圾分类示范小区1个以上、市级垃圾分类示范乡镇5个</w:t>
            </w:r>
            <w:r>
              <w:rPr>
                <w:sz w:val="24"/>
              </w:rPr>
              <w:t>。</w:t>
            </w:r>
          </w:p>
        </w:tc>
      </w:tr>
    </w:tbl>
    <w:p w14:paraId="439AD368">
      <w:pPr>
        <w:overflowPunct w:val="0"/>
        <w:spacing w:line="579" w:lineRule="exact"/>
        <w:ind w:firstLine="640" w:firstLineChars="200"/>
        <w:rPr>
          <w:szCs w:val="32"/>
        </w:rPr>
      </w:pPr>
      <w:r>
        <w:rPr>
          <w:rFonts w:hint="eastAsia" w:eastAsia="方正楷体_GBK" w:cs="方正楷体_GBK"/>
          <w:szCs w:val="32"/>
        </w:rPr>
        <w:t>（八）坚持聚焦数字化变革，推动改革创新更加深入。</w:t>
      </w:r>
      <w:r>
        <w:rPr>
          <w:szCs w:val="32"/>
        </w:rPr>
        <w:t>锚定改革目标，聚焦</w:t>
      </w:r>
      <w:r>
        <w:rPr>
          <w:rFonts w:hint="eastAsia"/>
          <w:szCs w:val="32"/>
        </w:rPr>
        <w:t>重点领域和关键环节</w:t>
      </w:r>
      <w:r>
        <w:rPr>
          <w:szCs w:val="32"/>
        </w:rPr>
        <w:t>，深化改革攻坚，持续增活力提质效，加快形成更多改革标志性成果，努力交出全面深化改革高分报表。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358C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122" w:type="dxa"/>
            <w:shd w:val="clear" w:color="auto" w:fill="F2F2F2"/>
            <w:noWrap/>
            <w:vAlign w:val="center"/>
          </w:tcPr>
          <w:p w14:paraId="4696F53B">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8</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改革创新</w:t>
            </w:r>
            <w:r>
              <w:rPr>
                <w:rFonts w:eastAsia="方正黑体_GBK"/>
                <w:color w:val="000000"/>
                <w:sz w:val="28"/>
                <w:szCs w:val="28"/>
              </w:rPr>
              <w:t>重点</w:t>
            </w:r>
            <w:r>
              <w:rPr>
                <w:rFonts w:hint="eastAsia" w:eastAsia="方正黑体_GBK"/>
                <w:color w:val="000000"/>
                <w:sz w:val="28"/>
                <w:szCs w:val="28"/>
              </w:rPr>
              <w:t>事项</w:t>
            </w:r>
          </w:p>
        </w:tc>
      </w:tr>
      <w:tr w14:paraId="4C2B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05D42081">
            <w:pPr>
              <w:overflowPunct w:val="0"/>
              <w:spacing w:line="340" w:lineRule="exact"/>
              <w:ind w:firstLine="482" w:firstLineChars="200"/>
              <w:rPr>
                <w:sz w:val="24"/>
                <w:szCs w:val="32"/>
                <w:lang w:val="zh-CN"/>
              </w:rPr>
            </w:pPr>
            <w:r>
              <w:rPr>
                <w:rFonts w:hint="eastAsia"/>
                <w:b/>
                <w:bCs/>
                <w:sz w:val="24"/>
                <w:szCs w:val="32"/>
              </w:rPr>
              <w:t>推进数字重庆建设。</w:t>
            </w:r>
            <w:r>
              <w:rPr>
                <w:rFonts w:hint="eastAsia"/>
                <w:sz w:val="24"/>
                <w:szCs w:val="32"/>
              </w:rPr>
              <w:t>聚焦城市安全、交通出行、公共卫生等领域，推动数字化城市运行和治理中心贯通运行，持续开展“一件事”事项策划，争取更多“一件事”事项进入应用开发阶段，完成1个以上县级特色应用上线部署。</w:t>
            </w:r>
            <w:r>
              <w:rPr>
                <w:rFonts w:hint="eastAsia"/>
                <w:sz w:val="24"/>
                <w:szCs w:val="32"/>
                <w:lang w:val="zh-CN"/>
              </w:rPr>
              <w:t>抢抓数字化变革机遇，</w:t>
            </w:r>
            <w:r>
              <w:rPr>
                <w:rFonts w:hint="eastAsia"/>
                <w:sz w:val="24"/>
                <w:szCs w:val="32"/>
              </w:rPr>
              <w:t>加强基层治理指挥中心任务交办、事件流转、多跨协同、应急指挥等运用，</w:t>
            </w:r>
            <w:r>
              <w:rPr>
                <w:rFonts w:hint="eastAsia"/>
                <w:sz w:val="24"/>
                <w:szCs w:val="32"/>
                <w:lang w:val="zh-CN"/>
              </w:rPr>
              <w:t>探索燃气安全、重大危险源监测、防汛抗旱、森林防火等应用场景数字化建设，</w:t>
            </w:r>
            <w:r>
              <w:rPr>
                <w:rFonts w:hint="eastAsia"/>
                <w:sz w:val="24"/>
                <w:szCs w:val="32"/>
              </w:rPr>
              <w:t>切实提升基层智治运行实效</w:t>
            </w:r>
            <w:r>
              <w:rPr>
                <w:rFonts w:hint="eastAsia"/>
                <w:sz w:val="24"/>
                <w:szCs w:val="32"/>
                <w:lang w:val="zh-CN"/>
              </w:rPr>
              <w:t>。完成全县应急指挥中心平台建设并运用，推进“数字应急平台”“智慧消防平台”“物联感知终端”建设。</w:t>
            </w:r>
          </w:p>
          <w:p w14:paraId="32FB1DE2">
            <w:pPr>
              <w:overflowPunct w:val="0"/>
              <w:spacing w:line="340" w:lineRule="exact"/>
              <w:ind w:firstLine="482" w:firstLineChars="200"/>
              <w:rPr>
                <w:sz w:val="24"/>
                <w:szCs w:val="32"/>
                <w:lang w:val="zh-CN"/>
              </w:rPr>
            </w:pPr>
            <w:r>
              <w:rPr>
                <w:rFonts w:hint="eastAsia"/>
                <w:b/>
                <w:bCs/>
                <w:sz w:val="24"/>
                <w:szCs w:val="32"/>
              </w:rPr>
              <w:t>推进重点领域改革。</w:t>
            </w:r>
            <w:r>
              <w:rPr>
                <w:rFonts w:hint="eastAsia"/>
                <w:sz w:val="24"/>
                <w:szCs w:val="32"/>
                <w:lang w:val="zh-CN"/>
              </w:rPr>
              <w:t>打赢国资国企改革攻坚战，推进国企“止损、瘦身、提质、增效”，国企资产增长</w:t>
            </w:r>
            <w:r>
              <w:rPr>
                <w:rFonts w:hint="eastAsia"/>
                <w:sz w:val="24"/>
                <w:szCs w:val="32"/>
              </w:rPr>
              <w:t>3</w:t>
            </w:r>
            <w:r>
              <w:rPr>
                <w:rFonts w:hint="eastAsia"/>
                <w:sz w:val="24"/>
                <w:szCs w:val="32"/>
                <w:lang w:val="zh-CN"/>
              </w:rPr>
              <w:t>%，营业收入、利润总额、利润率分别增长</w:t>
            </w:r>
            <w:r>
              <w:rPr>
                <w:rFonts w:hint="eastAsia"/>
                <w:sz w:val="24"/>
                <w:szCs w:val="32"/>
              </w:rPr>
              <w:t>5</w:t>
            </w:r>
            <w:r>
              <w:rPr>
                <w:rFonts w:hint="eastAsia"/>
                <w:sz w:val="24"/>
                <w:szCs w:val="32"/>
                <w:lang w:val="zh-CN"/>
              </w:rPr>
              <w:t>%、5%、</w:t>
            </w:r>
            <w:r>
              <w:rPr>
                <w:rFonts w:hint="eastAsia"/>
                <w:sz w:val="24"/>
                <w:szCs w:val="32"/>
              </w:rPr>
              <w:t>3</w:t>
            </w:r>
            <w:r>
              <w:rPr>
                <w:rFonts w:hint="eastAsia"/>
                <w:sz w:val="24"/>
                <w:szCs w:val="32"/>
                <w:lang w:val="zh-CN"/>
              </w:rPr>
              <w:t>%，资产负债率控制在65%以内。打赢园区开发区改革攻坚战，加快园区开发区优化整合，建立“亩均论英雄”政策体系、工作体系，园区营收亿元以上工业企业达到5家、规上工业企业达到20家，进驻园区企业总数达到</w:t>
            </w:r>
            <w:r>
              <w:rPr>
                <w:rFonts w:hint="eastAsia"/>
                <w:sz w:val="24"/>
                <w:szCs w:val="32"/>
              </w:rPr>
              <w:t>8</w:t>
            </w:r>
            <w:r>
              <w:rPr>
                <w:rFonts w:hint="eastAsia"/>
                <w:sz w:val="24"/>
                <w:szCs w:val="32"/>
                <w:lang w:val="zh-CN"/>
              </w:rPr>
              <w:t>0家。打赢政企分离改革攻坚战，完成党政机关和事业单位所属企业“脱钩”，实现全县经营性国有资产100%集中统一监管。推进财政管理改革，持续优化财政支出结构，完成乡镇财政体制改革。</w:t>
            </w:r>
            <w:r>
              <w:rPr>
                <w:sz w:val="24"/>
              </w:rPr>
              <w:t>深化投融资体制改革，</w:t>
            </w:r>
            <w:r>
              <w:rPr>
                <w:rFonts w:hint="eastAsia"/>
                <w:sz w:val="24"/>
              </w:rPr>
              <w:t>健全完善项目库和资金池、资源要素池、资产池的“一库三池”统筹匹配机制，探索开展投融资模式创新。</w:t>
            </w:r>
            <w:r>
              <w:rPr>
                <w:rFonts w:hint="eastAsia"/>
                <w:sz w:val="24"/>
                <w:szCs w:val="32"/>
                <w:lang w:val="zh-CN"/>
              </w:rPr>
              <w:t>完成机构改革任务，通过撤销、整合等方式，调整优化事业单位机构设置和职能配置。</w:t>
            </w:r>
          </w:p>
          <w:p w14:paraId="72A8B560">
            <w:pPr>
              <w:overflowPunct w:val="0"/>
              <w:spacing w:line="340" w:lineRule="exact"/>
              <w:ind w:firstLine="482" w:firstLineChars="200"/>
              <w:rPr>
                <w:b/>
                <w:bCs/>
                <w:sz w:val="24"/>
                <w:szCs w:val="32"/>
              </w:rPr>
            </w:pPr>
            <w:r>
              <w:rPr>
                <w:rFonts w:hint="eastAsia"/>
                <w:b/>
                <w:bCs/>
                <w:sz w:val="24"/>
                <w:szCs w:val="32"/>
              </w:rPr>
              <w:t>持续优化营商环境</w:t>
            </w:r>
            <w:r>
              <w:rPr>
                <w:rFonts w:hint="eastAsia"/>
                <w:sz w:val="24"/>
                <w:szCs w:val="32"/>
              </w:rPr>
              <w:t>。</w:t>
            </w:r>
            <w:r>
              <w:rPr>
                <w:rFonts w:hint="eastAsia"/>
                <w:sz w:val="24"/>
                <w:szCs w:val="32"/>
                <w:lang w:val="zh-CN"/>
              </w:rPr>
              <w:t>投用县政务服务大厅，推广“一件事一次办”套餐，打造便民利企“一站式”智能政务服务体系，政务服务评价率和好评率达到100%。</w:t>
            </w:r>
            <w:r>
              <w:rPr>
                <w:rFonts w:hint="eastAsia"/>
                <w:sz w:val="24"/>
                <w:szCs w:val="32"/>
              </w:rPr>
              <w:t>深化“放管服”改革，持续落实企业开办业务全流程电子化，优化办事流程。鼓励金融机构加大对普惠小微企业的信贷投放，推动普惠小微贷款“增量”“扩面”。严格执行政府采购信息发布制度，实现政府采购全流程信息公开。</w:t>
            </w:r>
            <w:r>
              <w:rPr>
                <w:rFonts w:hint="eastAsia"/>
                <w:sz w:val="24"/>
                <w:szCs w:val="32"/>
                <w:lang w:val="zh-CN"/>
              </w:rPr>
              <w:t>加强招投标监管力度，打造全流程数字化管理。</w:t>
            </w:r>
            <w:r>
              <w:rPr>
                <w:rFonts w:hint="eastAsia"/>
                <w:sz w:val="24"/>
                <w:szCs w:val="32"/>
              </w:rPr>
              <w:t>健全主动核查和举报机制，加强对提交非正常专利申请的单位和个人的信用监管和政策约束。打造“诚信城口”，实施诚信企业培育行动，完善信用修复机制。</w:t>
            </w:r>
            <w:r>
              <w:rPr>
                <w:rFonts w:hint="eastAsia"/>
                <w:sz w:val="24"/>
                <w:szCs w:val="32"/>
                <w:lang w:val="zh-CN"/>
              </w:rPr>
              <w:t>持续抓好“信易+”应用场景和“信易贷</w:t>
            </w:r>
            <w:r>
              <w:rPr>
                <w:rFonts w:hint="eastAsia" w:eastAsia="汉仪大黑简" w:cs="汉仪大黑简"/>
                <w:sz w:val="24"/>
                <w:szCs w:val="32"/>
                <w:lang w:val="zh-CN"/>
              </w:rPr>
              <w:t>·</w:t>
            </w:r>
            <w:r>
              <w:rPr>
                <w:rFonts w:hint="eastAsia"/>
                <w:sz w:val="24"/>
                <w:szCs w:val="32"/>
                <w:lang w:val="zh-CN"/>
              </w:rPr>
              <w:t>渝惠融”平台推广工作。</w:t>
            </w:r>
          </w:p>
          <w:p w14:paraId="1D14FB53">
            <w:pPr>
              <w:overflowPunct w:val="0"/>
              <w:spacing w:line="340" w:lineRule="exact"/>
              <w:ind w:firstLine="482" w:firstLineChars="200"/>
            </w:pPr>
            <w:r>
              <w:rPr>
                <w:b/>
                <w:bCs/>
                <w:sz w:val="24"/>
                <w:szCs w:val="32"/>
              </w:rPr>
              <w:t>强化科技赋能。</w:t>
            </w:r>
            <w:r>
              <w:rPr>
                <w:sz w:val="24"/>
                <w:szCs w:val="32"/>
              </w:rPr>
              <w:t>结合制造业高质量发展目标，围绕中药材、老腊肉、山地鸡等优势产业开展关键核心技术攻关</w:t>
            </w:r>
            <w:r>
              <w:rPr>
                <w:rFonts w:hint="eastAsia"/>
                <w:sz w:val="24"/>
                <w:szCs w:val="32"/>
              </w:rPr>
              <w:t>，</w:t>
            </w:r>
            <w:r>
              <w:rPr>
                <w:sz w:val="24"/>
                <w:szCs w:val="32"/>
              </w:rPr>
              <w:t>培育“专精特新”企业3家、科技型企业2</w:t>
            </w:r>
            <w:r>
              <w:rPr>
                <w:rFonts w:hint="eastAsia"/>
                <w:sz w:val="24"/>
                <w:szCs w:val="32"/>
              </w:rPr>
              <w:t>5</w:t>
            </w:r>
            <w:r>
              <w:rPr>
                <w:sz w:val="24"/>
                <w:szCs w:val="32"/>
              </w:rPr>
              <w:t>家，高新技术企业3家，发明专利授权3件以上，新增规上工业企业研发机构2家，</w:t>
            </w:r>
            <w:r>
              <w:rPr>
                <w:rFonts w:hint="eastAsia"/>
                <w:sz w:val="24"/>
                <w:szCs w:val="32"/>
              </w:rPr>
              <w:t>培育新型</w:t>
            </w:r>
            <w:r>
              <w:rPr>
                <w:sz w:val="24"/>
                <w:szCs w:val="32"/>
              </w:rPr>
              <w:t>研发机构1家，技术合同成交额达</w:t>
            </w:r>
            <w:r>
              <w:rPr>
                <w:rFonts w:hint="eastAsia"/>
                <w:sz w:val="24"/>
                <w:szCs w:val="32"/>
              </w:rPr>
              <w:t>1000</w:t>
            </w:r>
            <w:r>
              <w:rPr>
                <w:sz w:val="24"/>
                <w:szCs w:val="32"/>
              </w:rPr>
              <w:t>万元。加大重点创新主体支持力度，扩大科技型企业知识价值信用贷款规模，发放贷款2000万元。拓展院（校）交流合作，强化创新资源统筹和集聚，加快打造科技创新平台。实施高技能人才引育计划，新引进高技能人才10人。</w:t>
            </w:r>
          </w:p>
        </w:tc>
      </w:tr>
    </w:tbl>
    <w:p w14:paraId="4AE21838">
      <w:pPr>
        <w:overflowPunct w:val="0"/>
        <w:spacing w:line="579" w:lineRule="exact"/>
        <w:ind w:firstLine="640" w:firstLineChars="200"/>
        <w:rPr>
          <w:szCs w:val="32"/>
        </w:rPr>
      </w:pPr>
      <w:r>
        <w:rPr>
          <w:rFonts w:hint="eastAsia" w:eastAsia="方正楷体_GBK" w:cs="方正楷体_GBK"/>
          <w:szCs w:val="32"/>
        </w:rPr>
        <w:t>（九）坚持提高生活质量，推动民生福祉更加夯实。</w:t>
      </w:r>
      <w:r>
        <w:rPr>
          <w:rFonts w:hint="eastAsia"/>
          <w:szCs w:val="32"/>
        </w:rPr>
        <w:t>坚持量力而行、尽力而为，解决好群众急难愁盼问题，持续办好民生实事，抓紧抓实就业工作，大力发展社会事业，提高人民群众幸福感、获得感。</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4AB2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122" w:type="dxa"/>
            <w:shd w:val="clear" w:color="auto" w:fill="F2F2F2"/>
            <w:noWrap/>
            <w:vAlign w:val="center"/>
          </w:tcPr>
          <w:p w14:paraId="01CED97C">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9</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eastAsia="方正黑体_GBK"/>
                <w:sz w:val="28"/>
                <w:szCs w:val="28"/>
              </w:rPr>
              <w:t>民生事业</w:t>
            </w:r>
            <w:r>
              <w:rPr>
                <w:rFonts w:eastAsia="方正黑体_GBK"/>
                <w:color w:val="000000"/>
                <w:sz w:val="28"/>
                <w:szCs w:val="28"/>
              </w:rPr>
              <w:t>重点</w:t>
            </w:r>
            <w:r>
              <w:rPr>
                <w:rFonts w:hint="eastAsia" w:eastAsia="方正黑体_GBK"/>
                <w:color w:val="000000"/>
                <w:sz w:val="28"/>
                <w:szCs w:val="28"/>
              </w:rPr>
              <w:t>事项</w:t>
            </w:r>
          </w:p>
        </w:tc>
      </w:tr>
      <w:tr w14:paraId="047D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122" w:type="dxa"/>
            <w:noWrap/>
            <w:vAlign w:val="center"/>
          </w:tcPr>
          <w:p w14:paraId="20189459">
            <w:pPr>
              <w:overflowPunct w:val="0"/>
              <w:spacing w:line="340" w:lineRule="exact"/>
              <w:ind w:firstLine="482" w:firstLineChars="200"/>
              <w:rPr>
                <w:sz w:val="24"/>
                <w:szCs w:val="32"/>
                <w:lang w:val="zh-CN"/>
              </w:rPr>
            </w:pPr>
            <w:r>
              <w:rPr>
                <w:rFonts w:hint="eastAsia"/>
                <w:b/>
                <w:bCs/>
                <w:sz w:val="24"/>
                <w:szCs w:val="32"/>
              </w:rPr>
              <w:t>推进民生实事办理。</w:t>
            </w:r>
            <w:r>
              <w:rPr>
                <w:rFonts w:hint="eastAsia"/>
                <w:sz w:val="24"/>
                <w:szCs w:val="32"/>
                <w:lang w:val="zh-CN"/>
              </w:rPr>
              <w:t>按照“群众提、大家定、政府办”理念，突出群众有感、普遍受益，承接市级重点民生实事13件</w:t>
            </w:r>
            <w:r>
              <w:rPr>
                <w:rFonts w:hint="eastAsia"/>
                <w:sz w:val="24"/>
                <w:szCs w:val="32"/>
              </w:rPr>
              <w:t>、遴选县级重点民生实事3件</w:t>
            </w:r>
            <w:r>
              <w:rPr>
                <w:rFonts w:hint="eastAsia"/>
                <w:sz w:val="24"/>
                <w:szCs w:val="32"/>
                <w:lang w:val="zh-CN"/>
              </w:rPr>
              <w:t>，提请本次大会票决。承接市级重点民生实事13件分别为：实施公安局、商业街片区2个老旧小区改造项目；实施农村公路安全生命防护工程110公里；投用青龙山陵园；发展婴幼儿照护服务；推进义务教育阶段学生“双减”；实施坡坎崖绿化3处，新增城市立体绿化8000平方米；完成200个窨井盖异响、破损等问题整治；开展青少年心理健康教育；新建口袋公园3个、城市公厕3座；开展残疾人关爱服务提升行动；新增“错时共享”停车泊位300个；全域黑臭水体清零；实施农业社会化服务惠农工程。提请本次大会票决的3件县级重点民生实事候选项目分别为：投用重庆城口育才中学；加快滨河体育公园及青少年活动中心建设；实施特殊困难群体法律援助。</w:t>
            </w:r>
          </w:p>
          <w:p w14:paraId="5C8828BD">
            <w:pPr>
              <w:overflowPunct w:val="0"/>
              <w:spacing w:line="340" w:lineRule="exact"/>
              <w:ind w:firstLine="482" w:firstLineChars="200"/>
              <w:rPr>
                <w:sz w:val="24"/>
                <w:szCs w:val="32"/>
              </w:rPr>
            </w:pPr>
            <w:r>
              <w:rPr>
                <w:rFonts w:hint="eastAsia"/>
                <w:b/>
                <w:bCs/>
                <w:sz w:val="24"/>
                <w:szCs w:val="32"/>
              </w:rPr>
              <w:t>抓紧抓实就业稳定。</w:t>
            </w:r>
            <w:r>
              <w:rPr>
                <w:rFonts w:hint="eastAsia"/>
                <w:sz w:val="24"/>
                <w:szCs w:val="32"/>
              </w:rPr>
              <w:t>落实就业创业扶持政策，出台支持发展劳务经济政策措施，积极拓展劳务输出、帮扶车间、返乡创业等渠道，培育农村劳务经纪人和致富带头人，大力推广“以工代赈”，脱贫人口就业2.3万人以上。加大力度开展就业援助月、春风行动等公共就业服务专项活动，实现全县转移就业8万人以上。推进创业带动就业，发放创业担保贷款3000万元以上，扶持重点群体创业。建成县公共实训基地，加大产业工人职业技能培训，实施“校企合作”模式，创建“巴渝工匠”乡村驿站3个，开展电工、中式烹调师、互联网营销师等市场用工需求大的培训项目，针对重点群体开展培训1000人次以上，提升劳动力就业竞争力。</w:t>
            </w:r>
          </w:p>
          <w:p w14:paraId="78142FEB">
            <w:pPr>
              <w:overflowPunct w:val="0"/>
              <w:spacing w:line="340" w:lineRule="exact"/>
              <w:ind w:firstLine="482" w:firstLineChars="200"/>
            </w:pPr>
            <w:r>
              <w:rPr>
                <w:rFonts w:hint="eastAsia"/>
                <w:b/>
                <w:bCs/>
                <w:sz w:val="24"/>
                <w:szCs w:val="32"/>
              </w:rPr>
              <w:t>增强公共服务供给能力。</w:t>
            </w:r>
            <w:r>
              <w:rPr>
                <w:rFonts w:hint="eastAsia"/>
                <w:sz w:val="24"/>
                <w:szCs w:val="32"/>
              </w:rPr>
              <w:t>加快推进城口育才中学、明通小学及幼儿园建设，确保2024年秋季开学投用。实施学校基础设施改造提升工程48个。深化产教融合校企合作，新引入1-2家企业入校。组建11个教育集团，推进义务教育优质均衡县创建。提升教育系统网络速度及数据安全，创建2所市级智慧校园示范校园。深化以县总医院为抓手的医疗卫生体制改革，投用县人民医院住院综合楼、县妇幼保健院新院区，启动高观、明通、巴山3个县域医疗卫生次中心建设。推动县人民医院创建三级综合医院，县妇幼保健院、县中医医院创建二级甲等，县疾控中心达到二级甲等标准。做大做强养老产业，完成6个养老服务中心撤并试点，完成第五、第六老年养护中心建设。</w:t>
            </w:r>
            <w:r>
              <w:rPr>
                <w:sz w:val="24"/>
                <w:szCs w:val="32"/>
                <w:lang w:val="zh-CN"/>
              </w:rPr>
              <w:t>完成10个乡镇</w:t>
            </w:r>
            <w:r>
              <w:rPr>
                <w:rFonts w:hint="eastAsia"/>
                <w:sz w:val="24"/>
                <w:szCs w:val="32"/>
                <w:lang w:val="zh-CN"/>
              </w:rPr>
              <w:t>政务</w:t>
            </w:r>
            <w:r>
              <w:rPr>
                <w:sz w:val="24"/>
                <w:szCs w:val="32"/>
                <w:lang w:val="zh-CN"/>
              </w:rPr>
              <w:t>服务中心医保能力提升，积极推荐复兴街道、鸡鸣乡、县医保服务中心创建市级医疗保障服务示范点。</w:t>
            </w:r>
            <w:r>
              <w:rPr>
                <w:rFonts w:hint="eastAsia"/>
                <w:sz w:val="24"/>
                <w:szCs w:val="32"/>
                <w:lang w:val="zh-CN"/>
              </w:rPr>
              <w:t>有序推进妇女儿童、残疾人事业发展，健全社会保障体系。</w:t>
            </w:r>
          </w:p>
        </w:tc>
      </w:tr>
    </w:tbl>
    <w:p w14:paraId="598B3F07">
      <w:pPr>
        <w:overflowPunct w:val="0"/>
        <w:spacing w:line="579" w:lineRule="exact"/>
        <w:ind w:firstLine="640" w:firstLineChars="200"/>
        <w:rPr>
          <w:rFonts w:eastAsia="方正楷体_GBK" w:cs="方正楷体_GBK"/>
          <w:szCs w:val="32"/>
        </w:rPr>
      </w:pPr>
      <w:r>
        <w:rPr>
          <w:rFonts w:hint="eastAsia" w:eastAsia="方正楷体_GBK" w:cs="方正楷体_GBK"/>
          <w:szCs w:val="32"/>
        </w:rPr>
        <w:t>（十）</w:t>
      </w:r>
      <w:bookmarkEnd w:id="0"/>
      <w:bookmarkEnd w:id="1"/>
      <w:bookmarkEnd w:id="2"/>
      <w:bookmarkEnd w:id="3"/>
      <w:bookmarkEnd w:id="4"/>
      <w:bookmarkEnd w:id="5"/>
      <w:bookmarkEnd w:id="6"/>
      <w:bookmarkStart w:id="8" w:name="_Toc13025"/>
      <w:bookmarkStart w:id="9" w:name="_Toc4931"/>
      <w:bookmarkStart w:id="10" w:name="_Toc14860"/>
      <w:bookmarkStart w:id="11" w:name="_Toc3155"/>
      <w:bookmarkStart w:id="12" w:name="_Toc667038263"/>
      <w:bookmarkStart w:id="13" w:name="_Toc1010183802"/>
      <w:bookmarkStart w:id="14" w:name="_Toc31308"/>
      <w:r>
        <w:rPr>
          <w:rFonts w:hint="eastAsia" w:eastAsia="方正楷体_GBK" w:cs="方正楷体_GBK"/>
          <w:szCs w:val="32"/>
        </w:rPr>
        <w:t>坚持防范化解风险</w:t>
      </w:r>
      <w:bookmarkEnd w:id="8"/>
      <w:bookmarkEnd w:id="9"/>
      <w:bookmarkEnd w:id="10"/>
      <w:bookmarkEnd w:id="11"/>
      <w:bookmarkEnd w:id="12"/>
      <w:bookmarkEnd w:id="13"/>
      <w:bookmarkEnd w:id="14"/>
      <w:r>
        <w:rPr>
          <w:rFonts w:hint="eastAsia" w:eastAsia="方正楷体_GBK" w:cs="方正楷体_GBK"/>
          <w:szCs w:val="32"/>
        </w:rPr>
        <w:t>，推动平安城口加快建设。</w:t>
      </w:r>
      <w:r>
        <w:rPr>
          <w:rFonts w:hint="eastAsia"/>
          <w:szCs w:val="32"/>
        </w:rPr>
        <w:t>深入防范化解重点领域风险，加快推进安全管理体制改革，积极推进法规标准体系落实，健全安全工作机制，提高重点领域风险管控能力，维护全县安全稳定形势。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5C4E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2" w:type="dxa"/>
            <w:shd w:val="clear" w:color="auto" w:fill="F2F2F2"/>
            <w:noWrap/>
            <w:vAlign w:val="center"/>
          </w:tcPr>
          <w:p w14:paraId="716794F6">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10</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sz w:val="28"/>
                <w:szCs w:val="28"/>
              </w:rPr>
              <w:t>风险防范</w:t>
            </w:r>
            <w:r>
              <w:rPr>
                <w:rFonts w:eastAsia="方正黑体_GBK"/>
                <w:color w:val="000000"/>
                <w:sz w:val="28"/>
                <w:szCs w:val="28"/>
              </w:rPr>
              <w:t>重点</w:t>
            </w:r>
            <w:r>
              <w:rPr>
                <w:rFonts w:hint="eastAsia" w:eastAsia="方正黑体_GBK"/>
                <w:color w:val="000000"/>
                <w:sz w:val="28"/>
                <w:szCs w:val="28"/>
              </w:rPr>
              <w:t>事项</w:t>
            </w:r>
          </w:p>
        </w:tc>
      </w:tr>
      <w:tr w14:paraId="41D0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2" w:type="dxa"/>
            <w:noWrap/>
            <w:vAlign w:val="center"/>
          </w:tcPr>
          <w:p w14:paraId="0CDD137D">
            <w:pPr>
              <w:overflowPunct w:val="0"/>
              <w:spacing w:line="340" w:lineRule="exact"/>
              <w:ind w:firstLine="482" w:firstLineChars="200"/>
              <w:rPr>
                <w:sz w:val="24"/>
                <w:szCs w:val="32"/>
                <w:lang w:val="zh-CN"/>
              </w:rPr>
            </w:pPr>
            <w:r>
              <w:rPr>
                <w:rFonts w:hint="eastAsia"/>
                <w:b/>
                <w:bCs/>
                <w:sz w:val="24"/>
                <w:szCs w:val="32"/>
              </w:rPr>
              <w:t>防范化解重点领域风险。</w:t>
            </w:r>
            <w:r>
              <w:rPr>
                <w:rFonts w:hint="eastAsia"/>
                <w:sz w:val="24"/>
                <w:szCs w:val="32"/>
                <w:lang w:val="zh-CN"/>
              </w:rPr>
              <w:t>切实抓好政府债务、房地产开发、非法金融活动、工资拖欠等重点领域风险防范化解处置。健全财政平稳运行机制，持续压减非急需、非刚性支出。坚决扛起债务化解政治责任，系统部署推进债务风险防范化解，制定完成路径，确保量化指标全面完成，控制性指标不突破。持续做好“保交楼”工作，确保2024年底累计交付房屋</w:t>
            </w:r>
            <w:r>
              <w:rPr>
                <w:rFonts w:hint="eastAsia"/>
                <w:sz w:val="24"/>
                <w:szCs w:val="32"/>
              </w:rPr>
              <w:t>300</w:t>
            </w:r>
            <w:r>
              <w:rPr>
                <w:rFonts w:hint="eastAsia"/>
                <w:sz w:val="24"/>
                <w:szCs w:val="32"/>
                <w:lang w:val="zh-CN"/>
              </w:rPr>
              <w:t>套以上、整体交付进度达到98%。加大非法集资风险行政处置化解力度，严厉打击非法金融活动，进一步加强非法集资领域的隐患排查。促进市场平稳发展，加大在建项目排查和管控，实行在建项目预售资金全额监管，切实保障资金安全。</w:t>
            </w:r>
          </w:p>
          <w:p w14:paraId="42ECA279">
            <w:pPr>
              <w:overflowPunct w:val="0"/>
              <w:spacing w:line="340" w:lineRule="exact"/>
              <w:ind w:firstLine="482" w:firstLineChars="200"/>
              <w:rPr>
                <w:sz w:val="24"/>
                <w:szCs w:val="32"/>
                <w:lang w:val="zh-CN"/>
              </w:rPr>
            </w:pPr>
            <w:r>
              <w:rPr>
                <w:rFonts w:hint="eastAsia"/>
                <w:b/>
                <w:bCs/>
                <w:sz w:val="24"/>
                <w:szCs w:val="32"/>
                <w:lang w:val="zh-CN"/>
              </w:rPr>
              <w:t>保障社会公共安全</w:t>
            </w:r>
            <w:r>
              <w:rPr>
                <w:rFonts w:hint="eastAsia"/>
                <w:sz w:val="24"/>
                <w:szCs w:val="32"/>
                <w:lang w:val="zh-CN"/>
              </w:rPr>
              <w:t>。常态化开展扫黑除恶专项斗争，依法防范打击电信诈骗、非法集资、涉未成年人等违法犯罪活动，整治突出治安问题，维护人民群众生命财产安全，群众安全感保持在99%以上。严密防范境内外敌对势力、各类邪教组织的渗透破坏活动，严格管控各类重点人和利益诉求群体，确保国家政治安全和社会大局稳定。持续巩固“全国信访工作示范县”成果，压实初信初访首办责任，加强涉法涉诉信访案件化解和信访突出问题治理。深化新时代“枫桥经验”“浦江经验”城口实践，深入推进诉源治理，推进信访工作法治化，推动95%以上的矛盾纠纷在乡村两级化解。</w:t>
            </w:r>
          </w:p>
          <w:p w14:paraId="5CACB08B">
            <w:pPr>
              <w:overflowPunct w:val="0"/>
              <w:spacing w:line="340" w:lineRule="exact"/>
              <w:ind w:firstLine="482" w:firstLineChars="200"/>
            </w:pPr>
            <w:r>
              <w:rPr>
                <w:rFonts w:hint="eastAsia"/>
                <w:b/>
                <w:bCs/>
                <w:sz w:val="24"/>
                <w:szCs w:val="32"/>
                <w:lang w:val="zh-CN"/>
              </w:rPr>
              <w:t>维护生产安全</w:t>
            </w:r>
            <w:r>
              <w:rPr>
                <w:rFonts w:hint="eastAsia"/>
                <w:sz w:val="24"/>
                <w:szCs w:val="32"/>
                <w:lang w:val="zh-CN"/>
              </w:rPr>
              <w:t>。实施安全生产治本攻坚三年行动，持续深化安全生产十五条硬措施，推动重大事故隐患动态清零。加强食品药品安全工作，推进国家食品安全示范城市创建。压紧压实企业安全生产主体责任，推动企业构建安全风险分级管控和隐患排查双重预防机制，督促企业加强安全技术设备设施升级改造。全面推行一线岗位责任制，力争2024年实现所有企业全覆盖。加强山洪灾害治理，实施中小河流气象灾害防御项目，开展山洪灾害监测能力和小流域山洪灾害“四预”能力建设。完成重庆市大巴山（城口县）森林火灾高风险区综合治理工程建设项目。推进应急救援管理体制改革，打造应急指挥平台“升级版”，坚决遏制较大及以上事故灾害发生。</w:t>
            </w:r>
          </w:p>
        </w:tc>
      </w:tr>
    </w:tbl>
    <w:p w14:paraId="7B26FC87">
      <w:pPr>
        <w:overflowPunct w:val="0"/>
        <w:spacing w:line="579" w:lineRule="exact"/>
        <w:ind w:firstLine="640" w:firstLineChars="200"/>
        <w:rPr>
          <w:szCs w:val="32"/>
        </w:rPr>
        <w:sectPr>
          <w:footerReference r:id="rId3" w:type="default"/>
          <w:pgSz w:w="11906" w:h="16838"/>
          <w:pgMar w:top="2098" w:right="1474" w:bottom="1984" w:left="1587" w:header="851" w:footer="1361" w:gutter="0"/>
          <w:cols w:space="720" w:num="1"/>
          <w:docGrid w:type="lines" w:linePitch="312" w:charSpace="0"/>
        </w:sectPr>
      </w:pPr>
    </w:p>
    <w:p w14:paraId="1B8DAD3B">
      <w:pPr>
        <w:overflowPunct w:val="0"/>
        <w:adjustRightInd w:val="0"/>
        <w:snapToGrid w:val="0"/>
        <w:spacing w:line="500" w:lineRule="exact"/>
        <w:rPr>
          <w:rFonts w:eastAsia="方正黑体_GBK"/>
          <w:sz w:val="30"/>
          <w:szCs w:val="30"/>
        </w:rPr>
      </w:pPr>
      <w:r>
        <w:rPr>
          <w:rFonts w:hint="eastAsia" w:eastAsia="方正黑体_GBK"/>
          <w:sz w:val="30"/>
          <w:szCs w:val="30"/>
        </w:rPr>
        <w:t>附表</w:t>
      </w:r>
      <w:r>
        <w:rPr>
          <w:rFonts w:eastAsia="方正黑体_GBK"/>
          <w:sz w:val="30"/>
          <w:szCs w:val="30"/>
        </w:rPr>
        <w:t>1</w:t>
      </w:r>
    </w:p>
    <w:p w14:paraId="08CF26BF">
      <w:pPr>
        <w:pStyle w:val="11"/>
        <w:overflowPunct w:val="0"/>
        <w:spacing w:line="500" w:lineRule="exact"/>
        <w:jc w:val="center"/>
        <w:rPr>
          <w:rFonts w:ascii="Times New Roman" w:hAnsi="Times New Roman" w:eastAsia="方正黑体_GBK"/>
          <w:sz w:val="30"/>
          <w:szCs w:val="30"/>
        </w:rPr>
      </w:pPr>
      <w:r>
        <w:rPr>
          <w:rFonts w:ascii="Times New Roman" w:hAnsi="Times New Roman" w:eastAsia="方正黑体_GBK"/>
          <w:sz w:val="30"/>
          <w:szCs w:val="30"/>
        </w:rPr>
        <w:t>城口县202</w:t>
      </w:r>
      <w:r>
        <w:rPr>
          <w:rFonts w:hint="eastAsia" w:ascii="Times New Roman" w:hAnsi="Times New Roman" w:eastAsia="方正黑体_GBK"/>
          <w:sz w:val="30"/>
          <w:szCs w:val="30"/>
        </w:rPr>
        <w:t>3</w:t>
      </w:r>
      <w:r>
        <w:rPr>
          <w:rFonts w:ascii="Times New Roman" w:hAnsi="Times New Roman" w:eastAsia="方正黑体_GBK"/>
          <w:sz w:val="30"/>
          <w:szCs w:val="30"/>
        </w:rPr>
        <w:t>年国民经济和社会发展目标完成情况</w:t>
      </w:r>
    </w:p>
    <w:p w14:paraId="0FA81A1B">
      <w:pPr>
        <w:pStyle w:val="11"/>
        <w:overflowPunct w:val="0"/>
        <w:spacing w:line="5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受宏观环境以及疫情平稳转段恢复阵痛期影响，全县经济社会发展受到较大冲击，</w:t>
      </w:r>
      <w:r>
        <w:rPr>
          <w:rFonts w:hint="eastAsia" w:ascii="Times New Roman" w:hAnsi="Times New Roman" w:eastAsia="方正仿宋_GBK"/>
          <w:sz w:val="30"/>
          <w:szCs w:val="30"/>
        </w:rPr>
        <w:t>有效</w:t>
      </w:r>
      <w:r>
        <w:rPr>
          <w:rFonts w:ascii="Times New Roman" w:hAnsi="Times New Roman" w:eastAsia="方正仿宋_GBK"/>
          <w:sz w:val="30"/>
          <w:szCs w:val="30"/>
        </w:rPr>
        <w:t>需求不足、</w:t>
      </w:r>
      <w:r>
        <w:rPr>
          <w:rFonts w:hint="eastAsia" w:ascii="Times New Roman" w:hAnsi="Times New Roman" w:eastAsia="方正仿宋_GBK"/>
          <w:sz w:val="30"/>
          <w:szCs w:val="30"/>
        </w:rPr>
        <w:t>社会预期偏弱</w:t>
      </w:r>
      <w:r>
        <w:rPr>
          <w:rFonts w:ascii="Times New Roman" w:hAnsi="Times New Roman" w:eastAsia="方正仿宋_GBK"/>
          <w:sz w:val="30"/>
          <w:szCs w:val="30"/>
        </w:rPr>
        <w:t>，主要经济指标在承压中实现阶梯式增长，</w:t>
      </w:r>
      <w:r>
        <w:rPr>
          <w:rFonts w:hint="eastAsia" w:ascii="Times New Roman" w:hAnsi="Times New Roman" w:eastAsia="方正仿宋_GBK"/>
          <w:sz w:val="30"/>
          <w:szCs w:val="30"/>
        </w:rPr>
        <w:t>这</w:t>
      </w:r>
      <w:r>
        <w:rPr>
          <w:rFonts w:ascii="Times New Roman" w:hAnsi="Times New Roman" w:eastAsia="方正仿宋_GBK"/>
          <w:sz w:val="30"/>
          <w:szCs w:val="30"/>
        </w:rPr>
        <w:t>是全县上下共同努力的结果。县十八届人大三次会议审议批准</w:t>
      </w:r>
      <w:r>
        <w:rPr>
          <w:rFonts w:hint="eastAsia" w:ascii="Times New Roman" w:hAnsi="Times New Roman" w:eastAsia="方正仿宋_GBK"/>
          <w:sz w:val="30"/>
          <w:szCs w:val="30"/>
        </w:rPr>
        <w:t>的</w:t>
      </w:r>
      <w:r>
        <w:rPr>
          <w:rFonts w:ascii="Times New Roman" w:hAnsi="Times New Roman" w:eastAsia="方正仿宋_GBK"/>
          <w:sz w:val="30"/>
          <w:szCs w:val="30"/>
        </w:rPr>
        <w:t>37项计划指标中，6项为约束性指标，全部完成年度任务；31项为预期性指标，其中2</w:t>
      </w:r>
      <w:r>
        <w:rPr>
          <w:rFonts w:hint="eastAsia" w:ascii="Times New Roman" w:hAnsi="Times New Roman" w:eastAsia="方正仿宋_GBK"/>
          <w:sz w:val="30"/>
          <w:szCs w:val="30"/>
        </w:rPr>
        <w:t>2</w:t>
      </w:r>
      <w:r>
        <w:rPr>
          <w:rFonts w:ascii="Times New Roman" w:hAnsi="Times New Roman" w:eastAsia="方正仿宋_GBK"/>
          <w:sz w:val="30"/>
          <w:szCs w:val="30"/>
        </w:rPr>
        <w:t>项指标基</w:t>
      </w:r>
      <w:r>
        <w:rPr>
          <w:rFonts w:hint="eastAsia" w:ascii="Times New Roman" w:hAnsi="Times New Roman" w:eastAsia="方正仿宋_GBK"/>
          <w:sz w:val="30"/>
          <w:szCs w:val="30"/>
        </w:rPr>
        <w:t>本</w:t>
      </w:r>
      <w:r>
        <w:rPr>
          <w:rFonts w:ascii="Times New Roman" w:hAnsi="Times New Roman" w:eastAsia="方正仿宋_GBK"/>
          <w:sz w:val="30"/>
          <w:szCs w:val="30"/>
        </w:rPr>
        <w:t>达到预期，地区生产总值、农业增加值、一般公共预算收入等</w:t>
      </w:r>
      <w:r>
        <w:rPr>
          <w:rFonts w:hint="eastAsia" w:ascii="Times New Roman" w:hAnsi="Times New Roman" w:eastAsia="方正仿宋_GBK"/>
          <w:sz w:val="30"/>
          <w:szCs w:val="30"/>
        </w:rPr>
        <w:t>9</w:t>
      </w:r>
      <w:r>
        <w:rPr>
          <w:rFonts w:ascii="Times New Roman" w:hAnsi="Times New Roman" w:eastAsia="方正仿宋_GBK"/>
          <w:sz w:val="30"/>
          <w:szCs w:val="30"/>
        </w:rPr>
        <w:t>项指标低于预期。具体情况如下：</w:t>
      </w:r>
    </w:p>
    <w:p w14:paraId="6CACF56E">
      <w:pPr>
        <w:pStyle w:val="11"/>
        <w:overflowPunct w:val="0"/>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一、部分指标情况说明</w:t>
      </w:r>
    </w:p>
    <w:p w14:paraId="039692D9">
      <w:pPr>
        <w:pStyle w:val="11"/>
        <w:overflowPunct w:val="0"/>
        <w:spacing w:line="50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第13项“常住人口城镇化率”指标，年初进行审议时数据还未公布，没有明确具体预期目标，故参照全市目标“较上年提升0.5个百分点”。</w:t>
      </w:r>
    </w:p>
    <w:p w14:paraId="3484F7D4">
      <w:pPr>
        <w:pStyle w:val="11"/>
        <w:overflowPunct w:val="0"/>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二、指标完成情况</w:t>
      </w:r>
    </w:p>
    <w:p w14:paraId="7111CFF9">
      <w:pPr>
        <w:pStyle w:val="11"/>
        <w:overflowPunct w:val="0"/>
        <w:spacing w:line="500" w:lineRule="exact"/>
        <w:ind w:firstLine="600" w:firstLineChars="200"/>
        <w:rPr>
          <w:rFonts w:ascii="Times New Roman" w:hAnsi="Times New Roman" w:eastAsia="方正仿宋_GBK"/>
          <w:sz w:val="30"/>
          <w:szCs w:val="30"/>
          <w:highlight w:val="yellow"/>
        </w:rPr>
      </w:pPr>
      <w:r>
        <w:rPr>
          <w:rFonts w:ascii="Times New Roman" w:hAnsi="Times New Roman" w:eastAsia="方正仿宋_GBK"/>
          <w:sz w:val="30"/>
          <w:szCs w:val="30"/>
        </w:rPr>
        <w:t>20</w:t>
      </w:r>
      <w:r>
        <w:rPr>
          <w:rFonts w:hint="eastAsia" w:ascii="Times New Roman" w:hAnsi="Times New Roman" w:eastAsia="方正仿宋_GBK"/>
          <w:sz w:val="30"/>
          <w:szCs w:val="30"/>
        </w:rPr>
        <w:t>23</w:t>
      </w:r>
      <w:r>
        <w:rPr>
          <w:rFonts w:ascii="Times New Roman" w:hAnsi="Times New Roman" w:eastAsia="方正仿宋_GBK"/>
          <w:sz w:val="30"/>
          <w:szCs w:val="30"/>
        </w:rPr>
        <w:t>年以来，</w:t>
      </w:r>
      <w:r>
        <w:rPr>
          <w:rFonts w:hint="eastAsia" w:ascii="Times New Roman" w:hAnsi="Times New Roman" w:eastAsia="方正仿宋_GBK"/>
          <w:sz w:val="30"/>
          <w:szCs w:val="30"/>
        </w:rPr>
        <w:t>经济形势更趋复杂严峻，内外部不确定性因素增多、风险挑战增多，经济全面复苏面临诸多压力阻力，</w:t>
      </w:r>
      <w:r>
        <w:rPr>
          <w:rFonts w:ascii="Times New Roman" w:hAnsi="Times New Roman" w:eastAsia="方正仿宋_GBK"/>
          <w:sz w:val="30"/>
          <w:szCs w:val="30"/>
        </w:rPr>
        <w:t>地区生产总值等主要经济指标不及预期，</w:t>
      </w:r>
      <w:r>
        <w:rPr>
          <w:rFonts w:hint="eastAsia" w:ascii="Times New Roman" w:hAnsi="Times New Roman" w:eastAsia="方正仿宋_GBK"/>
          <w:sz w:val="30"/>
          <w:szCs w:val="30"/>
        </w:rPr>
        <w:t>投资、消费等需求类指标波动下滑。</w:t>
      </w:r>
      <w:r>
        <w:rPr>
          <w:rFonts w:ascii="Times New Roman" w:hAnsi="Times New Roman" w:eastAsia="方正仿宋_GBK"/>
          <w:sz w:val="30"/>
          <w:szCs w:val="30"/>
        </w:rPr>
        <w:t>其中，受耕地质量不高和土地细碎化影响，种植业较难实现大幅度增长，再加上市场价格和养殖周期等因素影响，牧业养殖规模受限</w:t>
      </w:r>
      <w:r>
        <w:rPr>
          <w:rFonts w:hint="eastAsia" w:ascii="Times New Roman" w:hAnsi="Times New Roman" w:eastAsia="方正仿宋_GBK"/>
          <w:sz w:val="30"/>
          <w:szCs w:val="30"/>
        </w:rPr>
        <w:t>，农业增加值增长4.4%；</w:t>
      </w:r>
      <w:r>
        <w:rPr>
          <w:rFonts w:ascii="Times New Roman" w:hAnsi="Times New Roman" w:eastAsia="方正仿宋_GBK"/>
          <w:sz w:val="30"/>
          <w:szCs w:val="30"/>
        </w:rPr>
        <w:t>受外部宏观环境和县内客观因素制约，</w:t>
      </w:r>
      <w:r>
        <w:rPr>
          <w:rFonts w:hint="eastAsia" w:ascii="Times New Roman" w:hAnsi="Times New Roman" w:eastAsia="方正仿宋_GBK"/>
          <w:sz w:val="30"/>
          <w:szCs w:val="30"/>
        </w:rPr>
        <w:t>全</w:t>
      </w:r>
      <w:r>
        <w:rPr>
          <w:rFonts w:ascii="Times New Roman" w:hAnsi="Times New Roman" w:eastAsia="方正仿宋_GBK"/>
          <w:sz w:val="30"/>
          <w:szCs w:val="30"/>
        </w:rPr>
        <w:t>县房地产业、基础设施建设等建筑市场整体呈下滑趋势，建筑业增加值增</w:t>
      </w:r>
      <w:r>
        <w:rPr>
          <w:rFonts w:hint="eastAsia" w:ascii="Times New Roman" w:hAnsi="Times New Roman" w:eastAsia="方正仿宋_GBK"/>
          <w:sz w:val="30"/>
          <w:szCs w:val="30"/>
        </w:rPr>
        <w:t>长5.4%、固定资产投资增长8%；后疫情时期服务业企业生产经营和居民生活消费活动恢复不足，服务业增加值增长6.1%、社会消费品零售总额增长6%、新增规模以上服务业企业2家；</w:t>
      </w:r>
      <w:r>
        <w:rPr>
          <w:rFonts w:ascii="Times New Roman" w:hAnsi="Times New Roman" w:eastAsia="方正仿宋_GBK"/>
          <w:sz w:val="30"/>
          <w:szCs w:val="30"/>
        </w:rPr>
        <w:t>此外，一般公共预算收入增速、</w:t>
      </w:r>
      <w:r>
        <w:rPr>
          <w:rFonts w:hint="eastAsia" w:ascii="Times New Roman" w:hAnsi="Times New Roman" w:eastAsia="方正仿宋_GBK"/>
          <w:sz w:val="30"/>
          <w:szCs w:val="30"/>
        </w:rPr>
        <w:t>城镇</w:t>
      </w:r>
      <w:r>
        <w:rPr>
          <w:rFonts w:ascii="Times New Roman" w:hAnsi="Times New Roman" w:eastAsia="方正仿宋_GBK"/>
          <w:sz w:val="30"/>
          <w:szCs w:val="30"/>
        </w:rPr>
        <w:t>居民人均可支配收入增速、</w:t>
      </w:r>
      <w:r>
        <w:rPr>
          <w:rFonts w:hint="eastAsia" w:ascii="Times New Roman" w:hAnsi="Times New Roman" w:eastAsia="方正仿宋_GBK"/>
          <w:sz w:val="30"/>
          <w:szCs w:val="30"/>
        </w:rPr>
        <w:t>农村居民人均可支配收入</w:t>
      </w:r>
      <w:r>
        <w:rPr>
          <w:rFonts w:ascii="Times New Roman" w:hAnsi="Times New Roman" w:eastAsia="方正仿宋_GBK"/>
          <w:sz w:val="30"/>
          <w:szCs w:val="30"/>
        </w:rPr>
        <w:t>等主要经济指标也不同程度受到影响，完成情况不及预期。</w:t>
      </w:r>
    </w:p>
    <w:p w14:paraId="0667A69E">
      <w:pPr>
        <w:pStyle w:val="11"/>
        <w:overflowPunct w:val="0"/>
        <w:spacing w:line="5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同时要看到的是，</w:t>
      </w:r>
      <w:r>
        <w:rPr>
          <w:rFonts w:hint="eastAsia" w:ascii="Times New Roman" w:hAnsi="Times New Roman" w:eastAsia="方正仿宋_GBK"/>
          <w:sz w:val="30"/>
          <w:szCs w:val="30"/>
        </w:rPr>
        <w:t>虽然</w:t>
      </w:r>
      <w:r>
        <w:rPr>
          <w:rFonts w:ascii="Times New Roman" w:hAnsi="Times New Roman" w:eastAsia="方正仿宋_GBK"/>
          <w:sz w:val="30"/>
          <w:szCs w:val="30"/>
        </w:rPr>
        <w:t>部分经济指标出现波动</w:t>
      </w:r>
      <w:r>
        <w:rPr>
          <w:rFonts w:hint="eastAsia" w:ascii="Times New Roman" w:hAnsi="Times New Roman" w:eastAsia="方正仿宋_GBK"/>
          <w:sz w:val="30"/>
          <w:szCs w:val="30"/>
        </w:rPr>
        <w:t>不及预期</w:t>
      </w:r>
      <w:r>
        <w:rPr>
          <w:rFonts w:ascii="Times New Roman" w:hAnsi="Times New Roman" w:eastAsia="方正仿宋_GBK"/>
          <w:sz w:val="30"/>
          <w:szCs w:val="30"/>
        </w:rPr>
        <w:t>，</w:t>
      </w:r>
      <w:r>
        <w:rPr>
          <w:rFonts w:hint="eastAsia" w:ascii="Times New Roman" w:hAnsi="Times New Roman" w:eastAsia="方正仿宋_GBK"/>
          <w:sz w:val="30"/>
          <w:szCs w:val="30"/>
        </w:rPr>
        <w:t>但</w:t>
      </w:r>
      <w:r>
        <w:rPr>
          <w:rFonts w:ascii="Times New Roman" w:hAnsi="Times New Roman" w:eastAsia="方正仿宋_GBK"/>
          <w:sz w:val="30"/>
          <w:szCs w:val="30"/>
        </w:rPr>
        <w:t>我</w:t>
      </w:r>
      <w:r>
        <w:rPr>
          <w:rFonts w:hint="eastAsia" w:ascii="Times New Roman" w:hAnsi="Times New Roman" w:eastAsia="方正仿宋_GBK"/>
          <w:sz w:val="30"/>
          <w:szCs w:val="30"/>
        </w:rPr>
        <w:t>县</w:t>
      </w:r>
      <w:r>
        <w:rPr>
          <w:rFonts w:ascii="Times New Roman" w:hAnsi="Times New Roman" w:eastAsia="方正仿宋_GBK"/>
          <w:sz w:val="30"/>
          <w:szCs w:val="30"/>
        </w:rPr>
        <w:t>抓科技创新、抓市场主体、抓社会民生、抓生态文明建设等工作成效明显，全社会研发经费支出占地区生产总值比重达</w:t>
      </w:r>
      <w:r>
        <w:rPr>
          <w:rFonts w:hint="eastAsia" w:ascii="Times New Roman" w:hAnsi="Times New Roman" w:eastAsia="方正仿宋_GBK"/>
          <w:sz w:val="30"/>
          <w:szCs w:val="30"/>
        </w:rPr>
        <w:t>0.53</w:t>
      </w:r>
      <w:r>
        <w:rPr>
          <w:rFonts w:ascii="Times New Roman" w:hAnsi="Times New Roman" w:eastAsia="方正仿宋_GBK"/>
          <w:sz w:val="30"/>
          <w:szCs w:val="30"/>
        </w:rPr>
        <w:t>%左右、新</w:t>
      </w:r>
      <w:r>
        <w:rPr>
          <w:rFonts w:hint="eastAsia" w:ascii="Times New Roman" w:hAnsi="Times New Roman" w:eastAsia="方正仿宋_GBK"/>
          <w:sz w:val="30"/>
          <w:szCs w:val="30"/>
        </w:rPr>
        <w:t>增</w:t>
      </w:r>
      <w:r>
        <w:rPr>
          <w:rFonts w:ascii="Times New Roman" w:hAnsi="Times New Roman" w:eastAsia="方正仿宋_GBK"/>
          <w:sz w:val="30"/>
          <w:szCs w:val="30"/>
        </w:rPr>
        <w:t>市场主体</w:t>
      </w:r>
      <w:r>
        <w:rPr>
          <w:rFonts w:hint="eastAsia" w:ascii="Times New Roman" w:hAnsi="Times New Roman" w:eastAsia="方正仿宋_GBK"/>
          <w:sz w:val="30"/>
          <w:szCs w:val="30"/>
        </w:rPr>
        <w:t>3053家</w:t>
      </w:r>
      <w:r>
        <w:rPr>
          <w:rFonts w:ascii="Times New Roman" w:hAnsi="Times New Roman" w:eastAsia="方正仿宋_GBK"/>
          <w:sz w:val="30"/>
          <w:szCs w:val="30"/>
        </w:rPr>
        <w:t>、城镇新增就业</w:t>
      </w:r>
      <w:r>
        <w:rPr>
          <w:rFonts w:hint="eastAsia" w:ascii="Times New Roman" w:hAnsi="Times New Roman" w:eastAsia="方正仿宋_GBK"/>
          <w:sz w:val="30"/>
          <w:szCs w:val="30"/>
        </w:rPr>
        <w:t>2004</w:t>
      </w:r>
      <w:r>
        <w:rPr>
          <w:rFonts w:ascii="Times New Roman" w:hAnsi="Times New Roman" w:eastAsia="方正仿宋_GBK"/>
          <w:sz w:val="30"/>
          <w:szCs w:val="30"/>
        </w:rPr>
        <w:t>人、城镇调查失业率5.</w:t>
      </w:r>
      <w:r>
        <w:rPr>
          <w:rFonts w:hint="eastAsia" w:ascii="Times New Roman" w:hAnsi="Times New Roman" w:eastAsia="方正仿宋_GBK"/>
          <w:sz w:val="30"/>
          <w:szCs w:val="30"/>
        </w:rPr>
        <w:t>5</w:t>
      </w:r>
      <w:r>
        <w:rPr>
          <w:rFonts w:ascii="Times New Roman" w:hAnsi="Times New Roman" w:eastAsia="方正仿宋_GBK"/>
          <w:sz w:val="30"/>
          <w:szCs w:val="30"/>
        </w:rPr>
        <w:t>%</w:t>
      </w:r>
      <w:r>
        <w:rPr>
          <w:rFonts w:hint="eastAsia" w:ascii="Times New Roman" w:hAnsi="Times New Roman" w:eastAsia="方正仿宋_GBK"/>
          <w:sz w:val="30"/>
          <w:szCs w:val="30"/>
        </w:rPr>
        <w:t>、生产安全事故死亡人数4人</w:t>
      </w:r>
      <w:r>
        <w:rPr>
          <w:rFonts w:ascii="Times New Roman" w:hAnsi="Times New Roman" w:eastAsia="方正仿宋_GBK"/>
          <w:sz w:val="30"/>
          <w:szCs w:val="30"/>
        </w:rPr>
        <w:t>、空气质量优良天数3</w:t>
      </w:r>
      <w:r>
        <w:rPr>
          <w:rFonts w:hint="eastAsia" w:ascii="Times New Roman" w:hAnsi="Times New Roman" w:eastAsia="方正仿宋_GBK"/>
          <w:sz w:val="30"/>
          <w:szCs w:val="30"/>
        </w:rPr>
        <w:t>60</w:t>
      </w:r>
      <w:r>
        <w:rPr>
          <w:rFonts w:ascii="Times New Roman" w:hAnsi="Times New Roman" w:eastAsia="方正仿宋_GBK"/>
          <w:sz w:val="30"/>
          <w:szCs w:val="30"/>
        </w:rPr>
        <w:t>天，均如期完成目标。</w:t>
      </w:r>
    </w:p>
    <w:p w14:paraId="4BD1EC01">
      <w:pPr>
        <w:pStyle w:val="11"/>
        <w:overflowPunct w:val="0"/>
        <w:spacing w:line="500" w:lineRule="exact"/>
        <w:ind w:firstLine="600" w:firstLineChars="200"/>
        <w:rPr>
          <w:rFonts w:ascii="Times New Roman" w:hAnsi="Times New Roman" w:eastAsia="方正仿宋_GBK"/>
          <w:sz w:val="30"/>
          <w:szCs w:val="30"/>
        </w:rPr>
      </w:pPr>
    </w:p>
    <w:tbl>
      <w:tblPr>
        <w:tblStyle w:val="16"/>
        <w:tblW w:w="9939" w:type="dxa"/>
        <w:jc w:val="center"/>
        <w:tblLayout w:type="fixed"/>
        <w:tblCellMar>
          <w:top w:w="0" w:type="dxa"/>
          <w:left w:w="0" w:type="dxa"/>
          <w:bottom w:w="0" w:type="dxa"/>
          <w:right w:w="0" w:type="dxa"/>
        </w:tblCellMar>
      </w:tblPr>
      <w:tblGrid>
        <w:gridCol w:w="825"/>
        <w:gridCol w:w="1420"/>
        <w:gridCol w:w="3703"/>
        <w:gridCol w:w="1157"/>
        <w:gridCol w:w="1417"/>
        <w:gridCol w:w="1417"/>
      </w:tblGrid>
      <w:tr w14:paraId="7AB8D47B">
        <w:tblPrEx>
          <w:tblCellMar>
            <w:top w:w="0" w:type="dxa"/>
            <w:left w:w="0" w:type="dxa"/>
            <w:bottom w:w="0" w:type="dxa"/>
            <w:right w:w="0" w:type="dxa"/>
          </w:tblCellMar>
        </w:tblPrEx>
        <w:trPr>
          <w:trHeight w:val="423" w:hRule="atLeast"/>
          <w:tblHeader/>
          <w:jc w:val="center"/>
        </w:trPr>
        <w:tc>
          <w:tcPr>
            <w:tcW w:w="825"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24B02155">
            <w:pPr>
              <w:overflowPunct w:val="0"/>
              <w:adjustRightInd w:val="0"/>
              <w:snapToGrid w:val="0"/>
              <w:spacing w:line="400" w:lineRule="exact"/>
              <w:jc w:val="center"/>
              <w:rPr>
                <w:b/>
                <w:bCs/>
                <w:sz w:val="28"/>
              </w:rPr>
            </w:pPr>
            <w:r>
              <w:rPr>
                <w:b/>
                <w:bCs/>
                <w:sz w:val="28"/>
              </w:rPr>
              <w:t>序号</w:t>
            </w:r>
          </w:p>
        </w:tc>
        <w:tc>
          <w:tcPr>
            <w:tcW w:w="5123" w:type="dxa"/>
            <w:gridSpan w:val="2"/>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33890636">
            <w:pPr>
              <w:overflowPunct w:val="0"/>
              <w:adjustRightInd w:val="0"/>
              <w:snapToGrid w:val="0"/>
              <w:spacing w:line="400" w:lineRule="exact"/>
              <w:jc w:val="center"/>
              <w:rPr>
                <w:b/>
                <w:bCs/>
                <w:sz w:val="28"/>
              </w:rPr>
            </w:pPr>
            <w:r>
              <w:rPr>
                <w:b/>
                <w:bCs/>
                <w:sz w:val="28"/>
              </w:rPr>
              <w:t>指标</w:t>
            </w:r>
          </w:p>
        </w:tc>
        <w:tc>
          <w:tcPr>
            <w:tcW w:w="1157"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48EF9E50">
            <w:pPr>
              <w:overflowPunct w:val="0"/>
              <w:adjustRightInd w:val="0"/>
              <w:snapToGrid w:val="0"/>
              <w:spacing w:line="400" w:lineRule="exact"/>
              <w:jc w:val="center"/>
              <w:rPr>
                <w:b/>
                <w:bCs/>
                <w:sz w:val="28"/>
              </w:rPr>
            </w:pPr>
            <w:r>
              <w:rPr>
                <w:b/>
                <w:bCs/>
                <w:sz w:val="28"/>
              </w:rPr>
              <w:t>预期</w:t>
            </w:r>
          </w:p>
        </w:tc>
        <w:tc>
          <w:tcPr>
            <w:tcW w:w="1417"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30B723E1">
            <w:pPr>
              <w:overflowPunct w:val="0"/>
              <w:adjustRightInd w:val="0"/>
              <w:snapToGrid w:val="0"/>
              <w:spacing w:line="400" w:lineRule="exact"/>
              <w:jc w:val="center"/>
              <w:rPr>
                <w:b/>
                <w:bCs/>
                <w:sz w:val="28"/>
              </w:rPr>
            </w:pPr>
            <w:r>
              <w:rPr>
                <w:b/>
                <w:bCs/>
                <w:sz w:val="28"/>
              </w:rPr>
              <w:t>指标属性</w:t>
            </w:r>
          </w:p>
        </w:tc>
        <w:tc>
          <w:tcPr>
            <w:tcW w:w="1417"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699741B0">
            <w:pPr>
              <w:overflowPunct w:val="0"/>
              <w:adjustRightInd w:val="0"/>
              <w:snapToGrid w:val="0"/>
              <w:spacing w:line="400" w:lineRule="exact"/>
              <w:jc w:val="center"/>
              <w:rPr>
                <w:b/>
                <w:bCs/>
                <w:sz w:val="28"/>
              </w:rPr>
            </w:pPr>
            <w:r>
              <w:rPr>
                <w:rFonts w:hint="eastAsia"/>
                <w:b/>
                <w:bCs/>
                <w:sz w:val="28"/>
              </w:rPr>
              <w:t>完成情况</w:t>
            </w:r>
          </w:p>
        </w:tc>
      </w:tr>
      <w:tr w14:paraId="05269FF6">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B54CDB">
            <w:pPr>
              <w:overflowPunct w:val="0"/>
              <w:adjustRightInd w:val="0"/>
              <w:snapToGrid w:val="0"/>
              <w:spacing w:line="400" w:lineRule="exact"/>
              <w:jc w:val="center"/>
              <w:rPr>
                <w:b/>
                <w:bCs/>
                <w:sz w:val="28"/>
              </w:rPr>
            </w:pPr>
            <w:r>
              <w:rPr>
                <w:b/>
                <w:bCs/>
                <w:sz w:val="28"/>
              </w:rPr>
              <w:t>一</w:t>
            </w:r>
          </w:p>
        </w:tc>
        <w:tc>
          <w:tcPr>
            <w:tcW w:w="911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49861B">
            <w:pPr>
              <w:overflowPunct w:val="0"/>
              <w:adjustRightInd w:val="0"/>
              <w:snapToGrid w:val="0"/>
              <w:spacing w:line="400" w:lineRule="exact"/>
              <w:jc w:val="left"/>
              <w:rPr>
                <w:b/>
                <w:bCs/>
                <w:sz w:val="28"/>
              </w:rPr>
            </w:pPr>
            <w:r>
              <w:rPr>
                <w:b/>
                <w:bCs/>
                <w:sz w:val="28"/>
              </w:rPr>
              <w:t>推动高质量发展</w:t>
            </w:r>
          </w:p>
        </w:tc>
      </w:tr>
      <w:tr w14:paraId="6D29213C">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09ADDC">
            <w:pPr>
              <w:overflowPunct w:val="0"/>
              <w:adjustRightInd w:val="0"/>
              <w:snapToGrid w:val="0"/>
              <w:spacing w:line="400" w:lineRule="exact"/>
              <w:jc w:val="center"/>
              <w:rPr>
                <w:sz w:val="28"/>
              </w:rPr>
            </w:pPr>
            <w:r>
              <w:rPr>
                <w:sz w:val="28"/>
              </w:rPr>
              <w:t>1</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DC546D">
            <w:pPr>
              <w:overflowPunct w:val="0"/>
              <w:adjustRightInd w:val="0"/>
              <w:snapToGrid w:val="0"/>
              <w:spacing w:line="400" w:lineRule="exact"/>
              <w:rPr>
                <w:sz w:val="28"/>
              </w:rPr>
            </w:pPr>
            <w:r>
              <w:rPr>
                <w:sz w:val="28"/>
              </w:rPr>
              <w:t>地区生产总值增速（%）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5972A6">
            <w:pPr>
              <w:overflowPunct w:val="0"/>
              <w:adjustRightInd w:val="0"/>
              <w:snapToGrid w:val="0"/>
              <w:spacing w:line="400" w:lineRule="exact"/>
              <w:jc w:val="center"/>
              <w:rPr>
                <w:sz w:val="28"/>
              </w:rPr>
            </w:pPr>
            <w:r>
              <w:rPr>
                <w:sz w:val="28"/>
              </w:rPr>
              <w:t>7左右</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5D0159">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052675">
            <w:pPr>
              <w:overflowPunct w:val="0"/>
              <w:adjustRightInd w:val="0"/>
              <w:snapToGrid w:val="0"/>
              <w:spacing w:line="400" w:lineRule="exact"/>
              <w:jc w:val="center"/>
              <w:rPr>
                <w:sz w:val="28"/>
              </w:rPr>
            </w:pPr>
            <w:r>
              <w:rPr>
                <w:rFonts w:hint="eastAsia"/>
                <w:sz w:val="28"/>
              </w:rPr>
              <w:t>6</w:t>
            </w:r>
          </w:p>
        </w:tc>
      </w:tr>
      <w:tr w14:paraId="1E72390F">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581579">
            <w:pPr>
              <w:overflowPunct w:val="0"/>
              <w:adjustRightInd w:val="0"/>
              <w:snapToGrid w:val="0"/>
              <w:spacing w:line="400" w:lineRule="exact"/>
              <w:jc w:val="center"/>
              <w:rPr>
                <w:sz w:val="28"/>
              </w:rPr>
            </w:pPr>
            <w:r>
              <w:rPr>
                <w:sz w:val="28"/>
              </w:rPr>
              <w:t>2</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D14F5C">
            <w:pPr>
              <w:overflowPunct w:val="0"/>
              <w:adjustRightInd w:val="0"/>
              <w:snapToGrid w:val="0"/>
              <w:spacing w:line="400" w:lineRule="exact"/>
              <w:rPr>
                <w:sz w:val="28"/>
              </w:rPr>
            </w:pPr>
            <w:r>
              <w:rPr>
                <w:sz w:val="28"/>
              </w:rPr>
              <w:t>农业增加值增速（%）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4E794E">
            <w:pPr>
              <w:overflowPunct w:val="0"/>
              <w:adjustRightInd w:val="0"/>
              <w:snapToGrid w:val="0"/>
              <w:spacing w:line="400" w:lineRule="exact"/>
              <w:jc w:val="center"/>
              <w:rPr>
                <w:sz w:val="28"/>
              </w:rPr>
            </w:pPr>
            <w:r>
              <w:rPr>
                <w:sz w:val="28"/>
              </w:rPr>
              <w:t>7</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D0E3073">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400DCE">
            <w:pPr>
              <w:overflowPunct w:val="0"/>
              <w:adjustRightInd w:val="0"/>
              <w:snapToGrid w:val="0"/>
              <w:spacing w:line="400" w:lineRule="exact"/>
              <w:jc w:val="center"/>
              <w:rPr>
                <w:sz w:val="28"/>
              </w:rPr>
            </w:pPr>
            <w:r>
              <w:rPr>
                <w:rFonts w:hint="eastAsia"/>
                <w:sz w:val="28"/>
              </w:rPr>
              <w:t>4.4</w:t>
            </w:r>
          </w:p>
        </w:tc>
      </w:tr>
      <w:tr w14:paraId="02742644">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CB4BDF">
            <w:pPr>
              <w:overflowPunct w:val="0"/>
              <w:adjustRightInd w:val="0"/>
              <w:snapToGrid w:val="0"/>
              <w:spacing w:line="400" w:lineRule="exact"/>
              <w:jc w:val="center"/>
              <w:rPr>
                <w:sz w:val="28"/>
              </w:rPr>
            </w:pPr>
            <w:r>
              <w:rPr>
                <w:sz w:val="28"/>
              </w:rPr>
              <w:t>3</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022E62">
            <w:pPr>
              <w:overflowPunct w:val="0"/>
              <w:adjustRightInd w:val="0"/>
              <w:snapToGrid w:val="0"/>
              <w:spacing w:line="400" w:lineRule="exact"/>
              <w:rPr>
                <w:sz w:val="28"/>
              </w:rPr>
            </w:pPr>
            <w:r>
              <w:rPr>
                <w:sz w:val="28"/>
              </w:rPr>
              <w:t>规上工业增加值增速（%）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A6A318">
            <w:pPr>
              <w:overflowPunct w:val="0"/>
              <w:adjustRightInd w:val="0"/>
              <w:snapToGrid w:val="0"/>
              <w:spacing w:line="400" w:lineRule="exact"/>
              <w:jc w:val="center"/>
              <w:rPr>
                <w:sz w:val="28"/>
              </w:rPr>
            </w:pPr>
            <w:r>
              <w:rPr>
                <w:sz w:val="28"/>
              </w:rPr>
              <w:t>15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A2D075">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AA2835">
            <w:pPr>
              <w:overflowPunct w:val="0"/>
              <w:adjustRightInd w:val="0"/>
              <w:snapToGrid w:val="0"/>
              <w:spacing w:line="400" w:lineRule="exact"/>
              <w:jc w:val="center"/>
              <w:rPr>
                <w:sz w:val="28"/>
              </w:rPr>
            </w:pPr>
            <w:r>
              <w:rPr>
                <w:rFonts w:hint="eastAsia"/>
                <w:sz w:val="28"/>
              </w:rPr>
              <w:t>15.1</w:t>
            </w:r>
          </w:p>
        </w:tc>
      </w:tr>
      <w:tr w14:paraId="3CF58AB3">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0E448A">
            <w:pPr>
              <w:overflowPunct w:val="0"/>
              <w:adjustRightInd w:val="0"/>
              <w:snapToGrid w:val="0"/>
              <w:spacing w:line="400" w:lineRule="exact"/>
              <w:jc w:val="center"/>
              <w:rPr>
                <w:sz w:val="28"/>
              </w:rPr>
            </w:pPr>
            <w:r>
              <w:rPr>
                <w:sz w:val="28"/>
              </w:rPr>
              <w:t>4</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29EC8B">
            <w:pPr>
              <w:overflowPunct w:val="0"/>
              <w:adjustRightInd w:val="0"/>
              <w:snapToGrid w:val="0"/>
              <w:spacing w:line="400" w:lineRule="exact"/>
              <w:rPr>
                <w:sz w:val="28"/>
              </w:rPr>
            </w:pPr>
            <w:r>
              <w:rPr>
                <w:sz w:val="28"/>
              </w:rPr>
              <w:t>建筑业增加值增速（%）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7BDE08">
            <w:pPr>
              <w:overflowPunct w:val="0"/>
              <w:adjustRightInd w:val="0"/>
              <w:snapToGrid w:val="0"/>
              <w:spacing w:line="400" w:lineRule="exact"/>
              <w:jc w:val="center"/>
              <w:rPr>
                <w:sz w:val="28"/>
              </w:rPr>
            </w:pPr>
            <w:r>
              <w:rPr>
                <w:sz w:val="28"/>
              </w:rPr>
              <w:t>12</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B3F258">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6943D8">
            <w:pPr>
              <w:overflowPunct w:val="0"/>
              <w:adjustRightInd w:val="0"/>
              <w:snapToGrid w:val="0"/>
              <w:spacing w:line="400" w:lineRule="exact"/>
              <w:jc w:val="center"/>
              <w:rPr>
                <w:sz w:val="28"/>
              </w:rPr>
            </w:pPr>
            <w:r>
              <w:rPr>
                <w:rFonts w:hint="eastAsia"/>
                <w:sz w:val="28"/>
              </w:rPr>
              <w:t>5.4</w:t>
            </w:r>
          </w:p>
        </w:tc>
      </w:tr>
      <w:tr w14:paraId="453C1AD9">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06A769">
            <w:pPr>
              <w:overflowPunct w:val="0"/>
              <w:adjustRightInd w:val="0"/>
              <w:snapToGrid w:val="0"/>
              <w:spacing w:line="400" w:lineRule="exact"/>
              <w:jc w:val="center"/>
              <w:rPr>
                <w:sz w:val="28"/>
              </w:rPr>
            </w:pPr>
            <w:r>
              <w:rPr>
                <w:sz w:val="28"/>
              </w:rPr>
              <w:t>5</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DF918E3">
            <w:pPr>
              <w:overflowPunct w:val="0"/>
              <w:adjustRightInd w:val="0"/>
              <w:snapToGrid w:val="0"/>
              <w:spacing w:line="400" w:lineRule="exact"/>
              <w:rPr>
                <w:sz w:val="28"/>
              </w:rPr>
            </w:pPr>
            <w:r>
              <w:rPr>
                <w:sz w:val="28"/>
              </w:rPr>
              <w:t>第三产业增加值增速（%）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7E88927">
            <w:pPr>
              <w:overflowPunct w:val="0"/>
              <w:adjustRightInd w:val="0"/>
              <w:snapToGrid w:val="0"/>
              <w:spacing w:line="400" w:lineRule="exact"/>
              <w:jc w:val="center"/>
              <w:rPr>
                <w:sz w:val="28"/>
              </w:rPr>
            </w:pPr>
            <w:r>
              <w:rPr>
                <w:sz w:val="28"/>
              </w:rPr>
              <w:t>7.5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0582E5">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EB98C3">
            <w:pPr>
              <w:overflowPunct w:val="0"/>
              <w:adjustRightInd w:val="0"/>
              <w:snapToGrid w:val="0"/>
              <w:spacing w:line="400" w:lineRule="exact"/>
              <w:jc w:val="center"/>
              <w:rPr>
                <w:sz w:val="28"/>
              </w:rPr>
            </w:pPr>
            <w:r>
              <w:rPr>
                <w:rFonts w:hint="eastAsia"/>
                <w:sz w:val="28"/>
              </w:rPr>
              <w:t>6.1</w:t>
            </w:r>
          </w:p>
        </w:tc>
      </w:tr>
      <w:tr w14:paraId="1D50437A">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5AB7CE">
            <w:pPr>
              <w:overflowPunct w:val="0"/>
              <w:adjustRightInd w:val="0"/>
              <w:snapToGrid w:val="0"/>
              <w:spacing w:line="400" w:lineRule="exact"/>
              <w:jc w:val="center"/>
              <w:rPr>
                <w:kern w:val="2"/>
                <w:sz w:val="28"/>
              </w:rPr>
            </w:pPr>
            <w:r>
              <w:rPr>
                <w:sz w:val="28"/>
              </w:rPr>
              <w:t>6</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1B23A1">
            <w:pPr>
              <w:overflowPunct w:val="0"/>
              <w:adjustRightInd w:val="0"/>
              <w:snapToGrid w:val="0"/>
              <w:spacing w:line="400" w:lineRule="exact"/>
              <w:rPr>
                <w:sz w:val="28"/>
              </w:rPr>
            </w:pPr>
            <w:r>
              <w:rPr>
                <w:sz w:val="28"/>
              </w:rPr>
              <w:t>战略性新兴产业增加值增速（%）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B6558F8">
            <w:pPr>
              <w:overflowPunct w:val="0"/>
              <w:adjustRightInd w:val="0"/>
              <w:snapToGrid w:val="0"/>
              <w:spacing w:line="400" w:lineRule="exact"/>
              <w:jc w:val="center"/>
              <w:rPr>
                <w:sz w:val="28"/>
              </w:rPr>
            </w:pPr>
            <w:r>
              <w:rPr>
                <w:sz w:val="28"/>
              </w:rPr>
              <w:t>12</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0A0BD01">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439F00">
            <w:pPr>
              <w:overflowPunct w:val="0"/>
              <w:adjustRightInd w:val="0"/>
              <w:snapToGrid w:val="0"/>
              <w:spacing w:line="400" w:lineRule="exact"/>
              <w:jc w:val="center"/>
              <w:rPr>
                <w:sz w:val="28"/>
              </w:rPr>
            </w:pPr>
            <w:r>
              <w:rPr>
                <w:rFonts w:hint="eastAsia"/>
                <w:sz w:val="28"/>
              </w:rPr>
              <w:t>15.7</w:t>
            </w:r>
          </w:p>
        </w:tc>
      </w:tr>
      <w:tr w14:paraId="100763AB">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BCA797">
            <w:pPr>
              <w:overflowPunct w:val="0"/>
              <w:adjustRightInd w:val="0"/>
              <w:snapToGrid w:val="0"/>
              <w:spacing w:line="400" w:lineRule="exact"/>
              <w:jc w:val="center"/>
              <w:rPr>
                <w:kern w:val="2"/>
                <w:sz w:val="28"/>
              </w:rPr>
            </w:pPr>
            <w:r>
              <w:rPr>
                <w:sz w:val="28"/>
              </w:rPr>
              <w:t>7</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53D7FE">
            <w:pPr>
              <w:overflowPunct w:val="0"/>
              <w:adjustRightInd w:val="0"/>
              <w:snapToGrid w:val="0"/>
              <w:spacing w:line="400" w:lineRule="exact"/>
              <w:rPr>
                <w:sz w:val="28"/>
              </w:rPr>
            </w:pPr>
            <w:r>
              <w:rPr>
                <w:sz w:val="28"/>
              </w:rPr>
              <w:t>数字经济增加值增速（%）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F1FA69">
            <w:pPr>
              <w:overflowPunct w:val="0"/>
              <w:adjustRightInd w:val="0"/>
              <w:snapToGrid w:val="0"/>
              <w:spacing w:line="400" w:lineRule="exact"/>
              <w:jc w:val="center"/>
              <w:rPr>
                <w:sz w:val="28"/>
              </w:rPr>
            </w:pPr>
            <w:r>
              <w:rPr>
                <w:sz w:val="28"/>
              </w:rPr>
              <w:t>13</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58FC5E">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48C9EBA">
            <w:pPr>
              <w:overflowPunct w:val="0"/>
              <w:adjustRightInd w:val="0"/>
              <w:snapToGrid w:val="0"/>
              <w:spacing w:line="400" w:lineRule="exact"/>
              <w:jc w:val="center"/>
              <w:rPr>
                <w:sz w:val="28"/>
              </w:rPr>
            </w:pPr>
            <w:r>
              <w:rPr>
                <w:rFonts w:hint="eastAsia"/>
                <w:sz w:val="28"/>
              </w:rPr>
              <w:t>13</w:t>
            </w:r>
          </w:p>
        </w:tc>
      </w:tr>
      <w:tr w14:paraId="71FFE233">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6C350B">
            <w:pPr>
              <w:overflowPunct w:val="0"/>
              <w:adjustRightInd w:val="0"/>
              <w:snapToGrid w:val="0"/>
              <w:spacing w:line="400" w:lineRule="exact"/>
              <w:jc w:val="center"/>
              <w:rPr>
                <w:sz w:val="28"/>
              </w:rPr>
            </w:pPr>
            <w:r>
              <w:rPr>
                <w:sz w:val="28"/>
              </w:rPr>
              <w:t>8</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BE56C5">
            <w:pPr>
              <w:overflowPunct w:val="0"/>
              <w:adjustRightInd w:val="0"/>
              <w:snapToGrid w:val="0"/>
              <w:spacing w:line="400" w:lineRule="exact"/>
              <w:rPr>
                <w:kern w:val="2"/>
                <w:sz w:val="28"/>
              </w:rPr>
            </w:pPr>
            <w:r>
              <w:rPr>
                <w:sz w:val="28"/>
              </w:rPr>
              <w:t>社会消费品零售总额增速（%）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5F97C9">
            <w:pPr>
              <w:overflowPunct w:val="0"/>
              <w:adjustRightInd w:val="0"/>
              <w:snapToGrid w:val="0"/>
              <w:spacing w:line="400" w:lineRule="exact"/>
              <w:jc w:val="center"/>
              <w:rPr>
                <w:kern w:val="2"/>
                <w:sz w:val="28"/>
                <w:szCs w:val="28"/>
              </w:rPr>
            </w:pPr>
            <w:r>
              <w:rPr>
                <w:sz w:val="28"/>
              </w:rPr>
              <w:t>7</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679621">
            <w:pPr>
              <w:overflowPunct w:val="0"/>
              <w:adjustRightInd w:val="0"/>
              <w:snapToGrid w:val="0"/>
              <w:spacing w:line="400" w:lineRule="exact"/>
              <w:jc w:val="center"/>
              <w:rPr>
                <w:kern w:val="2"/>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A9BD969">
            <w:pPr>
              <w:overflowPunct w:val="0"/>
              <w:adjustRightInd w:val="0"/>
              <w:snapToGrid w:val="0"/>
              <w:spacing w:line="400" w:lineRule="exact"/>
              <w:jc w:val="center"/>
              <w:rPr>
                <w:sz w:val="28"/>
              </w:rPr>
            </w:pPr>
            <w:r>
              <w:rPr>
                <w:rFonts w:hint="eastAsia"/>
                <w:sz w:val="28"/>
              </w:rPr>
              <w:t>6</w:t>
            </w:r>
          </w:p>
        </w:tc>
      </w:tr>
      <w:tr w14:paraId="5F25D9BF">
        <w:tblPrEx>
          <w:tblCellMar>
            <w:top w:w="0" w:type="dxa"/>
            <w:left w:w="0" w:type="dxa"/>
            <w:bottom w:w="0" w:type="dxa"/>
            <w:right w:w="0" w:type="dxa"/>
          </w:tblCellMar>
        </w:tblPrEx>
        <w:trPr>
          <w:trHeight w:val="423" w:hRule="atLeast"/>
          <w:jc w:val="center"/>
        </w:trPr>
        <w:tc>
          <w:tcPr>
            <w:tcW w:w="82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8D410FA">
            <w:pPr>
              <w:overflowPunct w:val="0"/>
              <w:adjustRightInd w:val="0"/>
              <w:snapToGrid w:val="0"/>
              <w:spacing w:line="400" w:lineRule="exact"/>
              <w:jc w:val="center"/>
              <w:rPr>
                <w:sz w:val="28"/>
              </w:rPr>
            </w:pPr>
            <w:r>
              <w:rPr>
                <w:sz w:val="28"/>
              </w:rPr>
              <w:t>9</w:t>
            </w:r>
          </w:p>
        </w:tc>
        <w:tc>
          <w:tcPr>
            <w:tcW w:w="1420"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50147DFC">
            <w:pPr>
              <w:overflowPunct w:val="0"/>
              <w:adjustRightInd w:val="0"/>
              <w:snapToGrid w:val="0"/>
              <w:spacing w:line="400" w:lineRule="exact"/>
              <w:jc w:val="center"/>
              <w:rPr>
                <w:sz w:val="28"/>
              </w:rPr>
            </w:pPr>
            <w:r>
              <w:rPr>
                <w:sz w:val="28"/>
              </w:rPr>
              <w:t>金融业</w:t>
            </w:r>
          </w:p>
        </w:tc>
        <w:tc>
          <w:tcPr>
            <w:tcW w:w="3703"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6A4D995">
            <w:pPr>
              <w:overflowPunct w:val="0"/>
              <w:adjustRightInd w:val="0"/>
              <w:snapToGrid w:val="0"/>
              <w:spacing w:line="400" w:lineRule="exact"/>
              <w:rPr>
                <w:kern w:val="2"/>
                <w:sz w:val="28"/>
              </w:rPr>
            </w:pPr>
            <w:r>
              <w:rPr>
                <w:sz w:val="28"/>
              </w:rPr>
              <w:t>金融业增加值增速（%）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6CF3F0">
            <w:pPr>
              <w:overflowPunct w:val="0"/>
              <w:adjustRightInd w:val="0"/>
              <w:snapToGrid w:val="0"/>
              <w:spacing w:line="400" w:lineRule="exact"/>
              <w:jc w:val="center"/>
              <w:rPr>
                <w:kern w:val="2"/>
                <w:sz w:val="28"/>
              </w:rPr>
            </w:pPr>
            <w:r>
              <w:rPr>
                <w:sz w:val="28"/>
              </w:rPr>
              <w:t>6</w:t>
            </w:r>
          </w:p>
        </w:tc>
        <w:tc>
          <w:tcPr>
            <w:tcW w:w="141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0555534">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FF93B3">
            <w:pPr>
              <w:overflowPunct w:val="0"/>
              <w:adjustRightInd w:val="0"/>
              <w:snapToGrid w:val="0"/>
              <w:spacing w:line="400" w:lineRule="exact"/>
              <w:jc w:val="center"/>
              <w:rPr>
                <w:sz w:val="28"/>
              </w:rPr>
            </w:pPr>
            <w:r>
              <w:rPr>
                <w:rFonts w:hint="eastAsia"/>
                <w:sz w:val="28"/>
              </w:rPr>
              <w:t>11.2</w:t>
            </w:r>
          </w:p>
        </w:tc>
      </w:tr>
      <w:tr w14:paraId="5CF11979">
        <w:tblPrEx>
          <w:tblCellMar>
            <w:top w:w="0" w:type="dxa"/>
            <w:left w:w="0" w:type="dxa"/>
            <w:bottom w:w="0" w:type="dxa"/>
            <w:right w:w="0" w:type="dxa"/>
          </w:tblCellMar>
        </w:tblPrEx>
        <w:trPr>
          <w:trHeight w:val="423" w:hRule="atLeast"/>
          <w:jc w:val="center"/>
        </w:trPr>
        <w:tc>
          <w:tcPr>
            <w:tcW w:w="825" w:type="dxa"/>
            <w:vMerge w:val="continue"/>
            <w:tcBorders>
              <w:left w:val="single" w:color="auto" w:sz="4" w:space="0"/>
              <w:right w:val="single" w:color="auto" w:sz="4" w:space="0"/>
            </w:tcBorders>
            <w:tcMar>
              <w:top w:w="0" w:type="dxa"/>
              <w:left w:w="105" w:type="dxa"/>
              <w:bottom w:w="0" w:type="dxa"/>
              <w:right w:w="105" w:type="dxa"/>
            </w:tcMar>
            <w:vAlign w:val="center"/>
          </w:tcPr>
          <w:p w14:paraId="1106547C">
            <w:pPr>
              <w:overflowPunct w:val="0"/>
              <w:adjustRightInd w:val="0"/>
              <w:snapToGrid w:val="0"/>
              <w:spacing w:line="400" w:lineRule="exact"/>
              <w:jc w:val="center"/>
              <w:rPr>
                <w:sz w:val="28"/>
              </w:rPr>
            </w:pPr>
          </w:p>
        </w:tc>
        <w:tc>
          <w:tcPr>
            <w:tcW w:w="1420" w:type="dxa"/>
            <w:vMerge w:val="continue"/>
            <w:tcBorders>
              <w:left w:val="single" w:color="auto" w:sz="4" w:space="0"/>
              <w:right w:val="single" w:color="auto" w:sz="4" w:space="0"/>
            </w:tcBorders>
            <w:tcMar>
              <w:top w:w="0" w:type="dxa"/>
              <w:left w:w="105" w:type="dxa"/>
              <w:bottom w:w="0" w:type="dxa"/>
              <w:right w:w="105" w:type="dxa"/>
            </w:tcMar>
            <w:vAlign w:val="center"/>
          </w:tcPr>
          <w:p w14:paraId="6B2DC3FE">
            <w:pPr>
              <w:overflowPunct w:val="0"/>
              <w:adjustRightInd w:val="0"/>
              <w:snapToGrid w:val="0"/>
              <w:spacing w:line="400" w:lineRule="exact"/>
              <w:rPr>
                <w:sz w:val="28"/>
              </w:rPr>
            </w:pPr>
          </w:p>
        </w:tc>
        <w:tc>
          <w:tcPr>
            <w:tcW w:w="3703"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BA71304">
            <w:pPr>
              <w:overflowPunct w:val="0"/>
              <w:adjustRightInd w:val="0"/>
              <w:snapToGrid w:val="0"/>
              <w:spacing w:line="400" w:lineRule="exact"/>
              <w:rPr>
                <w:kern w:val="2"/>
                <w:sz w:val="28"/>
              </w:rPr>
            </w:pPr>
            <w:r>
              <w:rPr>
                <w:sz w:val="28"/>
              </w:rPr>
              <w:t>存款余额增速（%）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A003C6">
            <w:pPr>
              <w:overflowPunct w:val="0"/>
              <w:adjustRightInd w:val="0"/>
              <w:snapToGrid w:val="0"/>
              <w:spacing w:line="400" w:lineRule="exact"/>
              <w:jc w:val="center"/>
              <w:rPr>
                <w:kern w:val="2"/>
                <w:sz w:val="28"/>
              </w:rPr>
            </w:pPr>
            <w:r>
              <w:rPr>
                <w:sz w:val="28"/>
              </w:rPr>
              <w:t>9</w:t>
            </w:r>
          </w:p>
        </w:tc>
        <w:tc>
          <w:tcPr>
            <w:tcW w:w="1417" w:type="dxa"/>
            <w:vMerge w:val="continue"/>
            <w:tcBorders>
              <w:left w:val="single" w:color="auto" w:sz="4" w:space="0"/>
              <w:right w:val="single" w:color="auto" w:sz="4" w:space="0"/>
            </w:tcBorders>
            <w:tcMar>
              <w:top w:w="0" w:type="dxa"/>
              <w:left w:w="105" w:type="dxa"/>
              <w:bottom w:w="0" w:type="dxa"/>
              <w:right w:w="105" w:type="dxa"/>
            </w:tcMar>
            <w:vAlign w:val="center"/>
          </w:tcPr>
          <w:p w14:paraId="4371D71E">
            <w:pPr>
              <w:overflowPunct w:val="0"/>
              <w:adjustRightInd w:val="0"/>
              <w:snapToGrid w:val="0"/>
              <w:spacing w:line="400" w:lineRule="exact"/>
              <w:jc w:val="center"/>
              <w:rPr>
                <w:sz w:val="28"/>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6F8CA4">
            <w:pPr>
              <w:overflowPunct w:val="0"/>
              <w:adjustRightInd w:val="0"/>
              <w:snapToGrid w:val="0"/>
              <w:spacing w:line="400" w:lineRule="exact"/>
              <w:jc w:val="center"/>
              <w:rPr>
                <w:sz w:val="28"/>
              </w:rPr>
            </w:pPr>
            <w:r>
              <w:rPr>
                <w:rFonts w:hint="eastAsia"/>
                <w:sz w:val="28"/>
              </w:rPr>
              <w:t>8.5</w:t>
            </w:r>
          </w:p>
        </w:tc>
      </w:tr>
      <w:tr w14:paraId="03EB93AB">
        <w:tblPrEx>
          <w:tblCellMar>
            <w:top w:w="0" w:type="dxa"/>
            <w:left w:w="0" w:type="dxa"/>
            <w:bottom w:w="0" w:type="dxa"/>
            <w:right w:w="0" w:type="dxa"/>
          </w:tblCellMar>
        </w:tblPrEx>
        <w:trPr>
          <w:trHeight w:val="423" w:hRule="atLeast"/>
          <w:jc w:val="center"/>
        </w:trPr>
        <w:tc>
          <w:tcPr>
            <w:tcW w:w="825" w:type="dxa"/>
            <w:vMerge w:val="continue"/>
            <w:tcBorders>
              <w:left w:val="single" w:color="auto" w:sz="4" w:space="0"/>
              <w:right w:val="single" w:color="auto" w:sz="4" w:space="0"/>
            </w:tcBorders>
            <w:tcMar>
              <w:top w:w="0" w:type="dxa"/>
              <w:left w:w="105" w:type="dxa"/>
              <w:bottom w:w="0" w:type="dxa"/>
              <w:right w:w="105" w:type="dxa"/>
            </w:tcMar>
            <w:vAlign w:val="center"/>
          </w:tcPr>
          <w:p w14:paraId="673722BA">
            <w:pPr>
              <w:overflowPunct w:val="0"/>
              <w:adjustRightInd w:val="0"/>
              <w:snapToGrid w:val="0"/>
              <w:spacing w:line="400" w:lineRule="exact"/>
              <w:jc w:val="center"/>
              <w:rPr>
                <w:sz w:val="28"/>
              </w:rPr>
            </w:pPr>
          </w:p>
        </w:tc>
        <w:tc>
          <w:tcPr>
            <w:tcW w:w="1420" w:type="dxa"/>
            <w:vMerge w:val="continue"/>
            <w:tcBorders>
              <w:left w:val="single" w:color="auto" w:sz="4" w:space="0"/>
              <w:right w:val="single" w:color="auto" w:sz="4" w:space="0"/>
            </w:tcBorders>
            <w:tcMar>
              <w:top w:w="0" w:type="dxa"/>
              <w:left w:w="105" w:type="dxa"/>
              <w:bottom w:w="0" w:type="dxa"/>
              <w:right w:w="105" w:type="dxa"/>
            </w:tcMar>
            <w:vAlign w:val="center"/>
          </w:tcPr>
          <w:p w14:paraId="00DBC6CB">
            <w:pPr>
              <w:overflowPunct w:val="0"/>
              <w:adjustRightInd w:val="0"/>
              <w:snapToGrid w:val="0"/>
              <w:spacing w:line="400" w:lineRule="exact"/>
              <w:rPr>
                <w:sz w:val="28"/>
              </w:rPr>
            </w:pPr>
          </w:p>
        </w:tc>
        <w:tc>
          <w:tcPr>
            <w:tcW w:w="3703"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9FA413D">
            <w:pPr>
              <w:overflowPunct w:val="0"/>
              <w:adjustRightInd w:val="0"/>
              <w:snapToGrid w:val="0"/>
              <w:spacing w:line="400" w:lineRule="exact"/>
              <w:rPr>
                <w:kern w:val="2"/>
                <w:sz w:val="28"/>
              </w:rPr>
            </w:pPr>
            <w:r>
              <w:rPr>
                <w:sz w:val="28"/>
              </w:rPr>
              <w:t>贷款余额增速（%）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C351B0">
            <w:pPr>
              <w:overflowPunct w:val="0"/>
              <w:adjustRightInd w:val="0"/>
              <w:snapToGrid w:val="0"/>
              <w:spacing w:line="400" w:lineRule="exact"/>
              <w:jc w:val="center"/>
              <w:rPr>
                <w:kern w:val="2"/>
                <w:sz w:val="28"/>
              </w:rPr>
            </w:pPr>
            <w:r>
              <w:rPr>
                <w:sz w:val="28"/>
              </w:rPr>
              <w:t>7</w:t>
            </w:r>
          </w:p>
        </w:tc>
        <w:tc>
          <w:tcPr>
            <w:tcW w:w="1417" w:type="dxa"/>
            <w:vMerge w:val="continue"/>
            <w:tcBorders>
              <w:left w:val="single" w:color="auto" w:sz="4" w:space="0"/>
              <w:right w:val="single" w:color="auto" w:sz="4" w:space="0"/>
            </w:tcBorders>
            <w:tcMar>
              <w:top w:w="0" w:type="dxa"/>
              <w:left w:w="105" w:type="dxa"/>
              <w:bottom w:w="0" w:type="dxa"/>
              <w:right w:w="105" w:type="dxa"/>
            </w:tcMar>
            <w:vAlign w:val="center"/>
          </w:tcPr>
          <w:p w14:paraId="1829920A">
            <w:pPr>
              <w:overflowPunct w:val="0"/>
              <w:adjustRightInd w:val="0"/>
              <w:snapToGrid w:val="0"/>
              <w:spacing w:line="400" w:lineRule="exact"/>
              <w:jc w:val="center"/>
              <w:rPr>
                <w:sz w:val="28"/>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DC1722">
            <w:pPr>
              <w:overflowPunct w:val="0"/>
              <w:adjustRightInd w:val="0"/>
              <w:snapToGrid w:val="0"/>
              <w:spacing w:line="400" w:lineRule="exact"/>
              <w:jc w:val="center"/>
              <w:rPr>
                <w:sz w:val="28"/>
              </w:rPr>
            </w:pPr>
            <w:r>
              <w:rPr>
                <w:rFonts w:hint="eastAsia"/>
                <w:sz w:val="28"/>
              </w:rPr>
              <w:t>14.3</w:t>
            </w:r>
          </w:p>
        </w:tc>
      </w:tr>
      <w:tr w14:paraId="158C0137">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7EB0EA">
            <w:pPr>
              <w:overflowPunct w:val="0"/>
              <w:adjustRightInd w:val="0"/>
              <w:snapToGrid w:val="0"/>
              <w:spacing w:line="400" w:lineRule="exact"/>
              <w:jc w:val="center"/>
              <w:rPr>
                <w:kern w:val="2"/>
                <w:sz w:val="28"/>
              </w:rPr>
            </w:pPr>
            <w:r>
              <w:rPr>
                <w:sz w:val="28"/>
              </w:rPr>
              <w:t>10</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876334">
            <w:pPr>
              <w:overflowPunct w:val="0"/>
              <w:adjustRightInd w:val="0"/>
              <w:snapToGrid w:val="0"/>
              <w:spacing w:line="400" w:lineRule="exact"/>
              <w:rPr>
                <w:sz w:val="28"/>
              </w:rPr>
            </w:pPr>
            <w:r>
              <w:rPr>
                <w:sz w:val="28"/>
              </w:rPr>
              <w:t>固定资产投资增速（%）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F60F35">
            <w:pPr>
              <w:overflowPunct w:val="0"/>
              <w:adjustRightInd w:val="0"/>
              <w:snapToGrid w:val="0"/>
              <w:spacing w:line="400" w:lineRule="exact"/>
              <w:jc w:val="center"/>
              <w:rPr>
                <w:sz w:val="28"/>
              </w:rPr>
            </w:pPr>
            <w:r>
              <w:rPr>
                <w:sz w:val="28"/>
              </w:rPr>
              <w:t>12</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6E9D6B">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852F49">
            <w:pPr>
              <w:overflowPunct w:val="0"/>
              <w:adjustRightInd w:val="0"/>
              <w:snapToGrid w:val="0"/>
              <w:spacing w:line="400" w:lineRule="exact"/>
              <w:jc w:val="center"/>
              <w:rPr>
                <w:sz w:val="28"/>
              </w:rPr>
            </w:pPr>
            <w:r>
              <w:rPr>
                <w:rFonts w:hint="eastAsia"/>
                <w:sz w:val="28"/>
              </w:rPr>
              <w:t>8</w:t>
            </w:r>
          </w:p>
        </w:tc>
      </w:tr>
      <w:tr w14:paraId="478CD4C4">
        <w:tblPrEx>
          <w:tblCellMar>
            <w:top w:w="0" w:type="dxa"/>
            <w:left w:w="0" w:type="dxa"/>
            <w:bottom w:w="0" w:type="dxa"/>
            <w:right w:w="0" w:type="dxa"/>
          </w:tblCellMar>
        </w:tblPrEx>
        <w:trPr>
          <w:trHeight w:val="423" w:hRule="atLeast"/>
          <w:jc w:val="center"/>
        </w:trPr>
        <w:tc>
          <w:tcPr>
            <w:tcW w:w="82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4F6C0D32">
            <w:pPr>
              <w:overflowPunct w:val="0"/>
              <w:adjustRightInd w:val="0"/>
              <w:snapToGrid w:val="0"/>
              <w:spacing w:line="400" w:lineRule="exact"/>
              <w:jc w:val="center"/>
              <w:rPr>
                <w:sz w:val="28"/>
              </w:rPr>
            </w:pPr>
            <w:r>
              <w:rPr>
                <w:sz w:val="28"/>
              </w:rPr>
              <w:t>11</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6BA780">
            <w:pPr>
              <w:overflowPunct w:val="0"/>
              <w:adjustRightInd w:val="0"/>
              <w:snapToGrid w:val="0"/>
              <w:spacing w:line="400" w:lineRule="exact"/>
              <w:rPr>
                <w:sz w:val="28"/>
              </w:rPr>
            </w:pPr>
            <w:r>
              <w:rPr>
                <w:sz w:val="28"/>
              </w:rPr>
              <w:t>一般公共预算收入增速（%）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EC7CA6">
            <w:pPr>
              <w:overflowPunct w:val="0"/>
              <w:adjustRightInd w:val="0"/>
              <w:snapToGrid w:val="0"/>
              <w:spacing w:line="400" w:lineRule="exact"/>
              <w:jc w:val="center"/>
              <w:rPr>
                <w:sz w:val="28"/>
              </w:rPr>
            </w:pPr>
            <w:r>
              <w:rPr>
                <w:sz w:val="28"/>
              </w:rPr>
              <w:t>7</w:t>
            </w:r>
          </w:p>
        </w:tc>
        <w:tc>
          <w:tcPr>
            <w:tcW w:w="141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6DCB000">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E72EDC">
            <w:pPr>
              <w:overflowPunct w:val="0"/>
              <w:adjustRightInd w:val="0"/>
              <w:snapToGrid w:val="0"/>
              <w:spacing w:line="400" w:lineRule="exact"/>
              <w:jc w:val="center"/>
              <w:rPr>
                <w:sz w:val="28"/>
              </w:rPr>
            </w:pPr>
            <w:r>
              <w:rPr>
                <w:rFonts w:hint="eastAsia"/>
                <w:sz w:val="28"/>
              </w:rPr>
              <w:t>-27.5</w:t>
            </w:r>
          </w:p>
        </w:tc>
      </w:tr>
      <w:tr w14:paraId="3A79D5C3">
        <w:tblPrEx>
          <w:tblCellMar>
            <w:top w:w="0" w:type="dxa"/>
            <w:left w:w="0" w:type="dxa"/>
            <w:bottom w:w="0" w:type="dxa"/>
            <w:right w:w="0" w:type="dxa"/>
          </w:tblCellMar>
        </w:tblPrEx>
        <w:trPr>
          <w:trHeight w:val="423" w:hRule="atLeast"/>
          <w:jc w:val="center"/>
        </w:trPr>
        <w:tc>
          <w:tcPr>
            <w:tcW w:w="825"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5055119C">
            <w:pPr>
              <w:overflowPunct w:val="0"/>
              <w:adjustRightInd w:val="0"/>
              <w:snapToGrid w:val="0"/>
              <w:spacing w:line="400" w:lineRule="exact"/>
              <w:jc w:val="center"/>
              <w:rPr>
                <w:sz w:val="28"/>
              </w:rPr>
            </w:pP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7FCABD">
            <w:pPr>
              <w:overflowPunct w:val="0"/>
              <w:adjustRightInd w:val="0"/>
              <w:snapToGrid w:val="0"/>
              <w:spacing w:line="400" w:lineRule="exact"/>
              <w:ind w:firstLine="840" w:firstLineChars="300"/>
              <w:rPr>
                <w:sz w:val="28"/>
              </w:rPr>
            </w:pPr>
            <w:r>
              <w:rPr>
                <w:sz w:val="28"/>
              </w:rPr>
              <w:t>其中：税收增速（%）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8D701A1">
            <w:pPr>
              <w:overflowPunct w:val="0"/>
              <w:adjustRightInd w:val="0"/>
              <w:snapToGrid w:val="0"/>
              <w:spacing w:line="400" w:lineRule="exact"/>
              <w:jc w:val="center"/>
              <w:rPr>
                <w:sz w:val="28"/>
              </w:rPr>
            </w:pPr>
            <w:r>
              <w:rPr>
                <w:sz w:val="28"/>
              </w:rPr>
              <w:t>10</w:t>
            </w:r>
          </w:p>
        </w:tc>
        <w:tc>
          <w:tcPr>
            <w:tcW w:w="141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55B95B7A">
            <w:pPr>
              <w:overflowPunct w:val="0"/>
              <w:adjustRightInd w:val="0"/>
              <w:snapToGrid w:val="0"/>
              <w:spacing w:line="400" w:lineRule="exact"/>
              <w:jc w:val="center"/>
              <w:rPr>
                <w:sz w:val="28"/>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46739F">
            <w:pPr>
              <w:overflowPunct w:val="0"/>
              <w:adjustRightInd w:val="0"/>
              <w:snapToGrid w:val="0"/>
              <w:spacing w:line="400" w:lineRule="exact"/>
              <w:jc w:val="center"/>
              <w:rPr>
                <w:sz w:val="28"/>
              </w:rPr>
            </w:pPr>
            <w:r>
              <w:rPr>
                <w:rFonts w:hint="eastAsia"/>
                <w:sz w:val="28"/>
              </w:rPr>
              <w:t>39.1</w:t>
            </w:r>
          </w:p>
        </w:tc>
      </w:tr>
      <w:tr w14:paraId="42301F16">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03A179">
            <w:pPr>
              <w:overflowPunct w:val="0"/>
              <w:adjustRightInd w:val="0"/>
              <w:snapToGrid w:val="0"/>
              <w:spacing w:line="400" w:lineRule="exact"/>
              <w:jc w:val="center"/>
              <w:rPr>
                <w:sz w:val="28"/>
              </w:rPr>
            </w:pPr>
            <w:r>
              <w:rPr>
                <w:sz w:val="28"/>
              </w:rPr>
              <w:t>12</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0EE59E8">
            <w:pPr>
              <w:overflowPunct w:val="0"/>
              <w:adjustRightInd w:val="0"/>
              <w:snapToGrid w:val="0"/>
              <w:spacing w:line="400" w:lineRule="exact"/>
              <w:rPr>
                <w:sz w:val="28"/>
              </w:rPr>
            </w:pPr>
            <w:r>
              <w:rPr>
                <w:sz w:val="28"/>
              </w:rPr>
              <w:t>研发经费投入强度（%）</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605765">
            <w:pPr>
              <w:overflowPunct w:val="0"/>
              <w:adjustRightInd w:val="0"/>
              <w:snapToGrid w:val="0"/>
              <w:spacing w:line="400" w:lineRule="exact"/>
              <w:jc w:val="center"/>
              <w:rPr>
                <w:sz w:val="28"/>
              </w:rPr>
            </w:pPr>
            <w:r>
              <w:rPr>
                <w:sz w:val="28"/>
              </w:rPr>
              <w:t>0.5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6ADD56">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C32FE45">
            <w:pPr>
              <w:overflowPunct w:val="0"/>
              <w:adjustRightInd w:val="0"/>
              <w:snapToGrid w:val="0"/>
              <w:spacing w:line="400" w:lineRule="exact"/>
              <w:jc w:val="center"/>
              <w:rPr>
                <w:sz w:val="28"/>
              </w:rPr>
            </w:pPr>
            <w:r>
              <w:rPr>
                <w:rFonts w:hint="eastAsia"/>
                <w:sz w:val="28"/>
              </w:rPr>
              <w:t>0.53</w:t>
            </w:r>
          </w:p>
        </w:tc>
      </w:tr>
      <w:tr w14:paraId="138E413D">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36BFEE">
            <w:pPr>
              <w:overflowPunct w:val="0"/>
              <w:adjustRightInd w:val="0"/>
              <w:snapToGrid w:val="0"/>
              <w:spacing w:line="400" w:lineRule="exact"/>
              <w:jc w:val="center"/>
              <w:rPr>
                <w:sz w:val="28"/>
              </w:rPr>
            </w:pPr>
            <w:r>
              <w:rPr>
                <w:sz w:val="28"/>
              </w:rPr>
              <w:t>13</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3B2442">
            <w:pPr>
              <w:overflowPunct w:val="0"/>
              <w:adjustRightInd w:val="0"/>
              <w:snapToGrid w:val="0"/>
              <w:spacing w:line="400" w:lineRule="exact"/>
              <w:rPr>
                <w:sz w:val="28"/>
              </w:rPr>
            </w:pPr>
            <w:r>
              <w:rPr>
                <w:sz w:val="28"/>
              </w:rPr>
              <w:t>常住人口城镇化率（%）</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A7194B">
            <w:pPr>
              <w:overflowPunct w:val="0"/>
              <w:adjustRightInd w:val="0"/>
              <w:snapToGrid w:val="0"/>
              <w:spacing w:line="400" w:lineRule="exact"/>
              <w:jc w:val="center"/>
              <w:rPr>
                <w:sz w:val="28"/>
              </w:rPr>
            </w:pPr>
            <w:r>
              <w:rPr>
                <w:sz w:val="28"/>
              </w:rPr>
              <w:t>——</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2EC76B">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F764BC">
            <w:pPr>
              <w:overflowPunct w:val="0"/>
              <w:adjustRightInd w:val="0"/>
              <w:snapToGrid w:val="0"/>
              <w:spacing w:line="400" w:lineRule="exact"/>
              <w:jc w:val="center"/>
              <w:rPr>
                <w:sz w:val="28"/>
              </w:rPr>
            </w:pPr>
            <w:r>
              <w:rPr>
                <w:rFonts w:hint="eastAsia"/>
                <w:sz w:val="28"/>
              </w:rPr>
              <w:t>42.7</w:t>
            </w:r>
          </w:p>
        </w:tc>
      </w:tr>
      <w:tr w14:paraId="13FEC21B">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43D0FF5">
            <w:pPr>
              <w:overflowPunct w:val="0"/>
              <w:adjustRightInd w:val="0"/>
              <w:snapToGrid w:val="0"/>
              <w:spacing w:line="400" w:lineRule="exact"/>
              <w:jc w:val="center"/>
              <w:rPr>
                <w:sz w:val="28"/>
              </w:rPr>
            </w:pPr>
            <w:r>
              <w:rPr>
                <w:sz w:val="28"/>
              </w:rPr>
              <w:t>14</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C4ECE1">
            <w:pPr>
              <w:overflowPunct w:val="0"/>
              <w:adjustRightInd w:val="0"/>
              <w:snapToGrid w:val="0"/>
              <w:spacing w:line="400" w:lineRule="exact"/>
              <w:rPr>
                <w:sz w:val="28"/>
              </w:rPr>
            </w:pPr>
            <w:r>
              <w:rPr>
                <w:sz w:val="28"/>
              </w:rPr>
              <w:t>招商引资实际到位资金（亿元）</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B8FBDD">
            <w:pPr>
              <w:overflowPunct w:val="0"/>
              <w:adjustRightInd w:val="0"/>
              <w:snapToGrid w:val="0"/>
              <w:spacing w:line="400" w:lineRule="exact"/>
              <w:jc w:val="center"/>
              <w:rPr>
                <w:sz w:val="28"/>
              </w:rPr>
            </w:pPr>
            <w:r>
              <w:rPr>
                <w:sz w:val="28"/>
              </w:rPr>
              <w:t>10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55498A">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60ED19C">
            <w:pPr>
              <w:overflowPunct w:val="0"/>
              <w:adjustRightInd w:val="0"/>
              <w:snapToGrid w:val="0"/>
              <w:spacing w:line="400" w:lineRule="exact"/>
              <w:jc w:val="center"/>
              <w:rPr>
                <w:sz w:val="28"/>
              </w:rPr>
            </w:pPr>
            <w:r>
              <w:rPr>
                <w:rFonts w:hint="eastAsia"/>
                <w:sz w:val="28"/>
              </w:rPr>
              <w:t>10.9</w:t>
            </w:r>
          </w:p>
        </w:tc>
      </w:tr>
      <w:tr w14:paraId="537382BC">
        <w:tblPrEx>
          <w:tblCellMar>
            <w:top w:w="0" w:type="dxa"/>
            <w:left w:w="0" w:type="dxa"/>
            <w:bottom w:w="0" w:type="dxa"/>
            <w:right w:w="0" w:type="dxa"/>
          </w:tblCellMar>
        </w:tblPrEx>
        <w:trPr>
          <w:trHeight w:val="423" w:hRule="atLeast"/>
          <w:jc w:val="center"/>
        </w:trPr>
        <w:tc>
          <w:tcPr>
            <w:tcW w:w="82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6FCEB2D">
            <w:pPr>
              <w:overflowPunct w:val="0"/>
              <w:adjustRightInd w:val="0"/>
              <w:snapToGrid w:val="0"/>
              <w:spacing w:line="400" w:lineRule="exact"/>
              <w:jc w:val="center"/>
              <w:rPr>
                <w:sz w:val="28"/>
              </w:rPr>
            </w:pPr>
            <w:r>
              <w:rPr>
                <w:sz w:val="28"/>
              </w:rPr>
              <w:t>15</w:t>
            </w:r>
          </w:p>
        </w:tc>
        <w:tc>
          <w:tcPr>
            <w:tcW w:w="1420"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D5C07C0">
            <w:pPr>
              <w:overflowPunct w:val="0"/>
              <w:adjustRightInd w:val="0"/>
              <w:snapToGrid w:val="0"/>
              <w:spacing w:line="400" w:lineRule="exact"/>
              <w:jc w:val="center"/>
              <w:rPr>
                <w:sz w:val="28"/>
              </w:rPr>
            </w:pPr>
            <w:r>
              <w:rPr>
                <w:sz w:val="28"/>
              </w:rPr>
              <w:t>旅游接待</w:t>
            </w:r>
          </w:p>
        </w:tc>
        <w:tc>
          <w:tcPr>
            <w:tcW w:w="37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9BDDF5">
            <w:pPr>
              <w:overflowPunct w:val="0"/>
              <w:adjustRightInd w:val="0"/>
              <w:snapToGrid w:val="0"/>
              <w:spacing w:line="400" w:lineRule="exact"/>
              <w:rPr>
                <w:sz w:val="28"/>
              </w:rPr>
            </w:pPr>
            <w:r>
              <w:rPr>
                <w:sz w:val="28"/>
              </w:rPr>
              <w:t>游客接待量（万人次）</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B71CCB">
            <w:pPr>
              <w:overflowPunct w:val="0"/>
              <w:adjustRightInd w:val="0"/>
              <w:snapToGrid w:val="0"/>
              <w:spacing w:line="400" w:lineRule="exact"/>
              <w:jc w:val="center"/>
              <w:rPr>
                <w:sz w:val="28"/>
              </w:rPr>
            </w:pPr>
            <w:r>
              <w:rPr>
                <w:sz w:val="28"/>
              </w:rPr>
              <w:t>570</w:t>
            </w:r>
          </w:p>
        </w:tc>
        <w:tc>
          <w:tcPr>
            <w:tcW w:w="141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E1FD646">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918ED5">
            <w:pPr>
              <w:overflowPunct w:val="0"/>
              <w:adjustRightInd w:val="0"/>
              <w:snapToGrid w:val="0"/>
              <w:spacing w:line="400" w:lineRule="exact"/>
              <w:jc w:val="center"/>
              <w:rPr>
                <w:sz w:val="28"/>
              </w:rPr>
            </w:pPr>
            <w:r>
              <w:rPr>
                <w:rFonts w:hint="eastAsia"/>
                <w:sz w:val="28"/>
              </w:rPr>
              <w:t>570</w:t>
            </w:r>
          </w:p>
        </w:tc>
      </w:tr>
      <w:tr w14:paraId="74C352DD">
        <w:tblPrEx>
          <w:tblCellMar>
            <w:top w:w="0" w:type="dxa"/>
            <w:left w:w="0" w:type="dxa"/>
            <w:bottom w:w="0" w:type="dxa"/>
            <w:right w:w="0" w:type="dxa"/>
          </w:tblCellMar>
        </w:tblPrEx>
        <w:trPr>
          <w:trHeight w:val="423" w:hRule="atLeast"/>
          <w:jc w:val="center"/>
        </w:trPr>
        <w:tc>
          <w:tcPr>
            <w:tcW w:w="825"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4F642519">
            <w:pPr>
              <w:overflowPunct w:val="0"/>
              <w:adjustRightInd w:val="0"/>
              <w:snapToGrid w:val="0"/>
              <w:spacing w:line="400" w:lineRule="exact"/>
              <w:jc w:val="center"/>
              <w:rPr>
                <w:sz w:val="28"/>
              </w:rPr>
            </w:pPr>
          </w:p>
        </w:tc>
        <w:tc>
          <w:tcPr>
            <w:tcW w:w="1420"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11418BA3">
            <w:pPr>
              <w:overflowPunct w:val="0"/>
              <w:adjustRightInd w:val="0"/>
              <w:snapToGrid w:val="0"/>
              <w:spacing w:line="400" w:lineRule="exact"/>
              <w:rPr>
                <w:sz w:val="28"/>
              </w:rPr>
            </w:pPr>
          </w:p>
        </w:tc>
        <w:tc>
          <w:tcPr>
            <w:tcW w:w="37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B47B8B">
            <w:pPr>
              <w:overflowPunct w:val="0"/>
              <w:adjustRightInd w:val="0"/>
              <w:snapToGrid w:val="0"/>
              <w:spacing w:line="400" w:lineRule="exact"/>
              <w:rPr>
                <w:sz w:val="28"/>
              </w:rPr>
            </w:pPr>
            <w:r>
              <w:rPr>
                <w:sz w:val="28"/>
              </w:rPr>
              <w:t>旅游综合收入增速（%）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30BC9D">
            <w:pPr>
              <w:overflowPunct w:val="0"/>
              <w:adjustRightInd w:val="0"/>
              <w:snapToGrid w:val="0"/>
              <w:spacing w:line="400" w:lineRule="exact"/>
              <w:jc w:val="center"/>
              <w:rPr>
                <w:sz w:val="28"/>
              </w:rPr>
            </w:pPr>
            <w:r>
              <w:rPr>
                <w:sz w:val="28"/>
              </w:rPr>
              <w:t>15</w:t>
            </w:r>
          </w:p>
        </w:tc>
        <w:tc>
          <w:tcPr>
            <w:tcW w:w="141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2AF6A115">
            <w:pPr>
              <w:overflowPunct w:val="0"/>
              <w:adjustRightInd w:val="0"/>
              <w:snapToGrid w:val="0"/>
              <w:spacing w:line="400" w:lineRule="exact"/>
              <w:jc w:val="center"/>
              <w:rPr>
                <w:sz w:val="28"/>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B33369">
            <w:pPr>
              <w:overflowPunct w:val="0"/>
              <w:adjustRightInd w:val="0"/>
              <w:snapToGrid w:val="0"/>
              <w:spacing w:line="400" w:lineRule="exact"/>
              <w:jc w:val="center"/>
              <w:rPr>
                <w:sz w:val="28"/>
              </w:rPr>
            </w:pPr>
            <w:r>
              <w:rPr>
                <w:rFonts w:hint="eastAsia"/>
                <w:sz w:val="28"/>
              </w:rPr>
              <w:t>15</w:t>
            </w:r>
          </w:p>
        </w:tc>
      </w:tr>
      <w:tr w14:paraId="6712D4A5">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D326393">
            <w:pPr>
              <w:overflowPunct w:val="0"/>
              <w:adjustRightInd w:val="0"/>
              <w:snapToGrid w:val="0"/>
              <w:spacing w:line="400" w:lineRule="exact"/>
              <w:jc w:val="center"/>
              <w:rPr>
                <w:sz w:val="28"/>
              </w:rPr>
            </w:pPr>
            <w:r>
              <w:rPr>
                <w:b/>
                <w:bCs/>
                <w:sz w:val="28"/>
              </w:rPr>
              <w:t>二</w:t>
            </w:r>
          </w:p>
        </w:tc>
        <w:tc>
          <w:tcPr>
            <w:tcW w:w="911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77A4CF">
            <w:pPr>
              <w:overflowPunct w:val="0"/>
              <w:adjustRightInd w:val="0"/>
              <w:snapToGrid w:val="0"/>
              <w:spacing w:line="400" w:lineRule="exact"/>
              <w:rPr>
                <w:b/>
                <w:bCs/>
                <w:sz w:val="28"/>
              </w:rPr>
            </w:pPr>
            <w:r>
              <w:rPr>
                <w:b/>
                <w:bCs/>
                <w:sz w:val="28"/>
              </w:rPr>
              <w:t>创造高品质生活</w:t>
            </w:r>
          </w:p>
        </w:tc>
      </w:tr>
      <w:tr w14:paraId="52CE6AA3">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25535A">
            <w:pPr>
              <w:overflowPunct w:val="0"/>
              <w:adjustRightInd w:val="0"/>
              <w:snapToGrid w:val="0"/>
              <w:spacing w:line="400" w:lineRule="exact"/>
              <w:jc w:val="center"/>
              <w:rPr>
                <w:kern w:val="2"/>
                <w:sz w:val="28"/>
                <w:szCs w:val="28"/>
              </w:rPr>
            </w:pPr>
            <w:r>
              <w:rPr>
                <w:sz w:val="28"/>
              </w:rPr>
              <w:t>16</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280A84">
            <w:pPr>
              <w:overflowPunct w:val="0"/>
              <w:adjustRightInd w:val="0"/>
              <w:snapToGrid w:val="0"/>
              <w:spacing w:line="400" w:lineRule="exact"/>
              <w:rPr>
                <w:sz w:val="28"/>
              </w:rPr>
            </w:pPr>
            <w:r>
              <w:rPr>
                <w:sz w:val="28"/>
              </w:rPr>
              <w:t>城镇居民人均可支配收入增速（%）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95BA30">
            <w:pPr>
              <w:overflowPunct w:val="0"/>
              <w:adjustRightInd w:val="0"/>
              <w:snapToGrid w:val="0"/>
              <w:spacing w:line="400" w:lineRule="exact"/>
              <w:jc w:val="center"/>
              <w:rPr>
                <w:sz w:val="28"/>
              </w:rPr>
            </w:pPr>
            <w:r>
              <w:rPr>
                <w:sz w:val="28"/>
              </w:rPr>
              <w:t>5.5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A964F9">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573CEE">
            <w:pPr>
              <w:overflowPunct w:val="0"/>
              <w:adjustRightInd w:val="0"/>
              <w:snapToGrid w:val="0"/>
              <w:spacing w:line="400" w:lineRule="exact"/>
              <w:jc w:val="center"/>
              <w:rPr>
                <w:sz w:val="28"/>
              </w:rPr>
            </w:pPr>
            <w:r>
              <w:rPr>
                <w:rFonts w:hint="eastAsia"/>
                <w:sz w:val="28"/>
              </w:rPr>
              <w:t>3.8</w:t>
            </w:r>
          </w:p>
        </w:tc>
      </w:tr>
      <w:tr w14:paraId="03003C75">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8CC023">
            <w:pPr>
              <w:overflowPunct w:val="0"/>
              <w:adjustRightInd w:val="0"/>
              <w:snapToGrid w:val="0"/>
              <w:spacing w:line="400" w:lineRule="exact"/>
              <w:jc w:val="center"/>
              <w:rPr>
                <w:kern w:val="2"/>
                <w:sz w:val="28"/>
              </w:rPr>
            </w:pPr>
            <w:r>
              <w:rPr>
                <w:sz w:val="28"/>
              </w:rPr>
              <w:t>17</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A63007">
            <w:pPr>
              <w:overflowPunct w:val="0"/>
              <w:adjustRightInd w:val="0"/>
              <w:snapToGrid w:val="0"/>
              <w:spacing w:line="400" w:lineRule="exact"/>
              <w:rPr>
                <w:sz w:val="28"/>
              </w:rPr>
            </w:pPr>
            <w:r>
              <w:rPr>
                <w:sz w:val="28"/>
              </w:rPr>
              <w:t>农村居民人均可支配收入增速（%）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7972402">
            <w:pPr>
              <w:overflowPunct w:val="0"/>
              <w:adjustRightInd w:val="0"/>
              <w:snapToGrid w:val="0"/>
              <w:spacing w:line="400" w:lineRule="exact"/>
              <w:jc w:val="center"/>
              <w:rPr>
                <w:sz w:val="28"/>
              </w:rPr>
            </w:pPr>
            <w:r>
              <w:rPr>
                <w:sz w:val="28"/>
              </w:rPr>
              <w:t>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9305A1">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9FD6F9C">
            <w:pPr>
              <w:overflowPunct w:val="0"/>
              <w:adjustRightInd w:val="0"/>
              <w:snapToGrid w:val="0"/>
              <w:spacing w:line="400" w:lineRule="exact"/>
              <w:jc w:val="center"/>
              <w:rPr>
                <w:sz w:val="28"/>
              </w:rPr>
            </w:pPr>
            <w:r>
              <w:rPr>
                <w:rFonts w:hint="eastAsia"/>
                <w:sz w:val="28"/>
              </w:rPr>
              <w:t>7.</w:t>
            </w:r>
            <w:r>
              <w:rPr>
                <w:sz w:val="28"/>
              </w:rPr>
              <w:t>0</w:t>
            </w:r>
          </w:p>
        </w:tc>
      </w:tr>
      <w:tr w14:paraId="10120B71">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19785F">
            <w:pPr>
              <w:overflowPunct w:val="0"/>
              <w:adjustRightInd w:val="0"/>
              <w:snapToGrid w:val="0"/>
              <w:spacing w:line="400" w:lineRule="exact"/>
              <w:jc w:val="center"/>
              <w:rPr>
                <w:kern w:val="2"/>
                <w:sz w:val="28"/>
              </w:rPr>
            </w:pPr>
            <w:r>
              <w:rPr>
                <w:sz w:val="28"/>
              </w:rPr>
              <w:t>18</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09BAFE">
            <w:pPr>
              <w:overflowPunct w:val="0"/>
              <w:adjustRightInd w:val="0"/>
              <w:snapToGrid w:val="0"/>
              <w:spacing w:line="400" w:lineRule="exact"/>
              <w:rPr>
                <w:sz w:val="28"/>
              </w:rPr>
            </w:pPr>
            <w:r>
              <w:rPr>
                <w:sz w:val="28"/>
              </w:rPr>
              <w:t>新增城镇就业（人）</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9C94E9">
            <w:pPr>
              <w:overflowPunct w:val="0"/>
              <w:adjustRightInd w:val="0"/>
              <w:snapToGrid w:val="0"/>
              <w:spacing w:line="400" w:lineRule="exact"/>
              <w:jc w:val="center"/>
              <w:rPr>
                <w:sz w:val="28"/>
              </w:rPr>
            </w:pPr>
            <w:r>
              <w:rPr>
                <w:sz w:val="28"/>
              </w:rPr>
              <w:t>1500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395807">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906817">
            <w:pPr>
              <w:overflowPunct w:val="0"/>
              <w:adjustRightInd w:val="0"/>
              <w:snapToGrid w:val="0"/>
              <w:spacing w:line="400" w:lineRule="exact"/>
              <w:jc w:val="center"/>
              <w:rPr>
                <w:sz w:val="28"/>
              </w:rPr>
            </w:pPr>
            <w:r>
              <w:rPr>
                <w:sz w:val="28"/>
              </w:rPr>
              <w:t>2004</w:t>
            </w:r>
          </w:p>
        </w:tc>
      </w:tr>
      <w:tr w14:paraId="5BFA91DE">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D4668F">
            <w:pPr>
              <w:overflowPunct w:val="0"/>
              <w:adjustRightInd w:val="0"/>
              <w:snapToGrid w:val="0"/>
              <w:spacing w:line="400" w:lineRule="exact"/>
              <w:jc w:val="center"/>
              <w:rPr>
                <w:kern w:val="2"/>
                <w:sz w:val="28"/>
              </w:rPr>
            </w:pPr>
            <w:r>
              <w:rPr>
                <w:sz w:val="28"/>
              </w:rPr>
              <w:t>19</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1C97A3">
            <w:pPr>
              <w:overflowPunct w:val="0"/>
              <w:adjustRightInd w:val="0"/>
              <w:snapToGrid w:val="0"/>
              <w:spacing w:line="400" w:lineRule="exact"/>
              <w:rPr>
                <w:sz w:val="28"/>
              </w:rPr>
            </w:pPr>
            <w:r>
              <w:rPr>
                <w:sz w:val="28"/>
              </w:rPr>
              <w:t>城镇调查失业率（%）</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1F27BC">
            <w:pPr>
              <w:overflowPunct w:val="0"/>
              <w:adjustRightInd w:val="0"/>
              <w:snapToGrid w:val="0"/>
              <w:spacing w:line="400" w:lineRule="exact"/>
              <w:jc w:val="center"/>
              <w:rPr>
                <w:sz w:val="28"/>
              </w:rPr>
            </w:pPr>
            <w:r>
              <w:rPr>
                <w:rFonts w:eastAsia="东文宋体"/>
                <w:sz w:val="28"/>
              </w:rPr>
              <w:t>≤</w:t>
            </w:r>
            <w:r>
              <w:rPr>
                <w:sz w:val="28"/>
              </w:rPr>
              <w:t>5.5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03E700">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4592A4E">
            <w:pPr>
              <w:overflowPunct w:val="0"/>
              <w:adjustRightInd w:val="0"/>
              <w:snapToGrid w:val="0"/>
              <w:spacing w:line="400" w:lineRule="exact"/>
              <w:jc w:val="center"/>
              <w:rPr>
                <w:sz w:val="28"/>
              </w:rPr>
            </w:pPr>
            <w:r>
              <w:rPr>
                <w:rFonts w:hint="eastAsia"/>
                <w:sz w:val="28"/>
              </w:rPr>
              <w:t>5.5</w:t>
            </w:r>
          </w:p>
        </w:tc>
      </w:tr>
      <w:tr w14:paraId="2D4894BF">
        <w:tblPrEx>
          <w:tblCellMar>
            <w:top w:w="0" w:type="dxa"/>
            <w:left w:w="0" w:type="dxa"/>
            <w:bottom w:w="0" w:type="dxa"/>
            <w:right w:w="0" w:type="dxa"/>
          </w:tblCellMar>
        </w:tblPrEx>
        <w:trPr>
          <w:trHeight w:val="457"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0BA91F">
            <w:pPr>
              <w:overflowPunct w:val="0"/>
              <w:adjustRightInd w:val="0"/>
              <w:snapToGrid w:val="0"/>
              <w:spacing w:line="400" w:lineRule="exact"/>
              <w:jc w:val="center"/>
              <w:rPr>
                <w:kern w:val="2"/>
                <w:sz w:val="28"/>
              </w:rPr>
            </w:pPr>
            <w:r>
              <w:rPr>
                <w:sz w:val="28"/>
              </w:rPr>
              <w:t>20</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1FFEDE">
            <w:pPr>
              <w:overflowPunct w:val="0"/>
              <w:adjustRightInd w:val="0"/>
              <w:snapToGrid w:val="0"/>
              <w:spacing w:line="400" w:lineRule="exact"/>
              <w:rPr>
                <w:kern w:val="2"/>
                <w:sz w:val="28"/>
                <w:szCs w:val="28"/>
              </w:rPr>
            </w:pPr>
            <w:r>
              <w:rPr>
                <w:sz w:val="28"/>
              </w:rPr>
              <w:t>劳动年龄人口平均受教育年限（年）</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6815FC">
            <w:pPr>
              <w:overflowPunct w:val="0"/>
              <w:adjustRightInd w:val="0"/>
              <w:snapToGrid w:val="0"/>
              <w:spacing w:line="400" w:lineRule="exact"/>
              <w:jc w:val="center"/>
              <w:rPr>
                <w:sz w:val="28"/>
              </w:rPr>
            </w:pPr>
            <w:r>
              <w:rPr>
                <w:sz w:val="28"/>
              </w:rPr>
              <w:t>10.9</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5BD474C">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AC3F0C">
            <w:pPr>
              <w:overflowPunct w:val="0"/>
              <w:adjustRightInd w:val="0"/>
              <w:snapToGrid w:val="0"/>
              <w:spacing w:line="400" w:lineRule="exact"/>
              <w:jc w:val="center"/>
              <w:rPr>
                <w:sz w:val="28"/>
              </w:rPr>
            </w:pPr>
            <w:r>
              <w:rPr>
                <w:rFonts w:hint="eastAsia"/>
                <w:sz w:val="28"/>
              </w:rPr>
              <w:t>10.9</w:t>
            </w:r>
          </w:p>
        </w:tc>
      </w:tr>
      <w:tr w14:paraId="783E7DB5">
        <w:tblPrEx>
          <w:tblCellMar>
            <w:top w:w="0" w:type="dxa"/>
            <w:left w:w="0" w:type="dxa"/>
            <w:bottom w:w="0" w:type="dxa"/>
            <w:right w:w="0" w:type="dxa"/>
          </w:tblCellMar>
        </w:tblPrEx>
        <w:trPr>
          <w:trHeight w:val="457"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F1BC93">
            <w:pPr>
              <w:overflowPunct w:val="0"/>
              <w:adjustRightInd w:val="0"/>
              <w:snapToGrid w:val="0"/>
              <w:spacing w:line="400" w:lineRule="exact"/>
              <w:jc w:val="center"/>
              <w:rPr>
                <w:kern w:val="2"/>
                <w:sz w:val="28"/>
              </w:rPr>
            </w:pPr>
            <w:r>
              <w:rPr>
                <w:sz w:val="28"/>
              </w:rPr>
              <w:t>21</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F4F03F7">
            <w:pPr>
              <w:overflowPunct w:val="0"/>
              <w:adjustRightInd w:val="0"/>
              <w:snapToGrid w:val="0"/>
              <w:spacing w:line="400" w:lineRule="exact"/>
              <w:rPr>
                <w:kern w:val="2"/>
                <w:sz w:val="28"/>
                <w:szCs w:val="28"/>
              </w:rPr>
            </w:pPr>
            <w:r>
              <w:rPr>
                <w:sz w:val="28"/>
              </w:rPr>
              <w:t>人均预期寿命（岁）</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CEFE101">
            <w:pPr>
              <w:overflowPunct w:val="0"/>
              <w:adjustRightInd w:val="0"/>
              <w:snapToGrid w:val="0"/>
              <w:spacing w:line="400" w:lineRule="exact"/>
              <w:jc w:val="center"/>
              <w:rPr>
                <w:sz w:val="28"/>
              </w:rPr>
            </w:pPr>
            <w:r>
              <w:rPr>
                <w:sz w:val="28"/>
              </w:rPr>
              <w:t>76.3</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93E5F7">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19B9B4">
            <w:pPr>
              <w:overflowPunct w:val="0"/>
              <w:adjustRightInd w:val="0"/>
              <w:snapToGrid w:val="0"/>
              <w:spacing w:line="400" w:lineRule="exact"/>
              <w:jc w:val="center"/>
              <w:rPr>
                <w:sz w:val="28"/>
              </w:rPr>
            </w:pPr>
            <w:r>
              <w:rPr>
                <w:rFonts w:hint="eastAsia"/>
                <w:sz w:val="28"/>
              </w:rPr>
              <w:t>77.5</w:t>
            </w:r>
          </w:p>
        </w:tc>
      </w:tr>
      <w:tr w14:paraId="6FC38861">
        <w:tblPrEx>
          <w:tblCellMar>
            <w:top w:w="0" w:type="dxa"/>
            <w:left w:w="0" w:type="dxa"/>
            <w:bottom w:w="0" w:type="dxa"/>
            <w:right w:w="0" w:type="dxa"/>
          </w:tblCellMar>
        </w:tblPrEx>
        <w:trPr>
          <w:trHeight w:val="457"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0653D7">
            <w:pPr>
              <w:overflowPunct w:val="0"/>
              <w:adjustRightInd w:val="0"/>
              <w:snapToGrid w:val="0"/>
              <w:spacing w:line="400" w:lineRule="exact"/>
              <w:jc w:val="center"/>
              <w:rPr>
                <w:kern w:val="2"/>
                <w:sz w:val="28"/>
              </w:rPr>
            </w:pPr>
            <w:r>
              <w:rPr>
                <w:sz w:val="28"/>
              </w:rPr>
              <w:t>22</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605096">
            <w:pPr>
              <w:overflowPunct w:val="0"/>
              <w:adjustRightInd w:val="0"/>
              <w:snapToGrid w:val="0"/>
              <w:spacing w:line="400" w:lineRule="exact"/>
              <w:rPr>
                <w:kern w:val="2"/>
                <w:sz w:val="28"/>
                <w:szCs w:val="28"/>
              </w:rPr>
            </w:pPr>
            <w:r>
              <w:rPr>
                <w:sz w:val="28"/>
              </w:rPr>
              <w:t>每千人口拥有执业（助理）医师数（人）</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43EF89">
            <w:pPr>
              <w:overflowPunct w:val="0"/>
              <w:adjustRightInd w:val="0"/>
              <w:snapToGrid w:val="0"/>
              <w:spacing w:line="400" w:lineRule="exact"/>
              <w:jc w:val="center"/>
              <w:rPr>
                <w:sz w:val="28"/>
              </w:rPr>
            </w:pPr>
            <w:r>
              <w:rPr>
                <w:sz w:val="28"/>
              </w:rPr>
              <w:t>2.8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8B8267">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9166C8">
            <w:pPr>
              <w:overflowPunct w:val="0"/>
              <w:adjustRightInd w:val="0"/>
              <w:snapToGrid w:val="0"/>
              <w:spacing w:line="400" w:lineRule="exact"/>
              <w:jc w:val="center"/>
              <w:rPr>
                <w:sz w:val="28"/>
              </w:rPr>
            </w:pPr>
            <w:r>
              <w:rPr>
                <w:rFonts w:hint="eastAsia"/>
                <w:sz w:val="28"/>
              </w:rPr>
              <w:t>2.8</w:t>
            </w:r>
          </w:p>
        </w:tc>
      </w:tr>
      <w:tr w14:paraId="2A3DE7DA">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F76594">
            <w:pPr>
              <w:overflowPunct w:val="0"/>
              <w:adjustRightInd w:val="0"/>
              <w:snapToGrid w:val="0"/>
              <w:spacing w:line="400" w:lineRule="exact"/>
              <w:jc w:val="center"/>
              <w:rPr>
                <w:b/>
                <w:bCs/>
                <w:sz w:val="28"/>
              </w:rPr>
            </w:pPr>
            <w:r>
              <w:rPr>
                <w:b/>
                <w:bCs/>
                <w:sz w:val="28"/>
              </w:rPr>
              <w:t>三</w:t>
            </w:r>
          </w:p>
        </w:tc>
        <w:tc>
          <w:tcPr>
            <w:tcW w:w="911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E81949">
            <w:pPr>
              <w:overflowPunct w:val="0"/>
              <w:adjustRightInd w:val="0"/>
              <w:snapToGrid w:val="0"/>
              <w:spacing w:line="400" w:lineRule="exact"/>
              <w:jc w:val="left"/>
              <w:rPr>
                <w:b/>
                <w:bCs/>
                <w:sz w:val="28"/>
              </w:rPr>
            </w:pPr>
            <w:r>
              <w:rPr>
                <w:b/>
                <w:bCs/>
                <w:sz w:val="28"/>
              </w:rPr>
              <w:t>山清水秀美丽之地建设</w:t>
            </w:r>
          </w:p>
        </w:tc>
      </w:tr>
      <w:tr w14:paraId="6606C815">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BB565A">
            <w:pPr>
              <w:overflowPunct w:val="0"/>
              <w:adjustRightInd w:val="0"/>
              <w:snapToGrid w:val="0"/>
              <w:spacing w:line="400" w:lineRule="exact"/>
              <w:jc w:val="center"/>
              <w:rPr>
                <w:kern w:val="2"/>
                <w:sz w:val="28"/>
              </w:rPr>
            </w:pPr>
            <w:r>
              <w:rPr>
                <w:sz w:val="28"/>
              </w:rPr>
              <w:t>23</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77A142">
            <w:pPr>
              <w:overflowPunct w:val="0"/>
              <w:adjustRightInd w:val="0"/>
              <w:snapToGrid w:val="0"/>
              <w:spacing w:line="400" w:lineRule="exact"/>
              <w:rPr>
                <w:sz w:val="28"/>
              </w:rPr>
            </w:pPr>
            <w:r>
              <w:rPr>
                <w:sz w:val="28"/>
              </w:rPr>
              <w:t>环境空气质量优良天数（天）</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DE8C2F">
            <w:pPr>
              <w:overflowPunct w:val="0"/>
              <w:adjustRightInd w:val="0"/>
              <w:snapToGrid w:val="0"/>
              <w:spacing w:line="400" w:lineRule="exact"/>
              <w:jc w:val="center"/>
              <w:rPr>
                <w:sz w:val="28"/>
              </w:rPr>
            </w:pPr>
            <w:r>
              <w:rPr>
                <w:rFonts w:eastAsia="东文宋体"/>
                <w:sz w:val="28"/>
              </w:rPr>
              <w:t>≥</w:t>
            </w:r>
            <w:r>
              <w:rPr>
                <w:sz w:val="28"/>
              </w:rPr>
              <w:t>358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F26F72">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B5D7B1">
            <w:pPr>
              <w:overflowPunct w:val="0"/>
              <w:adjustRightInd w:val="0"/>
              <w:snapToGrid w:val="0"/>
              <w:spacing w:line="400" w:lineRule="exact"/>
              <w:jc w:val="center"/>
              <w:rPr>
                <w:sz w:val="28"/>
              </w:rPr>
            </w:pPr>
            <w:r>
              <w:rPr>
                <w:rFonts w:hint="eastAsia"/>
                <w:sz w:val="28"/>
              </w:rPr>
              <w:t>360</w:t>
            </w:r>
          </w:p>
        </w:tc>
      </w:tr>
      <w:tr w14:paraId="3EFCE329">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CE8A21">
            <w:pPr>
              <w:overflowPunct w:val="0"/>
              <w:adjustRightInd w:val="0"/>
              <w:snapToGrid w:val="0"/>
              <w:spacing w:line="400" w:lineRule="exact"/>
              <w:jc w:val="center"/>
              <w:rPr>
                <w:kern w:val="2"/>
                <w:sz w:val="28"/>
              </w:rPr>
            </w:pPr>
            <w:r>
              <w:rPr>
                <w:sz w:val="28"/>
              </w:rPr>
              <w:t>24</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ABFE22">
            <w:pPr>
              <w:overflowPunct w:val="0"/>
              <w:adjustRightInd w:val="0"/>
              <w:snapToGrid w:val="0"/>
              <w:spacing w:line="400" w:lineRule="exact"/>
              <w:rPr>
                <w:sz w:val="28"/>
              </w:rPr>
            </w:pPr>
            <w:r>
              <w:rPr>
                <w:sz w:val="28"/>
              </w:rPr>
              <w:t>森林蓄积量（万立方米)</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43DDBF6">
            <w:pPr>
              <w:overflowPunct w:val="0"/>
              <w:adjustRightInd w:val="0"/>
              <w:snapToGrid w:val="0"/>
              <w:spacing w:line="400" w:lineRule="exact"/>
              <w:jc w:val="center"/>
              <w:rPr>
                <w:sz w:val="28"/>
              </w:rPr>
            </w:pPr>
            <w:r>
              <w:rPr>
                <w:sz w:val="28"/>
              </w:rPr>
              <w:t>1850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1700E44">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02A4D6">
            <w:pPr>
              <w:overflowPunct w:val="0"/>
              <w:adjustRightInd w:val="0"/>
              <w:snapToGrid w:val="0"/>
              <w:spacing w:line="400" w:lineRule="exact"/>
              <w:jc w:val="center"/>
              <w:rPr>
                <w:sz w:val="28"/>
              </w:rPr>
            </w:pPr>
            <w:r>
              <w:rPr>
                <w:rFonts w:hint="eastAsia"/>
                <w:sz w:val="28"/>
              </w:rPr>
              <w:t>1890</w:t>
            </w:r>
          </w:p>
        </w:tc>
      </w:tr>
      <w:tr w14:paraId="0DD3E7E3">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26B184">
            <w:pPr>
              <w:overflowPunct w:val="0"/>
              <w:adjustRightInd w:val="0"/>
              <w:snapToGrid w:val="0"/>
              <w:spacing w:line="400" w:lineRule="exact"/>
              <w:jc w:val="center"/>
              <w:rPr>
                <w:kern w:val="2"/>
                <w:sz w:val="28"/>
              </w:rPr>
            </w:pPr>
            <w:r>
              <w:rPr>
                <w:sz w:val="28"/>
              </w:rPr>
              <w:t>25</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D843BE">
            <w:pPr>
              <w:overflowPunct w:val="0"/>
              <w:adjustRightInd w:val="0"/>
              <w:snapToGrid w:val="0"/>
              <w:spacing w:line="400" w:lineRule="exact"/>
              <w:rPr>
                <w:sz w:val="28"/>
              </w:rPr>
            </w:pPr>
            <w:r>
              <w:rPr>
                <w:sz w:val="28"/>
              </w:rPr>
              <w:t>地表水达到或好于Ⅲ类水体比例（%）</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385053">
            <w:pPr>
              <w:overflowPunct w:val="0"/>
              <w:adjustRightInd w:val="0"/>
              <w:snapToGrid w:val="0"/>
              <w:spacing w:line="400" w:lineRule="exact"/>
              <w:jc w:val="center"/>
              <w:rPr>
                <w:sz w:val="28"/>
              </w:rPr>
            </w:pPr>
            <w:r>
              <w:rPr>
                <w:sz w:val="28"/>
              </w:rPr>
              <w:t>100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0D817E">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24380A">
            <w:pPr>
              <w:overflowPunct w:val="0"/>
              <w:adjustRightInd w:val="0"/>
              <w:snapToGrid w:val="0"/>
              <w:spacing w:line="400" w:lineRule="exact"/>
              <w:jc w:val="center"/>
              <w:rPr>
                <w:sz w:val="28"/>
              </w:rPr>
            </w:pPr>
            <w:r>
              <w:rPr>
                <w:rFonts w:hint="eastAsia"/>
                <w:sz w:val="28"/>
              </w:rPr>
              <w:t>100</w:t>
            </w:r>
          </w:p>
        </w:tc>
      </w:tr>
      <w:tr w14:paraId="2BC017B2">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5C6E6D">
            <w:pPr>
              <w:overflowPunct w:val="0"/>
              <w:adjustRightInd w:val="0"/>
              <w:snapToGrid w:val="0"/>
              <w:spacing w:line="400" w:lineRule="exact"/>
              <w:jc w:val="center"/>
              <w:rPr>
                <w:kern w:val="2"/>
                <w:sz w:val="28"/>
              </w:rPr>
            </w:pPr>
            <w:r>
              <w:rPr>
                <w:sz w:val="28"/>
              </w:rPr>
              <w:t>26</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9EA36A">
            <w:pPr>
              <w:overflowPunct w:val="0"/>
              <w:adjustRightInd w:val="0"/>
              <w:snapToGrid w:val="0"/>
              <w:spacing w:line="400" w:lineRule="exact"/>
              <w:rPr>
                <w:sz w:val="28"/>
              </w:rPr>
            </w:pPr>
            <w:r>
              <w:rPr>
                <w:sz w:val="28"/>
              </w:rPr>
              <w:t>城镇生活垃圾无害化处理率（%）</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3DDF11">
            <w:pPr>
              <w:overflowPunct w:val="0"/>
              <w:adjustRightInd w:val="0"/>
              <w:snapToGrid w:val="0"/>
              <w:spacing w:line="400" w:lineRule="exact"/>
              <w:jc w:val="center"/>
              <w:rPr>
                <w:sz w:val="28"/>
              </w:rPr>
            </w:pPr>
            <w:r>
              <w:rPr>
                <w:sz w:val="28"/>
              </w:rPr>
              <w:t>100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AEC8C9B">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996B2D5">
            <w:pPr>
              <w:overflowPunct w:val="0"/>
              <w:adjustRightInd w:val="0"/>
              <w:snapToGrid w:val="0"/>
              <w:spacing w:line="400" w:lineRule="exact"/>
              <w:jc w:val="center"/>
              <w:rPr>
                <w:sz w:val="28"/>
              </w:rPr>
            </w:pPr>
            <w:r>
              <w:rPr>
                <w:rFonts w:hint="eastAsia"/>
                <w:sz w:val="28"/>
              </w:rPr>
              <w:t>100</w:t>
            </w:r>
          </w:p>
        </w:tc>
      </w:tr>
      <w:tr w14:paraId="078EA83A">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77F727">
            <w:pPr>
              <w:overflowPunct w:val="0"/>
              <w:adjustRightInd w:val="0"/>
              <w:snapToGrid w:val="0"/>
              <w:spacing w:line="400" w:lineRule="exact"/>
              <w:jc w:val="center"/>
              <w:rPr>
                <w:kern w:val="2"/>
                <w:sz w:val="28"/>
              </w:rPr>
            </w:pPr>
            <w:r>
              <w:rPr>
                <w:sz w:val="28"/>
              </w:rPr>
              <w:t>27</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5D7354">
            <w:pPr>
              <w:overflowPunct w:val="0"/>
              <w:adjustRightInd w:val="0"/>
              <w:snapToGrid w:val="0"/>
              <w:spacing w:line="400" w:lineRule="exact"/>
              <w:rPr>
                <w:sz w:val="28"/>
              </w:rPr>
            </w:pPr>
            <w:r>
              <w:rPr>
                <w:sz w:val="28"/>
              </w:rPr>
              <w:t>农村无害化卫生厕所普及率（%）</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B7105D">
            <w:pPr>
              <w:overflowPunct w:val="0"/>
              <w:adjustRightInd w:val="0"/>
              <w:snapToGrid w:val="0"/>
              <w:spacing w:line="400" w:lineRule="exact"/>
              <w:jc w:val="center"/>
              <w:rPr>
                <w:sz w:val="28"/>
              </w:rPr>
            </w:pPr>
            <w:r>
              <w:rPr>
                <w:sz w:val="28"/>
              </w:rPr>
              <w:t>78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449CD4">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7542949">
            <w:pPr>
              <w:overflowPunct w:val="0"/>
              <w:adjustRightInd w:val="0"/>
              <w:snapToGrid w:val="0"/>
              <w:spacing w:line="400" w:lineRule="exact"/>
              <w:jc w:val="center"/>
              <w:rPr>
                <w:sz w:val="28"/>
              </w:rPr>
            </w:pPr>
            <w:r>
              <w:rPr>
                <w:rFonts w:hint="eastAsia"/>
                <w:sz w:val="28"/>
              </w:rPr>
              <w:t>79</w:t>
            </w:r>
          </w:p>
        </w:tc>
      </w:tr>
      <w:tr w14:paraId="5C5FF55F">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D9B601">
            <w:pPr>
              <w:overflowPunct w:val="0"/>
              <w:adjustRightInd w:val="0"/>
              <w:snapToGrid w:val="0"/>
              <w:spacing w:line="400" w:lineRule="exact"/>
              <w:jc w:val="center"/>
              <w:rPr>
                <w:kern w:val="2"/>
                <w:sz w:val="28"/>
              </w:rPr>
            </w:pPr>
            <w:r>
              <w:rPr>
                <w:sz w:val="28"/>
              </w:rPr>
              <w:t>28</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C9E9D7">
            <w:pPr>
              <w:overflowPunct w:val="0"/>
              <w:adjustRightInd w:val="0"/>
              <w:snapToGrid w:val="0"/>
              <w:spacing w:line="400" w:lineRule="exact"/>
              <w:rPr>
                <w:sz w:val="28"/>
              </w:rPr>
            </w:pPr>
            <w:r>
              <w:rPr>
                <w:sz w:val="28"/>
              </w:rPr>
              <w:t>单位地区生产总值能源消耗降低（%）</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13ED11">
            <w:pPr>
              <w:overflowPunct w:val="0"/>
              <w:adjustRightInd w:val="0"/>
              <w:snapToGrid w:val="0"/>
              <w:spacing w:line="400" w:lineRule="exact"/>
              <w:jc w:val="center"/>
              <w:rPr>
                <w:sz w:val="28"/>
              </w:rPr>
            </w:pPr>
            <w:r>
              <w:rPr>
                <w:sz w:val="28"/>
              </w:rPr>
              <w:t>3.9</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FB73BD8">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00112B">
            <w:pPr>
              <w:overflowPunct w:val="0"/>
              <w:adjustRightInd w:val="0"/>
              <w:snapToGrid w:val="0"/>
              <w:spacing w:line="400" w:lineRule="exact"/>
              <w:jc w:val="center"/>
              <w:rPr>
                <w:sz w:val="28"/>
              </w:rPr>
            </w:pPr>
            <w:r>
              <w:rPr>
                <w:rFonts w:hint="eastAsia"/>
                <w:sz w:val="28"/>
              </w:rPr>
              <w:t>3.9</w:t>
            </w:r>
          </w:p>
        </w:tc>
      </w:tr>
      <w:tr w14:paraId="5607FC05">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7EF52A">
            <w:pPr>
              <w:overflowPunct w:val="0"/>
              <w:adjustRightInd w:val="0"/>
              <w:snapToGrid w:val="0"/>
              <w:spacing w:line="400" w:lineRule="exact"/>
              <w:jc w:val="center"/>
              <w:rPr>
                <w:b/>
                <w:bCs/>
                <w:sz w:val="28"/>
              </w:rPr>
            </w:pPr>
            <w:r>
              <w:rPr>
                <w:b/>
                <w:bCs/>
                <w:sz w:val="28"/>
              </w:rPr>
              <w:t>四</w:t>
            </w:r>
          </w:p>
        </w:tc>
        <w:tc>
          <w:tcPr>
            <w:tcW w:w="911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FA7F48">
            <w:pPr>
              <w:overflowPunct w:val="0"/>
              <w:adjustRightInd w:val="0"/>
              <w:snapToGrid w:val="0"/>
              <w:spacing w:line="400" w:lineRule="exact"/>
              <w:jc w:val="left"/>
              <w:rPr>
                <w:b/>
                <w:bCs/>
                <w:sz w:val="28"/>
              </w:rPr>
            </w:pPr>
            <w:r>
              <w:rPr>
                <w:b/>
                <w:bCs/>
                <w:sz w:val="28"/>
              </w:rPr>
              <w:t>安全发展</w:t>
            </w:r>
          </w:p>
        </w:tc>
      </w:tr>
      <w:tr w14:paraId="74722212">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593203D">
            <w:pPr>
              <w:overflowPunct w:val="0"/>
              <w:adjustRightInd w:val="0"/>
              <w:snapToGrid w:val="0"/>
              <w:spacing w:line="400" w:lineRule="exact"/>
              <w:jc w:val="center"/>
              <w:rPr>
                <w:kern w:val="2"/>
                <w:sz w:val="28"/>
              </w:rPr>
            </w:pPr>
            <w:r>
              <w:rPr>
                <w:sz w:val="28"/>
              </w:rPr>
              <w:t>29</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42D310F">
            <w:pPr>
              <w:overflowPunct w:val="0"/>
              <w:adjustRightInd w:val="0"/>
              <w:snapToGrid w:val="0"/>
              <w:spacing w:line="400" w:lineRule="exact"/>
              <w:rPr>
                <w:sz w:val="28"/>
              </w:rPr>
            </w:pPr>
            <w:r>
              <w:rPr>
                <w:sz w:val="28"/>
              </w:rPr>
              <w:t>粮食综合生产能力（万吨）</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976470">
            <w:pPr>
              <w:overflowPunct w:val="0"/>
              <w:adjustRightInd w:val="0"/>
              <w:snapToGrid w:val="0"/>
              <w:spacing w:line="400" w:lineRule="exact"/>
              <w:jc w:val="center"/>
              <w:rPr>
                <w:sz w:val="28"/>
              </w:rPr>
            </w:pPr>
            <w:r>
              <w:rPr>
                <w:sz w:val="28"/>
              </w:rPr>
              <w:t>9.0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F23924">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271C9A">
            <w:pPr>
              <w:overflowPunct w:val="0"/>
              <w:adjustRightInd w:val="0"/>
              <w:snapToGrid w:val="0"/>
              <w:spacing w:line="400" w:lineRule="exact"/>
              <w:jc w:val="center"/>
              <w:rPr>
                <w:sz w:val="28"/>
              </w:rPr>
            </w:pPr>
            <w:r>
              <w:rPr>
                <w:rFonts w:hint="eastAsia"/>
                <w:sz w:val="28"/>
              </w:rPr>
              <w:t>9.26</w:t>
            </w:r>
          </w:p>
        </w:tc>
      </w:tr>
      <w:tr w14:paraId="422677DD">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47E7E97">
            <w:pPr>
              <w:overflowPunct w:val="0"/>
              <w:adjustRightInd w:val="0"/>
              <w:snapToGrid w:val="0"/>
              <w:spacing w:line="400" w:lineRule="exact"/>
              <w:jc w:val="center"/>
              <w:rPr>
                <w:kern w:val="2"/>
                <w:sz w:val="28"/>
              </w:rPr>
            </w:pPr>
            <w:r>
              <w:rPr>
                <w:sz w:val="28"/>
              </w:rPr>
              <w:t>30</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8A010F">
            <w:pPr>
              <w:overflowPunct w:val="0"/>
              <w:adjustRightInd w:val="0"/>
              <w:snapToGrid w:val="0"/>
              <w:spacing w:line="400" w:lineRule="exact"/>
              <w:rPr>
                <w:sz w:val="28"/>
              </w:rPr>
            </w:pPr>
            <w:r>
              <w:rPr>
                <w:sz w:val="28"/>
              </w:rPr>
              <w:t>生产安全事故死亡人数</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91C5D4">
            <w:pPr>
              <w:overflowPunct w:val="0"/>
              <w:adjustRightInd w:val="0"/>
              <w:snapToGrid w:val="0"/>
              <w:spacing w:line="400" w:lineRule="exact"/>
              <w:jc w:val="center"/>
              <w:rPr>
                <w:sz w:val="28"/>
              </w:rPr>
            </w:pPr>
            <w:r>
              <w:rPr>
                <w:sz w:val="28"/>
              </w:rPr>
              <w:t>≤10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626FE9">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E893429">
            <w:pPr>
              <w:overflowPunct w:val="0"/>
              <w:adjustRightInd w:val="0"/>
              <w:snapToGrid w:val="0"/>
              <w:spacing w:line="400" w:lineRule="exact"/>
              <w:jc w:val="center"/>
              <w:rPr>
                <w:sz w:val="28"/>
              </w:rPr>
            </w:pPr>
            <w:r>
              <w:rPr>
                <w:rFonts w:hint="eastAsia"/>
                <w:sz w:val="28"/>
              </w:rPr>
              <w:t>4</w:t>
            </w:r>
          </w:p>
        </w:tc>
      </w:tr>
      <w:tr w14:paraId="20E593A2">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6F404F">
            <w:pPr>
              <w:overflowPunct w:val="0"/>
              <w:adjustRightInd w:val="0"/>
              <w:snapToGrid w:val="0"/>
              <w:spacing w:line="400" w:lineRule="exact"/>
              <w:jc w:val="center"/>
              <w:rPr>
                <w:b/>
                <w:bCs/>
                <w:sz w:val="28"/>
              </w:rPr>
            </w:pPr>
            <w:r>
              <w:rPr>
                <w:b/>
                <w:bCs/>
                <w:sz w:val="28"/>
              </w:rPr>
              <w:t>五</w:t>
            </w:r>
          </w:p>
        </w:tc>
        <w:tc>
          <w:tcPr>
            <w:tcW w:w="911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69E386">
            <w:pPr>
              <w:overflowPunct w:val="0"/>
              <w:adjustRightInd w:val="0"/>
              <w:snapToGrid w:val="0"/>
              <w:spacing w:line="400" w:lineRule="exact"/>
              <w:jc w:val="left"/>
              <w:rPr>
                <w:b/>
                <w:bCs/>
                <w:sz w:val="28"/>
              </w:rPr>
            </w:pPr>
            <w:r>
              <w:rPr>
                <w:b/>
                <w:bCs/>
                <w:sz w:val="28"/>
              </w:rPr>
              <w:t>企业成长计划</w:t>
            </w:r>
          </w:p>
        </w:tc>
      </w:tr>
      <w:tr w14:paraId="107F21E8">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E01EA9">
            <w:pPr>
              <w:overflowPunct w:val="0"/>
              <w:adjustRightInd w:val="0"/>
              <w:snapToGrid w:val="0"/>
              <w:spacing w:line="400" w:lineRule="exact"/>
              <w:jc w:val="center"/>
              <w:rPr>
                <w:kern w:val="2"/>
                <w:sz w:val="28"/>
              </w:rPr>
            </w:pPr>
            <w:r>
              <w:rPr>
                <w:sz w:val="28"/>
              </w:rPr>
              <w:t>31</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3F1BB2">
            <w:pPr>
              <w:overflowPunct w:val="0"/>
              <w:adjustRightInd w:val="0"/>
              <w:snapToGrid w:val="0"/>
              <w:spacing w:line="400" w:lineRule="exact"/>
              <w:rPr>
                <w:sz w:val="28"/>
              </w:rPr>
            </w:pPr>
            <w:r>
              <w:rPr>
                <w:sz w:val="28"/>
              </w:rPr>
              <w:t>新增规模以上工业企业（家）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3097413">
            <w:pPr>
              <w:overflowPunct w:val="0"/>
              <w:adjustRightInd w:val="0"/>
              <w:snapToGrid w:val="0"/>
              <w:spacing w:line="400" w:lineRule="exact"/>
              <w:jc w:val="center"/>
              <w:rPr>
                <w:sz w:val="28"/>
              </w:rPr>
            </w:pPr>
            <w:r>
              <w:rPr>
                <w:sz w:val="28"/>
              </w:rPr>
              <w:t>6</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C8E77">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0814C7">
            <w:pPr>
              <w:overflowPunct w:val="0"/>
              <w:adjustRightInd w:val="0"/>
              <w:snapToGrid w:val="0"/>
              <w:spacing w:line="400" w:lineRule="exact"/>
              <w:jc w:val="center"/>
              <w:rPr>
                <w:sz w:val="28"/>
              </w:rPr>
            </w:pPr>
            <w:r>
              <w:rPr>
                <w:rFonts w:hint="eastAsia"/>
                <w:sz w:val="28"/>
              </w:rPr>
              <w:t>7</w:t>
            </w:r>
          </w:p>
        </w:tc>
      </w:tr>
      <w:tr w14:paraId="25756D71">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C22DF5A">
            <w:pPr>
              <w:overflowPunct w:val="0"/>
              <w:adjustRightInd w:val="0"/>
              <w:snapToGrid w:val="0"/>
              <w:spacing w:line="400" w:lineRule="exact"/>
              <w:jc w:val="center"/>
              <w:rPr>
                <w:kern w:val="2"/>
                <w:sz w:val="28"/>
              </w:rPr>
            </w:pPr>
            <w:r>
              <w:rPr>
                <w:sz w:val="28"/>
              </w:rPr>
              <w:t>32</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63FA94">
            <w:pPr>
              <w:overflowPunct w:val="0"/>
              <w:adjustRightInd w:val="0"/>
              <w:snapToGrid w:val="0"/>
              <w:spacing w:line="400" w:lineRule="exact"/>
              <w:rPr>
                <w:sz w:val="28"/>
              </w:rPr>
            </w:pPr>
            <w:r>
              <w:rPr>
                <w:sz w:val="28"/>
              </w:rPr>
              <w:t>新增资质等级建筑业企业</w:t>
            </w:r>
            <w:r>
              <w:rPr>
                <w:rFonts w:hint="eastAsia"/>
                <w:sz w:val="28"/>
              </w:rPr>
              <w:t>（</w:t>
            </w:r>
            <w:r>
              <w:rPr>
                <w:sz w:val="28"/>
              </w:rPr>
              <w:t>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95C0D2">
            <w:pPr>
              <w:overflowPunct w:val="0"/>
              <w:adjustRightInd w:val="0"/>
              <w:snapToGrid w:val="0"/>
              <w:spacing w:line="400" w:lineRule="exact"/>
              <w:jc w:val="center"/>
              <w:rPr>
                <w:sz w:val="28"/>
              </w:rPr>
            </w:pPr>
            <w:r>
              <w:rPr>
                <w:sz w:val="28"/>
              </w:rPr>
              <w:t>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19B8C4">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D219294">
            <w:pPr>
              <w:overflowPunct w:val="0"/>
              <w:adjustRightInd w:val="0"/>
              <w:snapToGrid w:val="0"/>
              <w:spacing w:line="400" w:lineRule="exact"/>
              <w:jc w:val="center"/>
              <w:rPr>
                <w:sz w:val="28"/>
              </w:rPr>
            </w:pPr>
            <w:r>
              <w:rPr>
                <w:rFonts w:hint="eastAsia"/>
                <w:sz w:val="28"/>
              </w:rPr>
              <w:t>13</w:t>
            </w:r>
          </w:p>
        </w:tc>
      </w:tr>
      <w:tr w14:paraId="66DF6945">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37D3BDB">
            <w:pPr>
              <w:overflowPunct w:val="0"/>
              <w:adjustRightInd w:val="0"/>
              <w:snapToGrid w:val="0"/>
              <w:spacing w:line="400" w:lineRule="exact"/>
              <w:jc w:val="center"/>
              <w:rPr>
                <w:kern w:val="2"/>
                <w:sz w:val="28"/>
              </w:rPr>
            </w:pPr>
            <w:r>
              <w:rPr>
                <w:sz w:val="28"/>
              </w:rPr>
              <w:t>33</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2A1F08E">
            <w:pPr>
              <w:overflowPunct w:val="0"/>
              <w:adjustRightInd w:val="0"/>
              <w:snapToGrid w:val="0"/>
              <w:spacing w:line="400" w:lineRule="exact"/>
              <w:rPr>
                <w:sz w:val="28"/>
              </w:rPr>
            </w:pPr>
            <w:r>
              <w:rPr>
                <w:sz w:val="28"/>
              </w:rPr>
              <w:t>新增规模以上服务业企业（家）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A6078B">
            <w:pPr>
              <w:overflowPunct w:val="0"/>
              <w:adjustRightInd w:val="0"/>
              <w:snapToGrid w:val="0"/>
              <w:spacing w:line="400" w:lineRule="exact"/>
              <w:jc w:val="center"/>
              <w:rPr>
                <w:sz w:val="28"/>
              </w:rPr>
            </w:pPr>
            <w:r>
              <w:rPr>
                <w:sz w:val="28"/>
              </w:rPr>
              <w:t>4</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78591D4">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836305">
            <w:pPr>
              <w:overflowPunct w:val="0"/>
              <w:adjustRightInd w:val="0"/>
              <w:snapToGrid w:val="0"/>
              <w:spacing w:line="400" w:lineRule="exact"/>
              <w:jc w:val="center"/>
              <w:rPr>
                <w:sz w:val="28"/>
              </w:rPr>
            </w:pPr>
            <w:r>
              <w:rPr>
                <w:rFonts w:hint="eastAsia"/>
                <w:sz w:val="28"/>
              </w:rPr>
              <w:t>2</w:t>
            </w:r>
          </w:p>
        </w:tc>
      </w:tr>
      <w:tr w14:paraId="4460749B">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E9CAC1">
            <w:pPr>
              <w:overflowPunct w:val="0"/>
              <w:adjustRightInd w:val="0"/>
              <w:snapToGrid w:val="0"/>
              <w:spacing w:line="400" w:lineRule="exact"/>
              <w:jc w:val="center"/>
              <w:rPr>
                <w:kern w:val="2"/>
                <w:sz w:val="28"/>
              </w:rPr>
            </w:pPr>
            <w:r>
              <w:rPr>
                <w:sz w:val="28"/>
              </w:rPr>
              <w:t>34</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751ABB">
            <w:pPr>
              <w:overflowPunct w:val="0"/>
              <w:adjustRightInd w:val="0"/>
              <w:snapToGrid w:val="0"/>
              <w:spacing w:line="400" w:lineRule="exact"/>
              <w:rPr>
                <w:sz w:val="28"/>
              </w:rPr>
            </w:pPr>
            <w:r>
              <w:rPr>
                <w:sz w:val="28"/>
              </w:rPr>
              <w:t>新增限额以上商贸企业（家）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A7539D">
            <w:pPr>
              <w:overflowPunct w:val="0"/>
              <w:adjustRightInd w:val="0"/>
              <w:snapToGrid w:val="0"/>
              <w:spacing w:line="400" w:lineRule="exact"/>
              <w:jc w:val="center"/>
              <w:rPr>
                <w:sz w:val="28"/>
              </w:rPr>
            </w:pPr>
            <w:r>
              <w:rPr>
                <w:sz w:val="28"/>
              </w:rPr>
              <w:t>6</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9D2970">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3A54456">
            <w:pPr>
              <w:overflowPunct w:val="0"/>
              <w:adjustRightInd w:val="0"/>
              <w:snapToGrid w:val="0"/>
              <w:spacing w:line="400" w:lineRule="exact"/>
              <w:jc w:val="center"/>
              <w:rPr>
                <w:sz w:val="28"/>
              </w:rPr>
            </w:pPr>
            <w:r>
              <w:rPr>
                <w:rFonts w:hint="eastAsia"/>
                <w:sz w:val="28"/>
              </w:rPr>
              <w:t>5</w:t>
            </w:r>
          </w:p>
        </w:tc>
      </w:tr>
      <w:tr w14:paraId="3C6DF420">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A6C197C">
            <w:pPr>
              <w:overflowPunct w:val="0"/>
              <w:adjustRightInd w:val="0"/>
              <w:snapToGrid w:val="0"/>
              <w:spacing w:line="400" w:lineRule="exact"/>
              <w:jc w:val="center"/>
              <w:rPr>
                <w:kern w:val="2"/>
                <w:sz w:val="28"/>
              </w:rPr>
            </w:pPr>
            <w:r>
              <w:rPr>
                <w:kern w:val="2"/>
                <w:sz w:val="28"/>
              </w:rPr>
              <w:t>35</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2F3BB6">
            <w:pPr>
              <w:overflowPunct w:val="0"/>
              <w:adjustRightInd w:val="0"/>
              <w:snapToGrid w:val="0"/>
              <w:spacing w:line="400" w:lineRule="exact"/>
              <w:rPr>
                <w:sz w:val="28"/>
              </w:rPr>
            </w:pPr>
            <w:r>
              <w:rPr>
                <w:sz w:val="28"/>
              </w:rPr>
              <w:t>新增高新技术企业（家）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95867CA">
            <w:pPr>
              <w:overflowPunct w:val="0"/>
              <w:adjustRightInd w:val="0"/>
              <w:snapToGrid w:val="0"/>
              <w:spacing w:line="400" w:lineRule="exact"/>
              <w:jc w:val="center"/>
              <w:rPr>
                <w:sz w:val="28"/>
              </w:rPr>
            </w:pPr>
            <w:r>
              <w:rPr>
                <w:sz w:val="28"/>
              </w:rPr>
              <w:t>3</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57F577">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2AAC66">
            <w:pPr>
              <w:overflowPunct w:val="0"/>
              <w:adjustRightInd w:val="0"/>
              <w:snapToGrid w:val="0"/>
              <w:spacing w:line="400" w:lineRule="exact"/>
              <w:jc w:val="center"/>
              <w:rPr>
                <w:sz w:val="28"/>
              </w:rPr>
            </w:pPr>
            <w:r>
              <w:rPr>
                <w:rFonts w:hint="eastAsia"/>
                <w:sz w:val="28"/>
              </w:rPr>
              <w:t>6</w:t>
            </w:r>
          </w:p>
        </w:tc>
      </w:tr>
      <w:tr w14:paraId="37B1D302">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EF7648">
            <w:pPr>
              <w:overflowPunct w:val="0"/>
              <w:adjustRightInd w:val="0"/>
              <w:snapToGrid w:val="0"/>
              <w:spacing w:line="400" w:lineRule="exact"/>
              <w:jc w:val="center"/>
              <w:rPr>
                <w:kern w:val="2"/>
                <w:sz w:val="28"/>
              </w:rPr>
            </w:pPr>
            <w:r>
              <w:rPr>
                <w:kern w:val="2"/>
                <w:sz w:val="28"/>
              </w:rPr>
              <w:t>36</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9F87C1">
            <w:pPr>
              <w:overflowPunct w:val="0"/>
              <w:adjustRightInd w:val="0"/>
              <w:snapToGrid w:val="0"/>
              <w:spacing w:line="400" w:lineRule="exact"/>
              <w:rPr>
                <w:sz w:val="28"/>
              </w:rPr>
            </w:pPr>
            <w:r>
              <w:rPr>
                <w:sz w:val="28"/>
              </w:rPr>
              <w:t>新增科技型企业（家）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6F79E3">
            <w:pPr>
              <w:overflowPunct w:val="0"/>
              <w:adjustRightInd w:val="0"/>
              <w:snapToGrid w:val="0"/>
              <w:spacing w:line="400" w:lineRule="exact"/>
              <w:jc w:val="center"/>
              <w:rPr>
                <w:sz w:val="28"/>
              </w:rPr>
            </w:pPr>
            <w:r>
              <w:rPr>
                <w:sz w:val="28"/>
              </w:rPr>
              <w:t>25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8EDF14">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90FB6E">
            <w:pPr>
              <w:overflowPunct w:val="0"/>
              <w:adjustRightInd w:val="0"/>
              <w:snapToGrid w:val="0"/>
              <w:spacing w:line="400" w:lineRule="exact"/>
              <w:jc w:val="center"/>
              <w:rPr>
                <w:sz w:val="28"/>
              </w:rPr>
            </w:pPr>
            <w:r>
              <w:rPr>
                <w:rFonts w:hint="eastAsia"/>
                <w:sz w:val="28"/>
              </w:rPr>
              <w:t>32</w:t>
            </w:r>
          </w:p>
        </w:tc>
      </w:tr>
      <w:tr w14:paraId="7DFD0B9D">
        <w:tblPrEx>
          <w:tblCellMar>
            <w:top w:w="0" w:type="dxa"/>
            <w:left w:w="0" w:type="dxa"/>
            <w:bottom w:w="0" w:type="dxa"/>
            <w:right w:w="0" w:type="dxa"/>
          </w:tblCellMar>
        </w:tblPrEx>
        <w:trPr>
          <w:trHeight w:val="448"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F71A0F">
            <w:pPr>
              <w:overflowPunct w:val="0"/>
              <w:adjustRightInd w:val="0"/>
              <w:snapToGrid w:val="0"/>
              <w:spacing w:line="400" w:lineRule="exact"/>
              <w:jc w:val="center"/>
              <w:rPr>
                <w:sz w:val="28"/>
              </w:rPr>
            </w:pPr>
            <w:r>
              <w:rPr>
                <w:sz w:val="28"/>
              </w:rPr>
              <w:t>37</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B36AC9">
            <w:pPr>
              <w:overflowPunct w:val="0"/>
              <w:adjustRightInd w:val="0"/>
              <w:snapToGrid w:val="0"/>
              <w:spacing w:line="400" w:lineRule="exact"/>
              <w:rPr>
                <w:sz w:val="28"/>
              </w:rPr>
            </w:pPr>
            <w:r>
              <w:rPr>
                <w:sz w:val="28"/>
              </w:rPr>
              <w:t>新增市场主体（家）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6742BD1">
            <w:pPr>
              <w:overflowPunct w:val="0"/>
              <w:adjustRightInd w:val="0"/>
              <w:snapToGrid w:val="0"/>
              <w:spacing w:line="400" w:lineRule="exact"/>
              <w:jc w:val="center"/>
              <w:rPr>
                <w:sz w:val="28"/>
              </w:rPr>
            </w:pPr>
            <w:r>
              <w:rPr>
                <w:sz w:val="28"/>
              </w:rPr>
              <w:t>2500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09BD2D">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3B1BB1">
            <w:pPr>
              <w:overflowPunct w:val="0"/>
              <w:adjustRightInd w:val="0"/>
              <w:snapToGrid w:val="0"/>
              <w:spacing w:line="400" w:lineRule="exact"/>
              <w:jc w:val="center"/>
              <w:rPr>
                <w:sz w:val="28"/>
              </w:rPr>
            </w:pPr>
            <w:r>
              <w:rPr>
                <w:sz w:val="28"/>
              </w:rPr>
              <w:t>30</w:t>
            </w:r>
            <w:r>
              <w:rPr>
                <w:rFonts w:hint="eastAsia"/>
                <w:sz w:val="28"/>
              </w:rPr>
              <w:t>5</w:t>
            </w:r>
            <w:r>
              <w:rPr>
                <w:sz w:val="28"/>
              </w:rPr>
              <w:t>3</w:t>
            </w:r>
          </w:p>
        </w:tc>
      </w:tr>
    </w:tbl>
    <w:p w14:paraId="7BA7258A">
      <w:pPr>
        <w:pStyle w:val="11"/>
        <w:overflowPunct w:val="0"/>
        <w:spacing w:line="579" w:lineRule="exact"/>
        <w:rPr>
          <w:rFonts w:ascii="Times New Roman" w:hAnsi="Times New Roman" w:eastAsia="方正黑体_GBK"/>
          <w:sz w:val="30"/>
          <w:szCs w:val="30"/>
        </w:rPr>
        <w:sectPr>
          <w:pgSz w:w="11906" w:h="16838"/>
          <w:pgMar w:top="2098" w:right="1474" w:bottom="1984" w:left="1587" w:header="851" w:footer="992" w:gutter="0"/>
          <w:cols w:space="720" w:num="1"/>
          <w:docGrid w:type="lines" w:linePitch="312" w:charSpace="0"/>
        </w:sectPr>
      </w:pPr>
    </w:p>
    <w:p w14:paraId="60038802">
      <w:pPr>
        <w:overflowPunct w:val="0"/>
        <w:adjustRightInd w:val="0"/>
        <w:snapToGrid w:val="0"/>
        <w:spacing w:line="579" w:lineRule="exact"/>
        <w:rPr>
          <w:rFonts w:eastAsia="方正黑体_GBK"/>
          <w:sz w:val="30"/>
          <w:szCs w:val="30"/>
        </w:rPr>
      </w:pPr>
      <w:r>
        <w:rPr>
          <w:rFonts w:hint="eastAsia" w:eastAsia="方正黑体_GBK"/>
          <w:sz w:val="30"/>
          <w:szCs w:val="30"/>
        </w:rPr>
        <w:t>附表</w:t>
      </w:r>
      <w:r>
        <w:rPr>
          <w:rFonts w:eastAsia="方正黑体_GBK"/>
          <w:sz w:val="30"/>
          <w:szCs w:val="30"/>
        </w:rPr>
        <w:t>2</w:t>
      </w:r>
    </w:p>
    <w:p w14:paraId="11A91162">
      <w:pPr>
        <w:overflowPunct w:val="0"/>
        <w:adjustRightInd w:val="0"/>
        <w:snapToGrid w:val="0"/>
        <w:spacing w:line="579" w:lineRule="exact"/>
        <w:jc w:val="center"/>
        <w:rPr>
          <w:rFonts w:eastAsia="方正黑体_GBK"/>
          <w:bCs/>
          <w:szCs w:val="32"/>
        </w:rPr>
      </w:pPr>
      <w:r>
        <w:rPr>
          <w:rFonts w:eastAsia="方正黑体_GBK"/>
          <w:sz w:val="30"/>
          <w:szCs w:val="30"/>
        </w:rPr>
        <w:t>城口县202</w:t>
      </w:r>
      <w:r>
        <w:rPr>
          <w:rFonts w:hint="eastAsia" w:eastAsia="方正黑体_GBK"/>
          <w:sz w:val="30"/>
          <w:szCs w:val="30"/>
        </w:rPr>
        <w:t>4</w:t>
      </w:r>
      <w:r>
        <w:rPr>
          <w:rFonts w:eastAsia="方正黑体_GBK"/>
          <w:sz w:val="30"/>
          <w:szCs w:val="30"/>
        </w:rPr>
        <w:t>年国民经济和社会发展预期目标</w:t>
      </w:r>
    </w:p>
    <w:tbl>
      <w:tblPr>
        <w:tblStyle w:val="16"/>
        <w:tblW w:w="9738" w:type="dxa"/>
        <w:tblInd w:w="-374" w:type="dxa"/>
        <w:tblLayout w:type="fixed"/>
        <w:tblCellMar>
          <w:top w:w="0" w:type="dxa"/>
          <w:left w:w="0" w:type="dxa"/>
          <w:bottom w:w="0" w:type="dxa"/>
          <w:right w:w="0" w:type="dxa"/>
        </w:tblCellMar>
      </w:tblPr>
      <w:tblGrid>
        <w:gridCol w:w="827"/>
        <w:gridCol w:w="1435"/>
        <w:gridCol w:w="4148"/>
        <w:gridCol w:w="1979"/>
        <w:gridCol w:w="1349"/>
      </w:tblGrid>
      <w:tr w14:paraId="502694B3">
        <w:tblPrEx>
          <w:tblCellMar>
            <w:top w:w="0" w:type="dxa"/>
            <w:left w:w="0" w:type="dxa"/>
            <w:bottom w:w="0" w:type="dxa"/>
            <w:right w:w="0" w:type="dxa"/>
          </w:tblCellMar>
        </w:tblPrEx>
        <w:trPr>
          <w:trHeight w:val="462" w:hRule="atLeast"/>
          <w:tblHeader/>
        </w:trPr>
        <w:tc>
          <w:tcPr>
            <w:tcW w:w="827"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7BCBF19F">
            <w:pPr>
              <w:overflowPunct w:val="0"/>
              <w:adjustRightInd w:val="0"/>
              <w:snapToGrid w:val="0"/>
              <w:spacing w:line="400" w:lineRule="exact"/>
              <w:jc w:val="center"/>
              <w:rPr>
                <w:b/>
                <w:bCs/>
                <w:sz w:val="28"/>
              </w:rPr>
            </w:pPr>
            <w:r>
              <w:rPr>
                <w:b/>
                <w:bCs/>
                <w:sz w:val="28"/>
              </w:rPr>
              <w:t>序号</w:t>
            </w:r>
          </w:p>
        </w:tc>
        <w:tc>
          <w:tcPr>
            <w:tcW w:w="5583" w:type="dxa"/>
            <w:gridSpan w:val="2"/>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6346EF16">
            <w:pPr>
              <w:overflowPunct w:val="0"/>
              <w:adjustRightInd w:val="0"/>
              <w:snapToGrid w:val="0"/>
              <w:spacing w:line="400" w:lineRule="exact"/>
              <w:jc w:val="center"/>
              <w:rPr>
                <w:b/>
                <w:bCs/>
                <w:sz w:val="28"/>
              </w:rPr>
            </w:pPr>
            <w:r>
              <w:rPr>
                <w:b/>
                <w:bCs/>
                <w:sz w:val="28"/>
              </w:rPr>
              <w:t>指标</w:t>
            </w:r>
          </w:p>
        </w:tc>
        <w:tc>
          <w:tcPr>
            <w:tcW w:w="1979"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318E21D6">
            <w:pPr>
              <w:overflowPunct w:val="0"/>
              <w:adjustRightInd w:val="0"/>
              <w:snapToGrid w:val="0"/>
              <w:spacing w:line="400" w:lineRule="exact"/>
              <w:jc w:val="center"/>
              <w:rPr>
                <w:b/>
                <w:bCs/>
                <w:sz w:val="28"/>
              </w:rPr>
            </w:pPr>
            <w:r>
              <w:rPr>
                <w:b/>
                <w:bCs/>
                <w:sz w:val="28"/>
              </w:rPr>
              <w:t>预期</w:t>
            </w:r>
          </w:p>
        </w:tc>
        <w:tc>
          <w:tcPr>
            <w:tcW w:w="1349"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61B8F92C">
            <w:pPr>
              <w:overflowPunct w:val="0"/>
              <w:adjustRightInd w:val="0"/>
              <w:snapToGrid w:val="0"/>
              <w:spacing w:line="400" w:lineRule="exact"/>
              <w:jc w:val="center"/>
              <w:rPr>
                <w:b/>
                <w:bCs/>
                <w:sz w:val="28"/>
              </w:rPr>
            </w:pPr>
            <w:r>
              <w:rPr>
                <w:b/>
                <w:bCs/>
                <w:sz w:val="28"/>
              </w:rPr>
              <w:t>指标属性</w:t>
            </w:r>
          </w:p>
        </w:tc>
      </w:tr>
      <w:tr w14:paraId="43F02A55">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3A82E4">
            <w:pPr>
              <w:overflowPunct w:val="0"/>
              <w:adjustRightInd w:val="0"/>
              <w:snapToGrid w:val="0"/>
              <w:spacing w:line="400" w:lineRule="exact"/>
              <w:jc w:val="center"/>
              <w:rPr>
                <w:b/>
                <w:bCs/>
                <w:sz w:val="28"/>
              </w:rPr>
            </w:pPr>
            <w:r>
              <w:rPr>
                <w:b/>
                <w:bCs/>
                <w:sz w:val="28"/>
              </w:rPr>
              <w:t>一</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9D9511">
            <w:pPr>
              <w:overflowPunct w:val="0"/>
              <w:adjustRightInd w:val="0"/>
              <w:snapToGrid w:val="0"/>
              <w:spacing w:line="400" w:lineRule="exact"/>
              <w:jc w:val="left"/>
              <w:rPr>
                <w:b/>
                <w:bCs/>
                <w:sz w:val="28"/>
              </w:rPr>
            </w:pPr>
            <w:r>
              <w:rPr>
                <w:b/>
                <w:bCs/>
                <w:sz w:val="28"/>
              </w:rPr>
              <w:t>推动高质量发展</w:t>
            </w:r>
          </w:p>
        </w:tc>
      </w:tr>
      <w:tr w14:paraId="22F6C52A">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6F30E07">
            <w:pPr>
              <w:overflowPunct w:val="0"/>
              <w:adjustRightInd w:val="0"/>
              <w:snapToGrid w:val="0"/>
              <w:spacing w:line="400" w:lineRule="exact"/>
              <w:jc w:val="center"/>
              <w:rPr>
                <w:sz w:val="28"/>
              </w:rPr>
            </w:pPr>
            <w:r>
              <w:rPr>
                <w:sz w:val="28"/>
              </w:rPr>
              <w:t>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0500915">
            <w:pPr>
              <w:overflowPunct w:val="0"/>
              <w:adjustRightInd w:val="0"/>
              <w:snapToGrid w:val="0"/>
              <w:spacing w:line="400" w:lineRule="exact"/>
              <w:rPr>
                <w:sz w:val="28"/>
              </w:rPr>
            </w:pPr>
            <w:r>
              <w:rPr>
                <w:sz w:val="28"/>
              </w:rPr>
              <w:t>地区生产总值增速（%）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5C9EB5">
            <w:pPr>
              <w:overflowPunct w:val="0"/>
              <w:adjustRightInd w:val="0"/>
              <w:snapToGrid w:val="0"/>
              <w:spacing w:line="400" w:lineRule="exact"/>
              <w:jc w:val="center"/>
              <w:rPr>
                <w:sz w:val="28"/>
              </w:rPr>
            </w:pPr>
            <w:r>
              <w:rPr>
                <w:rFonts w:hint="eastAsia"/>
                <w:sz w:val="28"/>
              </w:rPr>
              <w:t>6.5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EB6C7C">
            <w:pPr>
              <w:overflowPunct w:val="0"/>
              <w:adjustRightInd w:val="0"/>
              <w:snapToGrid w:val="0"/>
              <w:spacing w:line="400" w:lineRule="exact"/>
              <w:jc w:val="center"/>
              <w:rPr>
                <w:sz w:val="28"/>
              </w:rPr>
            </w:pPr>
            <w:r>
              <w:rPr>
                <w:sz w:val="28"/>
              </w:rPr>
              <w:t>预期性</w:t>
            </w:r>
          </w:p>
        </w:tc>
      </w:tr>
      <w:tr w14:paraId="3F9811D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881C40">
            <w:pPr>
              <w:overflowPunct w:val="0"/>
              <w:adjustRightInd w:val="0"/>
              <w:snapToGrid w:val="0"/>
              <w:spacing w:line="400" w:lineRule="exact"/>
              <w:jc w:val="center"/>
              <w:rPr>
                <w:sz w:val="28"/>
              </w:rPr>
            </w:pPr>
            <w:r>
              <w:rPr>
                <w:sz w:val="28"/>
              </w:rPr>
              <w:t>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DB6541E">
            <w:pPr>
              <w:overflowPunct w:val="0"/>
              <w:adjustRightInd w:val="0"/>
              <w:snapToGrid w:val="0"/>
              <w:spacing w:line="400" w:lineRule="exact"/>
              <w:rPr>
                <w:sz w:val="28"/>
              </w:rPr>
            </w:pPr>
            <w:r>
              <w:rPr>
                <w:sz w:val="28"/>
              </w:rPr>
              <w:t>农业增加值增速（%）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0534B4">
            <w:pPr>
              <w:overflowPunct w:val="0"/>
              <w:adjustRightInd w:val="0"/>
              <w:snapToGrid w:val="0"/>
              <w:spacing w:line="400" w:lineRule="exact"/>
              <w:jc w:val="center"/>
              <w:rPr>
                <w:sz w:val="28"/>
              </w:rPr>
            </w:pPr>
            <w:r>
              <w:rPr>
                <w:rFonts w:hint="eastAsia"/>
                <w:sz w:val="28"/>
              </w:rPr>
              <w:t>4.5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63E22CA">
            <w:pPr>
              <w:overflowPunct w:val="0"/>
              <w:adjustRightInd w:val="0"/>
              <w:snapToGrid w:val="0"/>
              <w:spacing w:line="400" w:lineRule="exact"/>
              <w:jc w:val="center"/>
              <w:rPr>
                <w:sz w:val="28"/>
              </w:rPr>
            </w:pPr>
            <w:r>
              <w:rPr>
                <w:sz w:val="28"/>
              </w:rPr>
              <w:t>预期性</w:t>
            </w:r>
          </w:p>
        </w:tc>
      </w:tr>
      <w:tr w14:paraId="6B398C1C">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BB0A7F2">
            <w:pPr>
              <w:overflowPunct w:val="0"/>
              <w:adjustRightInd w:val="0"/>
              <w:snapToGrid w:val="0"/>
              <w:spacing w:line="400" w:lineRule="exact"/>
              <w:jc w:val="center"/>
              <w:rPr>
                <w:sz w:val="28"/>
              </w:rPr>
            </w:pPr>
            <w:r>
              <w:rPr>
                <w:sz w:val="28"/>
              </w:rPr>
              <w:t>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418A59">
            <w:pPr>
              <w:overflowPunct w:val="0"/>
              <w:adjustRightInd w:val="0"/>
              <w:snapToGrid w:val="0"/>
              <w:spacing w:line="400" w:lineRule="exact"/>
              <w:rPr>
                <w:sz w:val="28"/>
              </w:rPr>
            </w:pPr>
            <w:r>
              <w:rPr>
                <w:sz w:val="28"/>
              </w:rPr>
              <w:t>规上工业增加值增速（%）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6608AF">
            <w:pPr>
              <w:overflowPunct w:val="0"/>
              <w:adjustRightInd w:val="0"/>
              <w:snapToGrid w:val="0"/>
              <w:spacing w:line="400" w:lineRule="exact"/>
              <w:jc w:val="center"/>
              <w:rPr>
                <w:sz w:val="28"/>
              </w:rPr>
            </w:pPr>
            <w:r>
              <w:rPr>
                <w:rFonts w:hint="eastAsia"/>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24FC00F">
            <w:pPr>
              <w:overflowPunct w:val="0"/>
              <w:adjustRightInd w:val="0"/>
              <w:snapToGrid w:val="0"/>
              <w:spacing w:line="400" w:lineRule="exact"/>
              <w:jc w:val="center"/>
              <w:rPr>
                <w:sz w:val="28"/>
              </w:rPr>
            </w:pPr>
            <w:r>
              <w:rPr>
                <w:sz w:val="28"/>
              </w:rPr>
              <w:t>预期性</w:t>
            </w:r>
          </w:p>
        </w:tc>
      </w:tr>
      <w:tr w14:paraId="0C08E453">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60B996">
            <w:pPr>
              <w:overflowPunct w:val="0"/>
              <w:adjustRightInd w:val="0"/>
              <w:snapToGrid w:val="0"/>
              <w:spacing w:line="400" w:lineRule="exact"/>
              <w:jc w:val="center"/>
              <w:rPr>
                <w:sz w:val="28"/>
              </w:rPr>
            </w:pPr>
            <w:r>
              <w:rPr>
                <w:sz w:val="28"/>
              </w:rPr>
              <w:t>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555579">
            <w:pPr>
              <w:overflowPunct w:val="0"/>
              <w:adjustRightInd w:val="0"/>
              <w:snapToGrid w:val="0"/>
              <w:spacing w:line="400" w:lineRule="exact"/>
              <w:rPr>
                <w:sz w:val="28"/>
              </w:rPr>
            </w:pPr>
            <w:r>
              <w:rPr>
                <w:sz w:val="28"/>
              </w:rPr>
              <w:t>建筑业增加值增速（%）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B6599B">
            <w:pPr>
              <w:overflowPunct w:val="0"/>
              <w:adjustRightInd w:val="0"/>
              <w:snapToGrid w:val="0"/>
              <w:spacing w:line="400" w:lineRule="exact"/>
              <w:jc w:val="center"/>
              <w:rPr>
                <w:sz w:val="28"/>
              </w:rPr>
            </w:pPr>
            <w:r>
              <w:rPr>
                <w:rFonts w:hint="eastAsia"/>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82441A">
            <w:pPr>
              <w:overflowPunct w:val="0"/>
              <w:adjustRightInd w:val="0"/>
              <w:snapToGrid w:val="0"/>
              <w:spacing w:line="400" w:lineRule="exact"/>
              <w:jc w:val="center"/>
              <w:rPr>
                <w:sz w:val="28"/>
              </w:rPr>
            </w:pPr>
            <w:r>
              <w:rPr>
                <w:sz w:val="28"/>
              </w:rPr>
              <w:t>预期性</w:t>
            </w:r>
          </w:p>
        </w:tc>
      </w:tr>
      <w:tr w14:paraId="7D44775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C521FC">
            <w:pPr>
              <w:overflowPunct w:val="0"/>
              <w:adjustRightInd w:val="0"/>
              <w:snapToGrid w:val="0"/>
              <w:spacing w:line="400" w:lineRule="exact"/>
              <w:jc w:val="center"/>
              <w:rPr>
                <w:sz w:val="28"/>
              </w:rPr>
            </w:pPr>
            <w:r>
              <w:rPr>
                <w:sz w:val="28"/>
              </w:rPr>
              <w:t>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A4CFEC">
            <w:pPr>
              <w:overflowPunct w:val="0"/>
              <w:adjustRightInd w:val="0"/>
              <w:snapToGrid w:val="0"/>
              <w:spacing w:line="400" w:lineRule="exact"/>
              <w:rPr>
                <w:sz w:val="28"/>
              </w:rPr>
            </w:pPr>
            <w:r>
              <w:rPr>
                <w:sz w:val="28"/>
              </w:rPr>
              <w:t>第三产业增加值增速（%）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DEBE9A">
            <w:pPr>
              <w:overflowPunct w:val="0"/>
              <w:adjustRightInd w:val="0"/>
              <w:snapToGrid w:val="0"/>
              <w:spacing w:line="400" w:lineRule="exact"/>
              <w:jc w:val="center"/>
              <w:rPr>
                <w:sz w:val="28"/>
              </w:rPr>
            </w:pPr>
            <w:r>
              <w:rPr>
                <w:rFonts w:hint="eastAsia"/>
                <w:sz w:val="28"/>
              </w:rPr>
              <w:t>4.5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B59D23E">
            <w:pPr>
              <w:overflowPunct w:val="0"/>
              <w:adjustRightInd w:val="0"/>
              <w:snapToGrid w:val="0"/>
              <w:spacing w:line="400" w:lineRule="exact"/>
              <w:jc w:val="center"/>
              <w:rPr>
                <w:sz w:val="28"/>
              </w:rPr>
            </w:pPr>
            <w:r>
              <w:rPr>
                <w:sz w:val="28"/>
              </w:rPr>
              <w:t>预期性</w:t>
            </w:r>
          </w:p>
        </w:tc>
      </w:tr>
      <w:tr w14:paraId="607E7EF5">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D7FE30">
            <w:pPr>
              <w:overflowPunct w:val="0"/>
              <w:adjustRightInd w:val="0"/>
              <w:snapToGrid w:val="0"/>
              <w:spacing w:line="400" w:lineRule="exact"/>
              <w:jc w:val="center"/>
              <w:rPr>
                <w:kern w:val="2"/>
                <w:sz w:val="28"/>
              </w:rPr>
            </w:pPr>
            <w:r>
              <w:rPr>
                <w:sz w:val="28"/>
              </w:rPr>
              <w:t>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A0124DA">
            <w:pPr>
              <w:overflowPunct w:val="0"/>
              <w:adjustRightInd w:val="0"/>
              <w:snapToGrid w:val="0"/>
              <w:spacing w:line="400" w:lineRule="exact"/>
              <w:rPr>
                <w:sz w:val="28"/>
              </w:rPr>
            </w:pPr>
            <w:r>
              <w:rPr>
                <w:sz w:val="28"/>
              </w:rPr>
              <w:t>战略性新兴产业增加值增速（%）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08A8EC">
            <w:pPr>
              <w:overflowPunct w:val="0"/>
              <w:adjustRightInd w:val="0"/>
              <w:snapToGrid w:val="0"/>
              <w:spacing w:line="400" w:lineRule="exact"/>
              <w:jc w:val="center"/>
              <w:rPr>
                <w:sz w:val="28"/>
              </w:rPr>
            </w:pPr>
            <w:r>
              <w:rPr>
                <w:rFonts w:hint="eastAsia"/>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4F36CA3">
            <w:pPr>
              <w:overflowPunct w:val="0"/>
              <w:adjustRightInd w:val="0"/>
              <w:snapToGrid w:val="0"/>
              <w:spacing w:line="400" w:lineRule="exact"/>
              <w:jc w:val="center"/>
              <w:rPr>
                <w:sz w:val="28"/>
              </w:rPr>
            </w:pPr>
            <w:r>
              <w:rPr>
                <w:sz w:val="28"/>
              </w:rPr>
              <w:t>预期性</w:t>
            </w:r>
          </w:p>
        </w:tc>
      </w:tr>
      <w:tr w14:paraId="7D7EA4B6">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F2008B">
            <w:pPr>
              <w:overflowPunct w:val="0"/>
              <w:adjustRightInd w:val="0"/>
              <w:snapToGrid w:val="0"/>
              <w:spacing w:line="400" w:lineRule="exact"/>
              <w:jc w:val="center"/>
              <w:rPr>
                <w:kern w:val="2"/>
                <w:sz w:val="28"/>
              </w:rPr>
            </w:pPr>
            <w:r>
              <w:rPr>
                <w:sz w:val="28"/>
              </w:rPr>
              <w:t>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082D2F">
            <w:pPr>
              <w:overflowPunct w:val="0"/>
              <w:adjustRightInd w:val="0"/>
              <w:snapToGrid w:val="0"/>
              <w:spacing w:line="400" w:lineRule="exact"/>
              <w:rPr>
                <w:sz w:val="28"/>
              </w:rPr>
            </w:pPr>
            <w:r>
              <w:rPr>
                <w:sz w:val="28"/>
              </w:rPr>
              <w:t>数字经济增加值增速（%）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B8CF1A">
            <w:pPr>
              <w:overflowPunct w:val="0"/>
              <w:adjustRightInd w:val="0"/>
              <w:snapToGrid w:val="0"/>
              <w:spacing w:line="400" w:lineRule="exact"/>
              <w:jc w:val="center"/>
              <w:rPr>
                <w:sz w:val="28"/>
              </w:rPr>
            </w:pPr>
            <w:r>
              <w:rPr>
                <w:rFonts w:hint="eastAsia"/>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D421CCE">
            <w:pPr>
              <w:overflowPunct w:val="0"/>
              <w:adjustRightInd w:val="0"/>
              <w:snapToGrid w:val="0"/>
              <w:spacing w:line="400" w:lineRule="exact"/>
              <w:jc w:val="center"/>
              <w:rPr>
                <w:sz w:val="28"/>
              </w:rPr>
            </w:pPr>
            <w:r>
              <w:rPr>
                <w:sz w:val="28"/>
              </w:rPr>
              <w:t>预期性</w:t>
            </w:r>
          </w:p>
        </w:tc>
      </w:tr>
      <w:tr w14:paraId="18047BBB">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AE38D7">
            <w:pPr>
              <w:overflowPunct w:val="0"/>
              <w:adjustRightInd w:val="0"/>
              <w:snapToGrid w:val="0"/>
              <w:spacing w:line="400" w:lineRule="exact"/>
              <w:jc w:val="center"/>
              <w:rPr>
                <w:sz w:val="28"/>
              </w:rPr>
            </w:pPr>
            <w:r>
              <w:rPr>
                <w:sz w:val="28"/>
              </w:rPr>
              <w:t>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DE35B5">
            <w:pPr>
              <w:overflowPunct w:val="0"/>
              <w:adjustRightInd w:val="0"/>
              <w:snapToGrid w:val="0"/>
              <w:spacing w:line="400" w:lineRule="exact"/>
              <w:rPr>
                <w:kern w:val="2"/>
                <w:sz w:val="28"/>
              </w:rPr>
            </w:pPr>
            <w:r>
              <w:rPr>
                <w:sz w:val="28"/>
              </w:rPr>
              <w:t>社会消费品零售总额增速（%）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2227F3">
            <w:pPr>
              <w:overflowPunct w:val="0"/>
              <w:adjustRightInd w:val="0"/>
              <w:snapToGrid w:val="0"/>
              <w:spacing w:line="400" w:lineRule="exact"/>
              <w:jc w:val="center"/>
              <w:rPr>
                <w:kern w:val="2"/>
                <w:sz w:val="28"/>
                <w:szCs w:val="28"/>
              </w:rPr>
            </w:pPr>
            <w:r>
              <w:rPr>
                <w:rFonts w:hint="eastAsia"/>
                <w:kern w:val="2"/>
                <w:sz w:val="28"/>
                <w:szCs w:val="28"/>
              </w:rPr>
              <w:t>7</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5F10B1">
            <w:pPr>
              <w:overflowPunct w:val="0"/>
              <w:adjustRightInd w:val="0"/>
              <w:snapToGrid w:val="0"/>
              <w:spacing w:line="400" w:lineRule="exact"/>
              <w:jc w:val="center"/>
              <w:rPr>
                <w:kern w:val="2"/>
                <w:sz w:val="28"/>
              </w:rPr>
            </w:pPr>
            <w:r>
              <w:rPr>
                <w:sz w:val="28"/>
              </w:rPr>
              <w:t>预期性</w:t>
            </w:r>
          </w:p>
        </w:tc>
      </w:tr>
      <w:tr w14:paraId="594A9248">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600526D">
            <w:pPr>
              <w:overflowPunct w:val="0"/>
              <w:adjustRightInd w:val="0"/>
              <w:snapToGrid w:val="0"/>
              <w:spacing w:line="400" w:lineRule="exact"/>
              <w:jc w:val="center"/>
              <w:rPr>
                <w:sz w:val="28"/>
              </w:rPr>
            </w:pPr>
            <w:r>
              <w:rPr>
                <w:sz w:val="28"/>
              </w:rPr>
              <w:t>9</w:t>
            </w:r>
          </w:p>
        </w:tc>
        <w:tc>
          <w:tcPr>
            <w:tcW w:w="143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58DDE97">
            <w:pPr>
              <w:overflowPunct w:val="0"/>
              <w:adjustRightInd w:val="0"/>
              <w:snapToGrid w:val="0"/>
              <w:spacing w:line="400" w:lineRule="exact"/>
              <w:jc w:val="center"/>
              <w:rPr>
                <w:sz w:val="28"/>
              </w:rPr>
            </w:pPr>
            <w:r>
              <w:rPr>
                <w:sz w:val="28"/>
              </w:rPr>
              <w:t>金融业</w:t>
            </w: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8195913">
            <w:pPr>
              <w:overflowPunct w:val="0"/>
              <w:adjustRightInd w:val="0"/>
              <w:snapToGrid w:val="0"/>
              <w:spacing w:line="400" w:lineRule="exact"/>
              <w:rPr>
                <w:kern w:val="2"/>
                <w:sz w:val="28"/>
              </w:rPr>
            </w:pPr>
            <w:r>
              <w:rPr>
                <w:sz w:val="28"/>
              </w:rPr>
              <w:t>金融业增加值增速（%）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777939">
            <w:pPr>
              <w:overflowPunct w:val="0"/>
              <w:adjustRightInd w:val="0"/>
              <w:snapToGrid w:val="0"/>
              <w:spacing w:line="400" w:lineRule="exact"/>
              <w:jc w:val="center"/>
              <w:rPr>
                <w:kern w:val="2"/>
                <w:sz w:val="28"/>
              </w:rPr>
            </w:pPr>
            <w:r>
              <w:rPr>
                <w:rFonts w:hint="eastAsia"/>
                <w:kern w:val="2"/>
                <w:sz w:val="28"/>
              </w:rPr>
              <w:t>8</w:t>
            </w:r>
          </w:p>
        </w:tc>
        <w:tc>
          <w:tcPr>
            <w:tcW w:w="134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346258C">
            <w:pPr>
              <w:overflowPunct w:val="0"/>
              <w:adjustRightInd w:val="0"/>
              <w:snapToGrid w:val="0"/>
              <w:spacing w:line="400" w:lineRule="exact"/>
              <w:jc w:val="center"/>
              <w:rPr>
                <w:sz w:val="28"/>
              </w:rPr>
            </w:pPr>
            <w:r>
              <w:rPr>
                <w:sz w:val="28"/>
              </w:rPr>
              <w:t>预期性</w:t>
            </w:r>
          </w:p>
        </w:tc>
      </w:tr>
      <w:tr w14:paraId="42C30F4E">
        <w:tblPrEx>
          <w:tblCellMar>
            <w:top w:w="0" w:type="dxa"/>
            <w:left w:w="0" w:type="dxa"/>
            <w:bottom w:w="0" w:type="dxa"/>
            <w:right w:w="0" w:type="dxa"/>
          </w:tblCellMar>
        </w:tblPrEx>
        <w:trPr>
          <w:trHeight w:val="462" w:hRule="atLeast"/>
        </w:trPr>
        <w:tc>
          <w:tcPr>
            <w:tcW w:w="827" w:type="dxa"/>
            <w:vMerge w:val="continue"/>
            <w:tcBorders>
              <w:left w:val="single" w:color="auto" w:sz="4" w:space="0"/>
              <w:right w:val="single" w:color="auto" w:sz="4" w:space="0"/>
            </w:tcBorders>
            <w:tcMar>
              <w:top w:w="0" w:type="dxa"/>
              <w:left w:w="105" w:type="dxa"/>
              <w:bottom w:w="0" w:type="dxa"/>
              <w:right w:w="105" w:type="dxa"/>
            </w:tcMar>
            <w:vAlign w:val="center"/>
          </w:tcPr>
          <w:p w14:paraId="6EAA878A">
            <w:pPr>
              <w:overflowPunct w:val="0"/>
              <w:adjustRightInd w:val="0"/>
              <w:snapToGrid w:val="0"/>
              <w:spacing w:line="400" w:lineRule="exact"/>
              <w:jc w:val="center"/>
              <w:rPr>
                <w:sz w:val="28"/>
              </w:rPr>
            </w:pPr>
          </w:p>
        </w:tc>
        <w:tc>
          <w:tcPr>
            <w:tcW w:w="1435" w:type="dxa"/>
            <w:vMerge w:val="continue"/>
            <w:tcBorders>
              <w:left w:val="single" w:color="auto" w:sz="4" w:space="0"/>
              <w:right w:val="single" w:color="auto" w:sz="4" w:space="0"/>
            </w:tcBorders>
            <w:tcMar>
              <w:top w:w="0" w:type="dxa"/>
              <w:left w:w="105" w:type="dxa"/>
              <w:bottom w:w="0" w:type="dxa"/>
              <w:right w:w="105" w:type="dxa"/>
            </w:tcMar>
            <w:vAlign w:val="center"/>
          </w:tcPr>
          <w:p w14:paraId="37D750A0">
            <w:pPr>
              <w:overflowPunct w:val="0"/>
              <w:adjustRightInd w:val="0"/>
              <w:snapToGrid w:val="0"/>
              <w:spacing w:line="400" w:lineRule="exact"/>
              <w:rPr>
                <w:sz w:val="28"/>
              </w:rPr>
            </w:pP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EDF825B">
            <w:pPr>
              <w:overflowPunct w:val="0"/>
              <w:adjustRightInd w:val="0"/>
              <w:snapToGrid w:val="0"/>
              <w:spacing w:line="400" w:lineRule="exact"/>
              <w:rPr>
                <w:kern w:val="2"/>
                <w:sz w:val="28"/>
              </w:rPr>
            </w:pPr>
            <w:r>
              <w:rPr>
                <w:sz w:val="28"/>
              </w:rPr>
              <w:t>存款余额增速（%）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5E38F4B">
            <w:pPr>
              <w:overflowPunct w:val="0"/>
              <w:adjustRightInd w:val="0"/>
              <w:snapToGrid w:val="0"/>
              <w:spacing w:line="400" w:lineRule="exact"/>
              <w:jc w:val="center"/>
              <w:rPr>
                <w:kern w:val="2"/>
                <w:sz w:val="28"/>
              </w:rPr>
            </w:pPr>
            <w:r>
              <w:rPr>
                <w:rFonts w:hint="eastAsia"/>
                <w:kern w:val="2"/>
                <w:sz w:val="28"/>
              </w:rPr>
              <w:t>5</w:t>
            </w:r>
          </w:p>
        </w:tc>
        <w:tc>
          <w:tcPr>
            <w:tcW w:w="1349" w:type="dxa"/>
            <w:vMerge w:val="continue"/>
            <w:tcBorders>
              <w:left w:val="single" w:color="auto" w:sz="4" w:space="0"/>
              <w:right w:val="single" w:color="auto" w:sz="4" w:space="0"/>
            </w:tcBorders>
            <w:tcMar>
              <w:top w:w="0" w:type="dxa"/>
              <w:left w:w="105" w:type="dxa"/>
              <w:bottom w:w="0" w:type="dxa"/>
              <w:right w:w="105" w:type="dxa"/>
            </w:tcMar>
            <w:vAlign w:val="center"/>
          </w:tcPr>
          <w:p w14:paraId="5205CD0D">
            <w:pPr>
              <w:overflowPunct w:val="0"/>
              <w:adjustRightInd w:val="0"/>
              <w:snapToGrid w:val="0"/>
              <w:spacing w:line="400" w:lineRule="exact"/>
              <w:jc w:val="center"/>
              <w:rPr>
                <w:sz w:val="28"/>
              </w:rPr>
            </w:pPr>
          </w:p>
        </w:tc>
      </w:tr>
      <w:tr w14:paraId="00EAF45B">
        <w:tblPrEx>
          <w:tblCellMar>
            <w:top w:w="0" w:type="dxa"/>
            <w:left w:w="0" w:type="dxa"/>
            <w:bottom w:w="0" w:type="dxa"/>
            <w:right w:w="0" w:type="dxa"/>
          </w:tblCellMar>
        </w:tblPrEx>
        <w:trPr>
          <w:trHeight w:val="462" w:hRule="atLeast"/>
        </w:trPr>
        <w:tc>
          <w:tcPr>
            <w:tcW w:w="827" w:type="dxa"/>
            <w:vMerge w:val="continue"/>
            <w:tcBorders>
              <w:left w:val="single" w:color="auto" w:sz="4" w:space="0"/>
              <w:right w:val="single" w:color="auto" w:sz="4" w:space="0"/>
            </w:tcBorders>
            <w:tcMar>
              <w:top w:w="0" w:type="dxa"/>
              <w:left w:w="105" w:type="dxa"/>
              <w:bottom w:w="0" w:type="dxa"/>
              <w:right w:w="105" w:type="dxa"/>
            </w:tcMar>
            <w:vAlign w:val="center"/>
          </w:tcPr>
          <w:p w14:paraId="3A1A5397">
            <w:pPr>
              <w:overflowPunct w:val="0"/>
              <w:adjustRightInd w:val="0"/>
              <w:snapToGrid w:val="0"/>
              <w:spacing w:line="400" w:lineRule="exact"/>
              <w:jc w:val="center"/>
              <w:rPr>
                <w:sz w:val="28"/>
              </w:rPr>
            </w:pPr>
          </w:p>
        </w:tc>
        <w:tc>
          <w:tcPr>
            <w:tcW w:w="1435" w:type="dxa"/>
            <w:vMerge w:val="continue"/>
            <w:tcBorders>
              <w:left w:val="single" w:color="auto" w:sz="4" w:space="0"/>
              <w:right w:val="single" w:color="auto" w:sz="4" w:space="0"/>
            </w:tcBorders>
            <w:tcMar>
              <w:top w:w="0" w:type="dxa"/>
              <w:left w:w="105" w:type="dxa"/>
              <w:bottom w:w="0" w:type="dxa"/>
              <w:right w:w="105" w:type="dxa"/>
            </w:tcMar>
            <w:vAlign w:val="center"/>
          </w:tcPr>
          <w:p w14:paraId="5E17599D">
            <w:pPr>
              <w:overflowPunct w:val="0"/>
              <w:adjustRightInd w:val="0"/>
              <w:snapToGrid w:val="0"/>
              <w:spacing w:line="400" w:lineRule="exact"/>
              <w:rPr>
                <w:sz w:val="28"/>
              </w:rPr>
            </w:pP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77B91B7D">
            <w:pPr>
              <w:overflowPunct w:val="0"/>
              <w:adjustRightInd w:val="0"/>
              <w:snapToGrid w:val="0"/>
              <w:spacing w:line="400" w:lineRule="exact"/>
              <w:rPr>
                <w:kern w:val="2"/>
                <w:sz w:val="28"/>
              </w:rPr>
            </w:pPr>
            <w:r>
              <w:rPr>
                <w:sz w:val="28"/>
              </w:rPr>
              <w:t>贷款余额增速（%）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7BEFDB1">
            <w:pPr>
              <w:overflowPunct w:val="0"/>
              <w:adjustRightInd w:val="0"/>
              <w:snapToGrid w:val="0"/>
              <w:spacing w:line="400" w:lineRule="exact"/>
              <w:jc w:val="center"/>
              <w:rPr>
                <w:kern w:val="2"/>
                <w:sz w:val="28"/>
              </w:rPr>
            </w:pPr>
            <w:r>
              <w:rPr>
                <w:rFonts w:hint="eastAsia"/>
                <w:kern w:val="2"/>
                <w:sz w:val="28"/>
              </w:rPr>
              <w:t>10</w:t>
            </w:r>
          </w:p>
        </w:tc>
        <w:tc>
          <w:tcPr>
            <w:tcW w:w="1349" w:type="dxa"/>
            <w:vMerge w:val="continue"/>
            <w:tcBorders>
              <w:left w:val="single" w:color="auto" w:sz="4" w:space="0"/>
              <w:right w:val="single" w:color="auto" w:sz="4" w:space="0"/>
            </w:tcBorders>
            <w:tcMar>
              <w:top w:w="0" w:type="dxa"/>
              <w:left w:w="105" w:type="dxa"/>
              <w:bottom w:w="0" w:type="dxa"/>
              <w:right w:w="105" w:type="dxa"/>
            </w:tcMar>
            <w:vAlign w:val="center"/>
          </w:tcPr>
          <w:p w14:paraId="61BCED84">
            <w:pPr>
              <w:overflowPunct w:val="0"/>
              <w:adjustRightInd w:val="0"/>
              <w:snapToGrid w:val="0"/>
              <w:spacing w:line="400" w:lineRule="exact"/>
              <w:jc w:val="center"/>
              <w:rPr>
                <w:sz w:val="28"/>
              </w:rPr>
            </w:pPr>
          </w:p>
        </w:tc>
      </w:tr>
      <w:tr w14:paraId="15B94E1D">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8B76FD">
            <w:pPr>
              <w:overflowPunct w:val="0"/>
              <w:adjustRightInd w:val="0"/>
              <w:snapToGrid w:val="0"/>
              <w:spacing w:line="400" w:lineRule="exact"/>
              <w:jc w:val="center"/>
              <w:rPr>
                <w:kern w:val="2"/>
                <w:sz w:val="28"/>
              </w:rPr>
            </w:pPr>
            <w:r>
              <w:rPr>
                <w:sz w:val="28"/>
              </w:rPr>
              <w:t>10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4FF28AA">
            <w:pPr>
              <w:overflowPunct w:val="0"/>
              <w:adjustRightInd w:val="0"/>
              <w:snapToGrid w:val="0"/>
              <w:spacing w:line="400" w:lineRule="exact"/>
              <w:rPr>
                <w:sz w:val="28"/>
              </w:rPr>
            </w:pPr>
            <w:r>
              <w:rPr>
                <w:sz w:val="28"/>
              </w:rPr>
              <w:t>固定资产投资增速（%）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046A92">
            <w:pPr>
              <w:overflowPunct w:val="0"/>
              <w:adjustRightInd w:val="0"/>
              <w:snapToGrid w:val="0"/>
              <w:spacing w:line="400" w:lineRule="exact"/>
              <w:jc w:val="center"/>
              <w:rPr>
                <w:sz w:val="28"/>
              </w:rPr>
            </w:pPr>
            <w:r>
              <w:rPr>
                <w:rFonts w:hint="eastAsia"/>
                <w:sz w:val="28"/>
              </w:rPr>
              <w:t>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5A48CA">
            <w:pPr>
              <w:overflowPunct w:val="0"/>
              <w:adjustRightInd w:val="0"/>
              <w:snapToGrid w:val="0"/>
              <w:spacing w:line="400" w:lineRule="exact"/>
              <w:jc w:val="center"/>
              <w:rPr>
                <w:sz w:val="28"/>
              </w:rPr>
            </w:pPr>
            <w:r>
              <w:rPr>
                <w:sz w:val="28"/>
              </w:rPr>
              <w:t>预期性</w:t>
            </w:r>
          </w:p>
        </w:tc>
      </w:tr>
      <w:tr w14:paraId="66089E3B">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C108565">
            <w:pPr>
              <w:overflowPunct w:val="0"/>
              <w:adjustRightInd w:val="0"/>
              <w:snapToGrid w:val="0"/>
              <w:spacing w:line="400" w:lineRule="exact"/>
              <w:jc w:val="center"/>
              <w:rPr>
                <w:sz w:val="28"/>
              </w:rPr>
            </w:pPr>
            <w:r>
              <w:rPr>
                <w:sz w:val="28"/>
              </w:rPr>
              <w:t>11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2321B1">
            <w:pPr>
              <w:overflowPunct w:val="0"/>
              <w:adjustRightInd w:val="0"/>
              <w:snapToGrid w:val="0"/>
              <w:spacing w:line="400" w:lineRule="exact"/>
              <w:rPr>
                <w:sz w:val="28"/>
              </w:rPr>
            </w:pPr>
            <w:r>
              <w:rPr>
                <w:sz w:val="28"/>
              </w:rPr>
              <w:t>一般公共预算收入增速（%）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C57B8B">
            <w:pPr>
              <w:overflowPunct w:val="0"/>
              <w:adjustRightInd w:val="0"/>
              <w:snapToGrid w:val="0"/>
              <w:spacing w:line="400" w:lineRule="exact"/>
              <w:jc w:val="center"/>
              <w:rPr>
                <w:sz w:val="28"/>
              </w:rPr>
            </w:pPr>
            <w:r>
              <w:rPr>
                <w:rFonts w:hint="eastAsia"/>
                <w:sz w:val="28"/>
              </w:rPr>
              <w:t>7</w:t>
            </w:r>
          </w:p>
        </w:tc>
        <w:tc>
          <w:tcPr>
            <w:tcW w:w="134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4C44772D">
            <w:pPr>
              <w:overflowPunct w:val="0"/>
              <w:adjustRightInd w:val="0"/>
              <w:snapToGrid w:val="0"/>
              <w:spacing w:line="400" w:lineRule="exact"/>
              <w:jc w:val="center"/>
              <w:rPr>
                <w:sz w:val="28"/>
              </w:rPr>
            </w:pPr>
            <w:r>
              <w:rPr>
                <w:sz w:val="28"/>
              </w:rPr>
              <w:t>预期性</w:t>
            </w:r>
          </w:p>
        </w:tc>
      </w:tr>
      <w:tr w14:paraId="5F696B41">
        <w:tblPrEx>
          <w:tblCellMar>
            <w:top w:w="0" w:type="dxa"/>
            <w:left w:w="0" w:type="dxa"/>
            <w:bottom w:w="0" w:type="dxa"/>
            <w:right w:w="0" w:type="dxa"/>
          </w:tblCellMar>
        </w:tblPrEx>
        <w:trPr>
          <w:trHeight w:val="462" w:hRule="atLeast"/>
        </w:trPr>
        <w:tc>
          <w:tcPr>
            <w:tcW w:w="82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240C0CE8">
            <w:pPr>
              <w:overflowPunct w:val="0"/>
              <w:adjustRightInd w:val="0"/>
              <w:snapToGrid w:val="0"/>
              <w:spacing w:line="400" w:lineRule="exact"/>
              <w:jc w:val="center"/>
              <w:rPr>
                <w:sz w:val="28"/>
              </w:rPr>
            </w:pP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18E3BA">
            <w:pPr>
              <w:overflowPunct w:val="0"/>
              <w:adjustRightInd w:val="0"/>
              <w:snapToGrid w:val="0"/>
              <w:spacing w:line="400" w:lineRule="exact"/>
              <w:ind w:firstLine="840" w:firstLineChars="300"/>
              <w:rPr>
                <w:sz w:val="28"/>
              </w:rPr>
            </w:pPr>
            <w:r>
              <w:rPr>
                <w:sz w:val="28"/>
              </w:rPr>
              <w:t>其中：税收增速（%）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7756AC">
            <w:pPr>
              <w:overflowPunct w:val="0"/>
              <w:adjustRightInd w:val="0"/>
              <w:snapToGrid w:val="0"/>
              <w:spacing w:line="400" w:lineRule="exact"/>
              <w:jc w:val="center"/>
              <w:rPr>
                <w:sz w:val="28"/>
              </w:rPr>
            </w:pPr>
            <w:r>
              <w:rPr>
                <w:rFonts w:hint="eastAsia"/>
                <w:sz w:val="28"/>
              </w:rPr>
              <w:t>7</w:t>
            </w:r>
          </w:p>
        </w:tc>
        <w:tc>
          <w:tcPr>
            <w:tcW w:w="1349"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685D6C03">
            <w:pPr>
              <w:overflowPunct w:val="0"/>
              <w:adjustRightInd w:val="0"/>
              <w:snapToGrid w:val="0"/>
              <w:spacing w:line="400" w:lineRule="exact"/>
              <w:jc w:val="center"/>
              <w:rPr>
                <w:sz w:val="28"/>
              </w:rPr>
            </w:pPr>
          </w:p>
        </w:tc>
      </w:tr>
      <w:tr w14:paraId="254091B5">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0CBB402">
            <w:pPr>
              <w:overflowPunct w:val="0"/>
              <w:adjustRightInd w:val="0"/>
              <w:snapToGrid w:val="0"/>
              <w:spacing w:line="400" w:lineRule="exact"/>
              <w:jc w:val="center"/>
              <w:rPr>
                <w:sz w:val="28"/>
              </w:rPr>
            </w:pPr>
            <w:r>
              <w:rPr>
                <w:sz w:val="28"/>
              </w:rPr>
              <w:t>12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8F9548">
            <w:pPr>
              <w:overflowPunct w:val="0"/>
              <w:adjustRightInd w:val="0"/>
              <w:snapToGrid w:val="0"/>
              <w:spacing w:line="400" w:lineRule="exact"/>
              <w:rPr>
                <w:sz w:val="28"/>
              </w:rPr>
            </w:pPr>
            <w:r>
              <w:rPr>
                <w:sz w:val="28"/>
              </w:rPr>
              <w:t>研发经费投入强度（%）</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8FF0DF">
            <w:pPr>
              <w:overflowPunct w:val="0"/>
              <w:adjustRightInd w:val="0"/>
              <w:snapToGrid w:val="0"/>
              <w:spacing w:line="400" w:lineRule="exact"/>
              <w:jc w:val="center"/>
              <w:rPr>
                <w:sz w:val="28"/>
              </w:rPr>
            </w:pPr>
            <w:r>
              <w:rPr>
                <w:rFonts w:hint="eastAsia"/>
                <w:sz w:val="28"/>
              </w:rPr>
              <w:t>0.7</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D2D314">
            <w:pPr>
              <w:overflowPunct w:val="0"/>
              <w:adjustRightInd w:val="0"/>
              <w:snapToGrid w:val="0"/>
              <w:spacing w:line="400" w:lineRule="exact"/>
              <w:jc w:val="center"/>
              <w:rPr>
                <w:sz w:val="28"/>
              </w:rPr>
            </w:pPr>
            <w:r>
              <w:rPr>
                <w:sz w:val="28"/>
              </w:rPr>
              <w:t>预期性</w:t>
            </w:r>
          </w:p>
        </w:tc>
      </w:tr>
      <w:tr w14:paraId="66CF0F89">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785403">
            <w:pPr>
              <w:overflowPunct w:val="0"/>
              <w:adjustRightInd w:val="0"/>
              <w:snapToGrid w:val="0"/>
              <w:spacing w:line="400" w:lineRule="exact"/>
              <w:jc w:val="center"/>
              <w:rPr>
                <w:sz w:val="28"/>
              </w:rPr>
            </w:pPr>
            <w:r>
              <w:rPr>
                <w:sz w:val="28"/>
              </w:rPr>
              <w:t>13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643DEA">
            <w:pPr>
              <w:overflowPunct w:val="0"/>
              <w:adjustRightInd w:val="0"/>
              <w:snapToGrid w:val="0"/>
              <w:spacing w:line="400" w:lineRule="exact"/>
              <w:rPr>
                <w:sz w:val="28"/>
              </w:rPr>
            </w:pPr>
            <w:r>
              <w:rPr>
                <w:sz w:val="28"/>
              </w:rPr>
              <w:t>常住人口城镇化率（%）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69E18B">
            <w:pPr>
              <w:overflowPunct w:val="0"/>
              <w:adjustRightInd w:val="0"/>
              <w:snapToGrid w:val="0"/>
              <w:spacing w:line="320" w:lineRule="exact"/>
              <w:jc w:val="center"/>
              <w:rPr>
                <w:sz w:val="28"/>
              </w:rPr>
            </w:pPr>
            <w:r>
              <w:rPr>
                <w:rFonts w:hint="eastAsia"/>
                <w:sz w:val="28"/>
              </w:rPr>
              <w:t>较上年提高0.5个百分点</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98AD49">
            <w:pPr>
              <w:overflowPunct w:val="0"/>
              <w:adjustRightInd w:val="0"/>
              <w:snapToGrid w:val="0"/>
              <w:spacing w:line="400" w:lineRule="exact"/>
              <w:jc w:val="center"/>
              <w:rPr>
                <w:sz w:val="28"/>
              </w:rPr>
            </w:pPr>
            <w:r>
              <w:rPr>
                <w:sz w:val="28"/>
              </w:rPr>
              <w:t>预期性</w:t>
            </w:r>
          </w:p>
        </w:tc>
      </w:tr>
      <w:tr w14:paraId="202D7509">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3211E1">
            <w:pPr>
              <w:overflowPunct w:val="0"/>
              <w:adjustRightInd w:val="0"/>
              <w:snapToGrid w:val="0"/>
              <w:spacing w:line="400" w:lineRule="exact"/>
              <w:jc w:val="center"/>
              <w:rPr>
                <w:sz w:val="28"/>
              </w:rPr>
            </w:pPr>
            <w:r>
              <w:rPr>
                <w:sz w:val="28"/>
              </w:rPr>
              <w:t>14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A09601">
            <w:pPr>
              <w:overflowPunct w:val="0"/>
              <w:adjustRightInd w:val="0"/>
              <w:snapToGrid w:val="0"/>
              <w:spacing w:line="400" w:lineRule="exact"/>
              <w:rPr>
                <w:sz w:val="28"/>
              </w:rPr>
            </w:pPr>
            <w:r>
              <w:rPr>
                <w:sz w:val="28"/>
              </w:rPr>
              <w:t>招商引资实际到位资金（亿元）</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33FA8B">
            <w:pPr>
              <w:overflowPunct w:val="0"/>
              <w:adjustRightInd w:val="0"/>
              <w:snapToGrid w:val="0"/>
              <w:spacing w:line="400" w:lineRule="exact"/>
              <w:jc w:val="center"/>
              <w:rPr>
                <w:sz w:val="28"/>
              </w:rPr>
            </w:pPr>
            <w:r>
              <w:rPr>
                <w:rFonts w:hint="eastAsia"/>
                <w:sz w:val="28"/>
              </w:rPr>
              <w:t>12</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BFF181">
            <w:pPr>
              <w:overflowPunct w:val="0"/>
              <w:adjustRightInd w:val="0"/>
              <w:snapToGrid w:val="0"/>
              <w:spacing w:line="400" w:lineRule="exact"/>
              <w:jc w:val="center"/>
              <w:rPr>
                <w:sz w:val="28"/>
              </w:rPr>
            </w:pPr>
            <w:r>
              <w:rPr>
                <w:sz w:val="28"/>
              </w:rPr>
              <w:t>预期性</w:t>
            </w:r>
          </w:p>
        </w:tc>
      </w:tr>
      <w:tr w14:paraId="1C8DEA90">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14705E0">
            <w:pPr>
              <w:overflowPunct w:val="0"/>
              <w:adjustRightInd w:val="0"/>
              <w:snapToGrid w:val="0"/>
              <w:spacing w:line="400" w:lineRule="exact"/>
              <w:jc w:val="center"/>
              <w:rPr>
                <w:sz w:val="28"/>
              </w:rPr>
            </w:pPr>
            <w:r>
              <w:rPr>
                <w:sz w:val="28"/>
              </w:rPr>
              <w:t>15</w:t>
            </w:r>
          </w:p>
        </w:tc>
        <w:tc>
          <w:tcPr>
            <w:tcW w:w="143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E0F8245">
            <w:pPr>
              <w:overflowPunct w:val="0"/>
              <w:adjustRightInd w:val="0"/>
              <w:snapToGrid w:val="0"/>
              <w:spacing w:line="400" w:lineRule="exact"/>
              <w:jc w:val="center"/>
              <w:rPr>
                <w:sz w:val="28"/>
              </w:rPr>
            </w:pPr>
            <w:r>
              <w:rPr>
                <w:sz w:val="28"/>
              </w:rPr>
              <w:t>旅游接待</w:t>
            </w:r>
          </w:p>
        </w:tc>
        <w:tc>
          <w:tcPr>
            <w:tcW w:w="41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1B2377">
            <w:pPr>
              <w:overflowPunct w:val="0"/>
              <w:adjustRightInd w:val="0"/>
              <w:snapToGrid w:val="0"/>
              <w:spacing w:line="400" w:lineRule="exact"/>
              <w:rPr>
                <w:sz w:val="28"/>
              </w:rPr>
            </w:pPr>
            <w:r>
              <w:rPr>
                <w:sz w:val="28"/>
              </w:rPr>
              <w:t>游客接待量（万人次）</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B8D205">
            <w:pPr>
              <w:overflowPunct w:val="0"/>
              <w:adjustRightInd w:val="0"/>
              <w:snapToGrid w:val="0"/>
              <w:spacing w:line="400" w:lineRule="exact"/>
              <w:jc w:val="center"/>
              <w:rPr>
                <w:sz w:val="28"/>
              </w:rPr>
            </w:pPr>
            <w:r>
              <w:rPr>
                <w:rFonts w:hint="eastAsia"/>
                <w:sz w:val="28"/>
              </w:rPr>
              <w:t>630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84F23D5">
            <w:pPr>
              <w:overflowPunct w:val="0"/>
              <w:adjustRightInd w:val="0"/>
              <w:snapToGrid w:val="0"/>
              <w:spacing w:line="400" w:lineRule="exact"/>
              <w:jc w:val="center"/>
              <w:rPr>
                <w:sz w:val="28"/>
              </w:rPr>
            </w:pPr>
            <w:r>
              <w:rPr>
                <w:sz w:val="28"/>
              </w:rPr>
              <w:t>预期性</w:t>
            </w:r>
          </w:p>
        </w:tc>
      </w:tr>
      <w:tr w14:paraId="4560E9BE">
        <w:tblPrEx>
          <w:tblCellMar>
            <w:top w:w="0" w:type="dxa"/>
            <w:left w:w="0" w:type="dxa"/>
            <w:bottom w:w="0" w:type="dxa"/>
            <w:right w:w="0" w:type="dxa"/>
          </w:tblCellMar>
        </w:tblPrEx>
        <w:trPr>
          <w:trHeight w:val="462" w:hRule="atLeast"/>
        </w:trPr>
        <w:tc>
          <w:tcPr>
            <w:tcW w:w="82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358D3A66">
            <w:pPr>
              <w:overflowPunct w:val="0"/>
              <w:adjustRightInd w:val="0"/>
              <w:snapToGrid w:val="0"/>
              <w:spacing w:line="400" w:lineRule="exact"/>
              <w:jc w:val="center"/>
              <w:rPr>
                <w:sz w:val="28"/>
              </w:rPr>
            </w:pPr>
          </w:p>
        </w:tc>
        <w:tc>
          <w:tcPr>
            <w:tcW w:w="1435"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2F02C7BF">
            <w:pPr>
              <w:overflowPunct w:val="0"/>
              <w:adjustRightInd w:val="0"/>
              <w:snapToGrid w:val="0"/>
              <w:spacing w:line="400" w:lineRule="exact"/>
              <w:rPr>
                <w:sz w:val="28"/>
              </w:rPr>
            </w:pPr>
          </w:p>
        </w:tc>
        <w:tc>
          <w:tcPr>
            <w:tcW w:w="41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CD8296">
            <w:pPr>
              <w:overflowPunct w:val="0"/>
              <w:adjustRightInd w:val="0"/>
              <w:snapToGrid w:val="0"/>
              <w:spacing w:line="400" w:lineRule="exact"/>
              <w:rPr>
                <w:sz w:val="28"/>
              </w:rPr>
            </w:pPr>
            <w:r>
              <w:rPr>
                <w:sz w:val="28"/>
              </w:rPr>
              <w:t>旅游综合收入增速（%）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750715">
            <w:pPr>
              <w:overflowPunct w:val="0"/>
              <w:adjustRightInd w:val="0"/>
              <w:snapToGrid w:val="0"/>
              <w:spacing w:line="400" w:lineRule="exact"/>
              <w:jc w:val="center"/>
              <w:rPr>
                <w:sz w:val="28"/>
              </w:rPr>
            </w:pPr>
            <w:r>
              <w:rPr>
                <w:rFonts w:hint="eastAsia"/>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C946D1">
            <w:pPr>
              <w:overflowPunct w:val="0"/>
              <w:adjustRightInd w:val="0"/>
              <w:snapToGrid w:val="0"/>
              <w:spacing w:line="400" w:lineRule="exact"/>
              <w:jc w:val="center"/>
              <w:rPr>
                <w:sz w:val="28"/>
              </w:rPr>
            </w:pPr>
            <w:r>
              <w:rPr>
                <w:sz w:val="28"/>
              </w:rPr>
              <w:t>预期性</w:t>
            </w:r>
          </w:p>
        </w:tc>
      </w:tr>
      <w:tr w14:paraId="0EF6BBC2">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E37895">
            <w:pPr>
              <w:overflowPunct w:val="0"/>
              <w:adjustRightInd w:val="0"/>
              <w:snapToGrid w:val="0"/>
              <w:spacing w:line="400" w:lineRule="exact"/>
              <w:jc w:val="center"/>
              <w:rPr>
                <w:sz w:val="28"/>
              </w:rPr>
            </w:pPr>
            <w:r>
              <w:rPr>
                <w:b/>
                <w:bCs/>
                <w:sz w:val="28"/>
              </w:rPr>
              <w:t>二</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531EC9">
            <w:pPr>
              <w:overflowPunct w:val="0"/>
              <w:adjustRightInd w:val="0"/>
              <w:snapToGrid w:val="0"/>
              <w:spacing w:line="400" w:lineRule="exact"/>
              <w:rPr>
                <w:b/>
                <w:bCs/>
                <w:sz w:val="28"/>
              </w:rPr>
            </w:pPr>
            <w:r>
              <w:rPr>
                <w:b/>
                <w:bCs/>
                <w:sz w:val="28"/>
              </w:rPr>
              <w:t>创造高品质生活</w:t>
            </w:r>
          </w:p>
        </w:tc>
      </w:tr>
      <w:tr w14:paraId="7EBE7DA7">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DBABEF">
            <w:pPr>
              <w:overflowPunct w:val="0"/>
              <w:adjustRightInd w:val="0"/>
              <w:snapToGrid w:val="0"/>
              <w:spacing w:line="400" w:lineRule="exact"/>
              <w:jc w:val="center"/>
              <w:rPr>
                <w:kern w:val="2"/>
                <w:sz w:val="28"/>
                <w:szCs w:val="28"/>
              </w:rPr>
            </w:pPr>
            <w:r>
              <w:rPr>
                <w:sz w:val="28"/>
              </w:rPr>
              <w:t>16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9690746">
            <w:pPr>
              <w:overflowPunct w:val="0"/>
              <w:adjustRightInd w:val="0"/>
              <w:snapToGrid w:val="0"/>
              <w:spacing w:line="400" w:lineRule="exact"/>
              <w:rPr>
                <w:sz w:val="28"/>
              </w:rPr>
            </w:pPr>
            <w:r>
              <w:rPr>
                <w:rFonts w:hint="eastAsia"/>
                <w:sz w:val="28"/>
              </w:rPr>
              <w:t>全体</w:t>
            </w:r>
            <w:r>
              <w:rPr>
                <w:sz w:val="28"/>
              </w:rPr>
              <w:t>居民人均可支配收入增速（%）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1BBB73">
            <w:pPr>
              <w:overflowPunct w:val="0"/>
              <w:adjustRightInd w:val="0"/>
              <w:snapToGrid w:val="0"/>
              <w:spacing w:line="400" w:lineRule="exact"/>
              <w:jc w:val="center"/>
              <w:rPr>
                <w:sz w:val="28"/>
              </w:rPr>
            </w:pPr>
            <w:r>
              <w:rPr>
                <w:rFonts w:hint="eastAsia"/>
                <w:sz w:val="28"/>
              </w:rPr>
              <w:t>6.5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13EACD">
            <w:pPr>
              <w:overflowPunct w:val="0"/>
              <w:adjustRightInd w:val="0"/>
              <w:snapToGrid w:val="0"/>
              <w:spacing w:line="400" w:lineRule="exact"/>
              <w:jc w:val="center"/>
              <w:rPr>
                <w:sz w:val="28"/>
              </w:rPr>
            </w:pPr>
            <w:r>
              <w:rPr>
                <w:sz w:val="28"/>
              </w:rPr>
              <w:t>预期性</w:t>
            </w:r>
          </w:p>
        </w:tc>
      </w:tr>
      <w:tr w14:paraId="34EF536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DABF0C">
            <w:pPr>
              <w:overflowPunct w:val="0"/>
              <w:adjustRightInd w:val="0"/>
              <w:snapToGrid w:val="0"/>
              <w:spacing w:line="400" w:lineRule="exact"/>
              <w:jc w:val="center"/>
              <w:rPr>
                <w:kern w:val="2"/>
                <w:sz w:val="28"/>
              </w:rPr>
            </w:pPr>
            <w:r>
              <w:rPr>
                <w:sz w:val="28"/>
              </w:rPr>
              <w:t>17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6867BE">
            <w:pPr>
              <w:overflowPunct w:val="0"/>
              <w:adjustRightInd w:val="0"/>
              <w:snapToGrid w:val="0"/>
              <w:spacing w:line="400" w:lineRule="exact"/>
              <w:rPr>
                <w:sz w:val="28"/>
              </w:rPr>
            </w:pPr>
            <w:r>
              <w:rPr>
                <w:sz w:val="28"/>
              </w:rPr>
              <w:t>农村居民人均可支配收入增速（%）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1B25D4">
            <w:pPr>
              <w:overflowPunct w:val="0"/>
              <w:adjustRightInd w:val="0"/>
              <w:snapToGrid w:val="0"/>
              <w:spacing w:line="400" w:lineRule="exact"/>
              <w:jc w:val="center"/>
              <w:rPr>
                <w:sz w:val="28"/>
              </w:rPr>
            </w:pPr>
            <w:r>
              <w:rPr>
                <w:rFonts w:hint="eastAsia"/>
                <w:sz w:val="28"/>
              </w:rPr>
              <w:t>7.5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EBF301">
            <w:pPr>
              <w:overflowPunct w:val="0"/>
              <w:adjustRightInd w:val="0"/>
              <w:snapToGrid w:val="0"/>
              <w:spacing w:line="400" w:lineRule="exact"/>
              <w:jc w:val="center"/>
              <w:rPr>
                <w:sz w:val="28"/>
              </w:rPr>
            </w:pPr>
            <w:r>
              <w:rPr>
                <w:sz w:val="28"/>
              </w:rPr>
              <w:t>预期性</w:t>
            </w:r>
          </w:p>
        </w:tc>
      </w:tr>
      <w:tr w14:paraId="5D2869AE">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4063C41">
            <w:pPr>
              <w:overflowPunct w:val="0"/>
              <w:adjustRightInd w:val="0"/>
              <w:snapToGrid w:val="0"/>
              <w:spacing w:line="400" w:lineRule="exact"/>
              <w:jc w:val="center"/>
              <w:rPr>
                <w:kern w:val="2"/>
                <w:sz w:val="28"/>
              </w:rPr>
            </w:pPr>
            <w:r>
              <w:rPr>
                <w:sz w:val="28"/>
              </w:rPr>
              <w:t>18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82C9324">
            <w:pPr>
              <w:overflowPunct w:val="0"/>
              <w:adjustRightInd w:val="0"/>
              <w:snapToGrid w:val="0"/>
              <w:spacing w:line="400" w:lineRule="exact"/>
              <w:rPr>
                <w:sz w:val="28"/>
              </w:rPr>
            </w:pPr>
            <w:r>
              <w:rPr>
                <w:sz w:val="28"/>
              </w:rPr>
              <w:t>新增城镇就业（人）</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F49C78">
            <w:pPr>
              <w:overflowPunct w:val="0"/>
              <w:adjustRightInd w:val="0"/>
              <w:snapToGrid w:val="0"/>
              <w:spacing w:line="400" w:lineRule="exact"/>
              <w:jc w:val="center"/>
              <w:rPr>
                <w:sz w:val="28"/>
              </w:rPr>
            </w:pPr>
            <w:r>
              <w:rPr>
                <w:rFonts w:hint="eastAsia"/>
                <w:sz w:val="28"/>
              </w:rPr>
              <w:t>1500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881C80">
            <w:pPr>
              <w:overflowPunct w:val="0"/>
              <w:adjustRightInd w:val="0"/>
              <w:snapToGrid w:val="0"/>
              <w:spacing w:line="400" w:lineRule="exact"/>
              <w:jc w:val="center"/>
              <w:rPr>
                <w:sz w:val="28"/>
              </w:rPr>
            </w:pPr>
            <w:r>
              <w:rPr>
                <w:sz w:val="28"/>
              </w:rPr>
              <w:t>预期性</w:t>
            </w:r>
          </w:p>
        </w:tc>
      </w:tr>
      <w:tr w14:paraId="31D3C15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B71FB9">
            <w:pPr>
              <w:overflowPunct w:val="0"/>
              <w:adjustRightInd w:val="0"/>
              <w:snapToGrid w:val="0"/>
              <w:spacing w:line="400" w:lineRule="exact"/>
              <w:jc w:val="center"/>
              <w:rPr>
                <w:kern w:val="2"/>
                <w:sz w:val="28"/>
              </w:rPr>
            </w:pPr>
            <w:r>
              <w:rPr>
                <w:sz w:val="28"/>
              </w:rPr>
              <w:t>19</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25D1746">
            <w:pPr>
              <w:overflowPunct w:val="0"/>
              <w:adjustRightInd w:val="0"/>
              <w:snapToGrid w:val="0"/>
              <w:spacing w:line="400" w:lineRule="exact"/>
              <w:rPr>
                <w:sz w:val="28"/>
              </w:rPr>
            </w:pPr>
            <w:r>
              <w:rPr>
                <w:sz w:val="28"/>
              </w:rPr>
              <w:t>城镇调查失业率（%）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AD3294">
            <w:pPr>
              <w:overflowPunct w:val="0"/>
              <w:adjustRightInd w:val="0"/>
              <w:snapToGrid w:val="0"/>
              <w:spacing w:line="400" w:lineRule="exact"/>
              <w:jc w:val="center"/>
              <w:rPr>
                <w:sz w:val="28"/>
              </w:rPr>
            </w:pPr>
            <w:r>
              <w:rPr>
                <w:rFonts w:eastAsia="东文宋体"/>
                <w:sz w:val="28"/>
              </w:rPr>
              <w:t>≤</w:t>
            </w:r>
            <w:r>
              <w:rPr>
                <w:sz w:val="28"/>
              </w:rPr>
              <w:t>5.5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2CE851">
            <w:pPr>
              <w:overflowPunct w:val="0"/>
              <w:adjustRightInd w:val="0"/>
              <w:snapToGrid w:val="0"/>
              <w:spacing w:line="400" w:lineRule="exact"/>
              <w:jc w:val="center"/>
              <w:rPr>
                <w:sz w:val="28"/>
              </w:rPr>
            </w:pPr>
            <w:r>
              <w:rPr>
                <w:sz w:val="28"/>
              </w:rPr>
              <w:t>预期性</w:t>
            </w:r>
          </w:p>
        </w:tc>
      </w:tr>
      <w:tr w14:paraId="239E231C">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4F870A8">
            <w:pPr>
              <w:overflowPunct w:val="0"/>
              <w:adjustRightInd w:val="0"/>
              <w:snapToGrid w:val="0"/>
              <w:spacing w:line="400" w:lineRule="exact"/>
              <w:jc w:val="center"/>
              <w:rPr>
                <w:kern w:val="2"/>
                <w:sz w:val="28"/>
              </w:rPr>
            </w:pPr>
            <w:r>
              <w:rPr>
                <w:sz w:val="28"/>
              </w:rPr>
              <w:t>20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EDAF7C">
            <w:pPr>
              <w:overflowPunct w:val="0"/>
              <w:adjustRightInd w:val="0"/>
              <w:snapToGrid w:val="0"/>
              <w:spacing w:line="400" w:lineRule="exact"/>
              <w:rPr>
                <w:kern w:val="2"/>
                <w:sz w:val="28"/>
                <w:szCs w:val="28"/>
              </w:rPr>
            </w:pPr>
            <w:r>
              <w:rPr>
                <w:sz w:val="28"/>
              </w:rPr>
              <w:t>劳动年龄人口平均受教育年限（年）</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EE3EA0">
            <w:pPr>
              <w:overflowPunct w:val="0"/>
              <w:adjustRightInd w:val="0"/>
              <w:snapToGrid w:val="0"/>
              <w:spacing w:line="400" w:lineRule="exact"/>
              <w:jc w:val="center"/>
              <w:rPr>
                <w:sz w:val="28"/>
              </w:rPr>
            </w:pPr>
            <w:r>
              <w:rPr>
                <w:rFonts w:hint="eastAsia"/>
                <w:sz w:val="28"/>
              </w:rPr>
              <w:t>11</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B3C20F">
            <w:pPr>
              <w:overflowPunct w:val="0"/>
              <w:adjustRightInd w:val="0"/>
              <w:snapToGrid w:val="0"/>
              <w:spacing w:line="400" w:lineRule="exact"/>
              <w:jc w:val="center"/>
              <w:rPr>
                <w:sz w:val="28"/>
              </w:rPr>
            </w:pPr>
            <w:r>
              <w:rPr>
                <w:sz w:val="28"/>
              </w:rPr>
              <w:t>约束性</w:t>
            </w:r>
          </w:p>
        </w:tc>
      </w:tr>
      <w:tr w14:paraId="140D8364">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822857">
            <w:pPr>
              <w:overflowPunct w:val="0"/>
              <w:adjustRightInd w:val="0"/>
              <w:snapToGrid w:val="0"/>
              <w:spacing w:line="400" w:lineRule="exact"/>
              <w:jc w:val="center"/>
              <w:rPr>
                <w:kern w:val="2"/>
                <w:sz w:val="28"/>
              </w:rPr>
            </w:pPr>
            <w:r>
              <w:rPr>
                <w:sz w:val="28"/>
              </w:rPr>
              <w:t>21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010B36">
            <w:pPr>
              <w:overflowPunct w:val="0"/>
              <w:adjustRightInd w:val="0"/>
              <w:snapToGrid w:val="0"/>
              <w:spacing w:line="400" w:lineRule="exact"/>
              <w:rPr>
                <w:kern w:val="2"/>
                <w:sz w:val="28"/>
                <w:szCs w:val="28"/>
              </w:rPr>
            </w:pPr>
            <w:r>
              <w:rPr>
                <w:sz w:val="28"/>
              </w:rPr>
              <w:t>人均预期寿命（岁）</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CB4F17">
            <w:pPr>
              <w:overflowPunct w:val="0"/>
              <w:adjustRightInd w:val="0"/>
              <w:snapToGrid w:val="0"/>
              <w:spacing w:line="400" w:lineRule="exact"/>
              <w:jc w:val="center"/>
              <w:rPr>
                <w:sz w:val="28"/>
              </w:rPr>
            </w:pPr>
            <w:r>
              <w:rPr>
                <w:rFonts w:hint="eastAsia"/>
                <w:sz w:val="28"/>
              </w:rPr>
              <w:t>78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6790C6">
            <w:pPr>
              <w:overflowPunct w:val="0"/>
              <w:adjustRightInd w:val="0"/>
              <w:snapToGrid w:val="0"/>
              <w:spacing w:line="400" w:lineRule="exact"/>
              <w:jc w:val="center"/>
              <w:rPr>
                <w:sz w:val="28"/>
              </w:rPr>
            </w:pPr>
            <w:r>
              <w:rPr>
                <w:sz w:val="28"/>
              </w:rPr>
              <w:t>预期性</w:t>
            </w:r>
          </w:p>
        </w:tc>
      </w:tr>
      <w:tr w14:paraId="3C197F1F">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3F89BA2">
            <w:pPr>
              <w:overflowPunct w:val="0"/>
              <w:adjustRightInd w:val="0"/>
              <w:snapToGrid w:val="0"/>
              <w:spacing w:line="400" w:lineRule="exact"/>
              <w:jc w:val="center"/>
              <w:rPr>
                <w:kern w:val="2"/>
                <w:sz w:val="28"/>
              </w:rPr>
            </w:pPr>
            <w:r>
              <w:rPr>
                <w:sz w:val="28"/>
              </w:rPr>
              <w:t>22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6C6DD1">
            <w:pPr>
              <w:overflowPunct w:val="0"/>
              <w:adjustRightInd w:val="0"/>
              <w:snapToGrid w:val="0"/>
              <w:spacing w:line="400" w:lineRule="exact"/>
              <w:rPr>
                <w:kern w:val="2"/>
                <w:sz w:val="28"/>
                <w:szCs w:val="28"/>
              </w:rPr>
            </w:pPr>
            <w:r>
              <w:rPr>
                <w:sz w:val="28"/>
              </w:rPr>
              <w:t>每千人口拥有执业（助理）医师数（人）</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03547EB">
            <w:pPr>
              <w:overflowPunct w:val="0"/>
              <w:adjustRightInd w:val="0"/>
              <w:snapToGrid w:val="0"/>
              <w:spacing w:line="400" w:lineRule="exact"/>
              <w:jc w:val="center"/>
              <w:rPr>
                <w:sz w:val="28"/>
              </w:rPr>
            </w:pPr>
            <w:r>
              <w:rPr>
                <w:rFonts w:hint="eastAsia"/>
                <w:sz w:val="28"/>
              </w:rPr>
              <w:t>2.9</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D33B22">
            <w:pPr>
              <w:overflowPunct w:val="0"/>
              <w:adjustRightInd w:val="0"/>
              <w:snapToGrid w:val="0"/>
              <w:spacing w:line="400" w:lineRule="exact"/>
              <w:jc w:val="center"/>
              <w:rPr>
                <w:sz w:val="28"/>
              </w:rPr>
            </w:pPr>
            <w:r>
              <w:rPr>
                <w:sz w:val="28"/>
              </w:rPr>
              <w:t>预期性</w:t>
            </w:r>
          </w:p>
        </w:tc>
      </w:tr>
      <w:tr w14:paraId="7BFA968C">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0A77C3">
            <w:pPr>
              <w:overflowPunct w:val="0"/>
              <w:adjustRightInd w:val="0"/>
              <w:snapToGrid w:val="0"/>
              <w:spacing w:line="400" w:lineRule="exact"/>
              <w:jc w:val="center"/>
              <w:rPr>
                <w:b/>
                <w:bCs/>
                <w:sz w:val="28"/>
              </w:rPr>
            </w:pPr>
            <w:r>
              <w:rPr>
                <w:b/>
                <w:bCs/>
                <w:sz w:val="28"/>
              </w:rPr>
              <w:t>三</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D48CDA2">
            <w:pPr>
              <w:overflowPunct w:val="0"/>
              <w:adjustRightInd w:val="0"/>
              <w:snapToGrid w:val="0"/>
              <w:spacing w:line="400" w:lineRule="exact"/>
              <w:jc w:val="left"/>
              <w:rPr>
                <w:b/>
                <w:bCs/>
                <w:sz w:val="28"/>
              </w:rPr>
            </w:pPr>
            <w:r>
              <w:rPr>
                <w:b/>
                <w:bCs/>
                <w:sz w:val="28"/>
              </w:rPr>
              <w:t>山清水秀美丽之地建设</w:t>
            </w:r>
          </w:p>
        </w:tc>
      </w:tr>
      <w:tr w14:paraId="1D6F142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DC5D81">
            <w:pPr>
              <w:overflowPunct w:val="0"/>
              <w:adjustRightInd w:val="0"/>
              <w:snapToGrid w:val="0"/>
              <w:spacing w:line="400" w:lineRule="exact"/>
              <w:jc w:val="center"/>
              <w:rPr>
                <w:kern w:val="2"/>
                <w:sz w:val="28"/>
              </w:rPr>
            </w:pPr>
            <w:r>
              <w:rPr>
                <w:sz w:val="28"/>
              </w:rPr>
              <w:t>23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0C7652">
            <w:pPr>
              <w:overflowPunct w:val="0"/>
              <w:adjustRightInd w:val="0"/>
              <w:snapToGrid w:val="0"/>
              <w:spacing w:line="400" w:lineRule="exact"/>
              <w:rPr>
                <w:sz w:val="28"/>
              </w:rPr>
            </w:pPr>
            <w:r>
              <w:rPr>
                <w:sz w:val="28"/>
              </w:rPr>
              <w:t>环境空气质量优良天数（天）</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E34385B">
            <w:pPr>
              <w:overflowPunct w:val="0"/>
              <w:adjustRightInd w:val="0"/>
              <w:snapToGrid w:val="0"/>
              <w:spacing w:line="400" w:lineRule="exact"/>
              <w:jc w:val="center"/>
              <w:rPr>
                <w:sz w:val="28"/>
              </w:rPr>
            </w:pPr>
            <w:r>
              <w:rPr>
                <w:rFonts w:hint="eastAsia"/>
                <w:sz w:val="28"/>
              </w:rPr>
              <w:t>360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5D364B">
            <w:pPr>
              <w:overflowPunct w:val="0"/>
              <w:adjustRightInd w:val="0"/>
              <w:snapToGrid w:val="0"/>
              <w:spacing w:line="400" w:lineRule="exact"/>
              <w:jc w:val="center"/>
              <w:rPr>
                <w:sz w:val="28"/>
              </w:rPr>
            </w:pPr>
            <w:r>
              <w:rPr>
                <w:sz w:val="28"/>
              </w:rPr>
              <w:t>预期性</w:t>
            </w:r>
          </w:p>
        </w:tc>
      </w:tr>
      <w:tr w14:paraId="1A6319BC">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873E1E">
            <w:pPr>
              <w:overflowPunct w:val="0"/>
              <w:adjustRightInd w:val="0"/>
              <w:snapToGrid w:val="0"/>
              <w:spacing w:line="400" w:lineRule="exact"/>
              <w:jc w:val="center"/>
              <w:rPr>
                <w:kern w:val="2"/>
                <w:sz w:val="28"/>
              </w:rPr>
            </w:pPr>
            <w:r>
              <w:rPr>
                <w:sz w:val="28"/>
              </w:rPr>
              <w:t>24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543209">
            <w:pPr>
              <w:overflowPunct w:val="0"/>
              <w:adjustRightInd w:val="0"/>
              <w:snapToGrid w:val="0"/>
              <w:spacing w:line="400" w:lineRule="exact"/>
              <w:rPr>
                <w:sz w:val="28"/>
              </w:rPr>
            </w:pPr>
            <w:r>
              <w:rPr>
                <w:sz w:val="28"/>
              </w:rPr>
              <w:t>森林蓄积量（万立方米)</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A07792">
            <w:pPr>
              <w:overflowPunct w:val="0"/>
              <w:adjustRightInd w:val="0"/>
              <w:snapToGrid w:val="0"/>
              <w:spacing w:line="400" w:lineRule="exact"/>
              <w:jc w:val="center"/>
              <w:rPr>
                <w:sz w:val="28"/>
              </w:rPr>
            </w:pPr>
            <w:r>
              <w:rPr>
                <w:rFonts w:hint="eastAsia"/>
                <w:sz w:val="28"/>
              </w:rPr>
              <w:t>1900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8654B3">
            <w:pPr>
              <w:overflowPunct w:val="0"/>
              <w:adjustRightInd w:val="0"/>
              <w:snapToGrid w:val="0"/>
              <w:spacing w:line="400" w:lineRule="exact"/>
              <w:jc w:val="center"/>
              <w:rPr>
                <w:sz w:val="28"/>
              </w:rPr>
            </w:pPr>
            <w:r>
              <w:rPr>
                <w:sz w:val="28"/>
              </w:rPr>
              <w:t>预期性</w:t>
            </w:r>
          </w:p>
        </w:tc>
      </w:tr>
      <w:tr w14:paraId="357769FB">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A18A050">
            <w:pPr>
              <w:overflowPunct w:val="0"/>
              <w:adjustRightInd w:val="0"/>
              <w:snapToGrid w:val="0"/>
              <w:spacing w:line="400" w:lineRule="exact"/>
              <w:jc w:val="center"/>
              <w:rPr>
                <w:kern w:val="2"/>
                <w:sz w:val="28"/>
              </w:rPr>
            </w:pPr>
            <w:r>
              <w:rPr>
                <w:sz w:val="28"/>
              </w:rPr>
              <w:t>25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D535BB">
            <w:pPr>
              <w:overflowPunct w:val="0"/>
              <w:adjustRightInd w:val="0"/>
              <w:snapToGrid w:val="0"/>
              <w:spacing w:line="400" w:lineRule="exact"/>
              <w:rPr>
                <w:sz w:val="28"/>
              </w:rPr>
            </w:pPr>
            <w:r>
              <w:rPr>
                <w:sz w:val="28"/>
              </w:rPr>
              <w:t>地表水达到或好于Ⅲ类水体比例（%）</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317956">
            <w:pPr>
              <w:overflowPunct w:val="0"/>
              <w:adjustRightInd w:val="0"/>
              <w:snapToGrid w:val="0"/>
              <w:spacing w:line="400" w:lineRule="exact"/>
              <w:jc w:val="center"/>
              <w:rPr>
                <w:sz w:val="28"/>
              </w:rPr>
            </w:pPr>
            <w:r>
              <w:rPr>
                <w:rFonts w:hint="eastAsia"/>
                <w:sz w:val="28"/>
              </w:rPr>
              <w:t>100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C57EF0">
            <w:pPr>
              <w:overflowPunct w:val="0"/>
              <w:adjustRightInd w:val="0"/>
              <w:snapToGrid w:val="0"/>
              <w:spacing w:line="400" w:lineRule="exact"/>
              <w:jc w:val="center"/>
              <w:rPr>
                <w:sz w:val="28"/>
              </w:rPr>
            </w:pPr>
            <w:r>
              <w:rPr>
                <w:sz w:val="28"/>
              </w:rPr>
              <w:t>约束性</w:t>
            </w:r>
          </w:p>
        </w:tc>
      </w:tr>
      <w:tr w14:paraId="1DAD822D">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C2B359">
            <w:pPr>
              <w:overflowPunct w:val="0"/>
              <w:adjustRightInd w:val="0"/>
              <w:snapToGrid w:val="0"/>
              <w:spacing w:line="400" w:lineRule="exact"/>
              <w:jc w:val="center"/>
              <w:rPr>
                <w:kern w:val="2"/>
                <w:sz w:val="28"/>
              </w:rPr>
            </w:pPr>
            <w:r>
              <w:rPr>
                <w:sz w:val="28"/>
              </w:rPr>
              <w:t>26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7FEC8B">
            <w:pPr>
              <w:overflowPunct w:val="0"/>
              <w:adjustRightInd w:val="0"/>
              <w:snapToGrid w:val="0"/>
              <w:spacing w:line="400" w:lineRule="exact"/>
              <w:rPr>
                <w:sz w:val="28"/>
              </w:rPr>
            </w:pPr>
            <w:r>
              <w:rPr>
                <w:sz w:val="28"/>
              </w:rPr>
              <w:t>城镇生活垃圾无害化处理率（%）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372293">
            <w:pPr>
              <w:overflowPunct w:val="0"/>
              <w:adjustRightInd w:val="0"/>
              <w:snapToGrid w:val="0"/>
              <w:spacing w:line="400" w:lineRule="exact"/>
              <w:jc w:val="center"/>
              <w:rPr>
                <w:sz w:val="28"/>
              </w:rPr>
            </w:pPr>
            <w:r>
              <w:rPr>
                <w:sz w:val="28"/>
              </w:rPr>
              <w:t>100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D7D7D3">
            <w:pPr>
              <w:overflowPunct w:val="0"/>
              <w:adjustRightInd w:val="0"/>
              <w:snapToGrid w:val="0"/>
              <w:spacing w:line="400" w:lineRule="exact"/>
              <w:jc w:val="center"/>
              <w:rPr>
                <w:sz w:val="28"/>
              </w:rPr>
            </w:pPr>
            <w:r>
              <w:rPr>
                <w:sz w:val="28"/>
              </w:rPr>
              <w:t>约束性</w:t>
            </w:r>
          </w:p>
        </w:tc>
      </w:tr>
      <w:tr w14:paraId="6902FA1B">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71E5ED3">
            <w:pPr>
              <w:overflowPunct w:val="0"/>
              <w:adjustRightInd w:val="0"/>
              <w:snapToGrid w:val="0"/>
              <w:spacing w:line="400" w:lineRule="exact"/>
              <w:jc w:val="center"/>
              <w:rPr>
                <w:kern w:val="2"/>
                <w:sz w:val="28"/>
              </w:rPr>
            </w:pPr>
            <w:r>
              <w:rPr>
                <w:sz w:val="28"/>
              </w:rPr>
              <w:t>27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472017">
            <w:pPr>
              <w:overflowPunct w:val="0"/>
              <w:adjustRightInd w:val="0"/>
              <w:snapToGrid w:val="0"/>
              <w:spacing w:line="400" w:lineRule="exact"/>
              <w:rPr>
                <w:sz w:val="28"/>
              </w:rPr>
            </w:pPr>
            <w:r>
              <w:rPr>
                <w:sz w:val="28"/>
              </w:rPr>
              <w:t>农村无害化卫生厕所普及率（%）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26CC19C">
            <w:pPr>
              <w:overflowPunct w:val="0"/>
              <w:adjustRightInd w:val="0"/>
              <w:snapToGrid w:val="0"/>
              <w:spacing w:line="400" w:lineRule="exact"/>
              <w:jc w:val="center"/>
              <w:rPr>
                <w:sz w:val="28"/>
              </w:rPr>
            </w:pPr>
            <w:r>
              <w:rPr>
                <w:rFonts w:hint="eastAsia"/>
                <w:sz w:val="28"/>
              </w:rPr>
              <w:t>80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EF2BED">
            <w:pPr>
              <w:overflowPunct w:val="0"/>
              <w:adjustRightInd w:val="0"/>
              <w:snapToGrid w:val="0"/>
              <w:spacing w:line="400" w:lineRule="exact"/>
              <w:jc w:val="center"/>
              <w:rPr>
                <w:sz w:val="28"/>
              </w:rPr>
            </w:pPr>
            <w:r>
              <w:rPr>
                <w:sz w:val="28"/>
              </w:rPr>
              <w:t>约束性</w:t>
            </w:r>
          </w:p>
        </w:tc>
      </w:tr>
      <w:tr w14:paraId="7C90D847">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F357FC">
            <w:pPr>
              <w:overflowPunct w:val="0"/>
              <w:adjustRightInd w:val="0"/>
              <w:snapToGrid w:val="0"/>
              <w:spacing w:line="400" w:lineRule="exact"/>
              <w:jc w:val="center"/>
              <w:rPr>
                <w:kern w:val="2"/>
                <w:sz w:val="28"/>
              </w:rPr>
            </w:pPr>
            <w:r>
              <w:rPr>
                <w:sz w:val="28"/>
              </w:rPr>
              <w:t>28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381BA1">
            <w:pPr>
              <w:overflowPunct w:val="0"/>
              <w:adjustRightInd w:val="0"/>
              <w:snapToGrid w:val="0"/>
              <w:spacing w:line="400" w:lineRule="exact"/>
              <w:rPr>
                <w:sz w:val="28"/>
              </w:rPr>
            </w:pPr>
            <w:r>
              <w:rPr>
                <w:sz w:val="28"/>
              </w:rPr>
              <w:t>单位地区生产总值能源消耗降低（%）</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9836D7">
            <w:pPr>
              <w:overflowPunct w:val="0"/>
              <w:adjustRightInd w:val="0"/>
              <w:snapToGrid w:val="0"/>
              <w:spacing w:line="400" w:lineRule="exact"/>
              <w:jc w:val="center"/>
              <w:rPr>
                <w:sz w:val="28"/>
              </w:rPr>
            </w:pPr>
            <w:r>
              <w:rPr>
                <w:sz w:val="28"/>
              </w:rPr>
              <w:t>3.9</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EFC4991">
            <w:pPr>
              <w:overflowPunct w:val="0"/>
              <w:adjustRightInd w:val="0"/>
              <w:snapToGrid w:val="0"/>
              <w:spacing w:line="400" w:lineRule="exact"/>
              <w:jc w:val="center"/>
              <w:rPr>
                <w:sz w:val="28"/>
              </w:rPr>
            </w:pPr>
            <w:r>
              <w:rPr>
                <w:sz w:val="28"/>
              </w:rPr>
              <w:t>预期性</w:t>
            </w:r>
          </w:p>
        </w:tc>
      </w:tr>
      <w:tr w14:paraId="5282372A">
        <w:tblPrEx>
          <w:tblCellMar>
            <w:top w:w="0" w:type="dxa"/>
            <w:left w:w="0" w:type="dxa"/>
            <w:bottom w:w="0" w:type="dxa"/>
            <w:right w:w="0" w:type="dxa"/>
          </w:tblCellMar>
        </w:tblPrEx>
        <w:trPr>
          <w:trHeight w:val="476"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0934FD">
            <w:pPr>
              <w:overflowPunct w:val="0"/>
              <w:adjustRightInd w:val="0"/>
              <w:snapToGrid w:val="0"/>
              <w:spacing w:line="400" w:lineRule="exact"/>
              <w:jc w:val="center"/>
              <w:rPr>
                <w:b/>
                <w:bCs/>
                <w:sz w:val="28"/>
              </w:rPr>
            </w:pPr>
            <w:r>
              <w:rPr>
                <w:b/>
                <w:bCs/>
                <w:sz w:val="28"/>
              </w:rPr>
              <w:t>四</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5158FB">
            <w:pPr>
              <w:overflowPunct w:val="0"/>
              <w:adjustRightInd w:val="0"/>
              <w:snapToGrid w:val="0"/>
              <w:spacing w:line="400" w:lineRule="exact"/>
              <w:rPr>
                <w:b/>
                <w:bCs/>
                <w:sz w:val="28"/>
              </w:rPr>
            </w:pPr>
            <w:r>
              <w:rPr>
                <w:b/>
                <w:bCs/>
                <w:sz w:val="28"/>
              </w:rPr>
              <w:t>安全发展</w:t>
            </w:r>
          </w:p>
        </w:tc>
      </w:tr>
      <w:tr w14:paraId="20EEF91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41ADED">
            <w:pPr>
              <w:overflowPunct w:val="0"/>
              <w:adjustRightInd w:val="0"/>
              <w:snapToGrid w:val="0"/>
              <w:spacing w:line="400" w:lineRule="exact"/>
              <w:jc w:val="center"/>
              <w:rPr>
                <w:kern w:val="2"/>
                <w:sz w:val="28"/>
              </w:rPr>
            </w:pPr>
            <w:r>
              <w:rPr>
                <w:sz w:val="28"/>
              </w:rPr>
              <w:t>29</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CAB834">
            <w:pPr>
              <w:overflowPunct w:val="0"/>
              <w:adjustRightInd w:val="0"/>
              <w:snapToGrid w:val="0"/>
              <w:spacing w:line="400" w:lineRule="exact"/>
              <w:rPr>
                <w:sz w:val="28"/>
              </w:rPr>
            </w:pPr>
            <w:r>
              <w:rPr>
                <w:sz w:val="28"/>
              </w:rPr>
              <w:t>粮食综合生产能力（万吨）</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2F9184">
            <w:pPr>
              <w:overflowPunct w:val="0"/>
              <w:adjustRightInd w:val="0"/>
              <w:snapToGrid w:val="0"/>
              <w:spacing w:line="400" w:lineRule="exact"/>
              <w:jc w:val="center"/>
              <w:rPr>
                <w:sz w:val="28"/>
              </w:rPr>
            </w:pPr>
            <w:r>
              <w:rPr>
                <w:rFonts w:hint="eastAsia"/>
                <w:sz w:val="28"/>
              </w:rPr>
              <w:t>9.05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F15B542">
            <w:pPr>
              <w:overflowPunct w:val="0"/>
              <w:adjustRightInd w:val="0"/>
              <w:snapToGrid w:val="0"/>
              <w:spacing w:line="400" w:lineRule="exact"/>
              <w:jc w:val="center"/>
              <w:rPr>
                <w:sz w:val="28"/>
              </w:rPr>
            </w:pPr>
            <w:r>
              <w:rPr>
                <w:sz w:val="28"/>
              </w:rPr>
              <w:t>约束性</w:t>
            </w:r>
          </w:p>
        </w:tc>
      </w:tr>
      <w:tr w14:paraId="2BDF98AB">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4EB26E">
            <w:pPr>
              <w:overflowPunct w:val="0"/>
              <w:adjustRightInd w:val="0"/>
              <w:snapToGrid w:val="0"/>
              <w:spacing w:line="400" w:lineRule="exact"/>
              <w:jc w:val="center"/>
              <w:rPr>
                <w:kern w:val="2"/>
                <w:sz w:val="28"/>
              </w:rPr>
            </w:pPr>
            <w:r>
              <w:rPr>
                <w:sz w:val="28"/>
              </w:rPr>
              <w:t>30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0E475F">
            <w:pPr>
              <w:overflowPunct w:val="0"/>
              <w:adjustRightInd w:val="0"/>
              <w:snapToGrid w:val="0"/>
              <w:spacing w:line="400" w:lineRule="exact"/>
              <w:rPr>
                <w:sz w:val="28"/>
              </w:rPr>
            </w:pPr>
            <w:r>
              <w:rPr>
                <w:sz w:val="28"/>
              </w:rPr>
              <w:t>生产安全事故死亡人数</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81214F">
            <w:pPr>
              <w:overflowPunct w:val="0"/>
              <w:adjustRightInd w:val="0"/>
              <w:snapToGrid w:val="0"/>
              <w:spacing w:line="400" w:lineRule="exact"/>
              <w:jc w:val="center"/>
              <w:rPr>
                <w:rFonts w:eastAsia="东文宋体"/>
                <w:sz w:val="28"/>
              </w:rPr>
            </w:pPr>
            <w:r>
              <w:rPr>
                <w:rFonts w:eastAsia="东文宋体"/>
                <w:sz w:val="28"/>
              </w:rPr>
              <w:t>≤</w:t>
            </w:r>
            <w:r>
              <w:rPr>
                <w:rFonts w:hint="eastAsia"/>
                <w:sz w:val="28"/>
              </w:rPr>
              <w:t>10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8D25CA">
            <w:pPr>
              <w:overflowPunct w:val="0"/>
              <w:adjustRightInd w:val="0"/>
              <w:snapToGrid w:val="0"/>
              <w:spacing w:line="400" w:lineRule="exact"/>
              <w:jc w:val="center"/>
              <w:rPr>
                <w:sz w:val="28"/>
              </w:rPr>
            </w:pPr>
            <w:r>
              <w:rPr>
                <w:sz w:val="28"/>
              </w:rPr>
              <w:t>约束性</w:t>
            </w:r>
          </w:p>
        </w:tc>
      </w:tr>
      <w:tr w14:paraId="58392319">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4DA876">
            <w:pPr>
              <w:overflowPunct w:val="0"/>
              <w:adjustRightInd w:val="0"/>
              <w:snapToGrid w:val="0"/>
              <w:spacing w:line="400" w:lineRule="exact"/>
              <w:jc w:val="center"/>
              <w:rPr>
                <w:b/>
                <w:bCs/>
                <w:sz w:val="28"/>
              </w:rPr>
            </w:pPr>
            <w:r>
              <w:rPr>
                <w:b/>
                <w:bCs/>
                <w:sz w:val="28"/>
              </w:rPr>
              <w:t>五</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BDD8AB">
            <w:pPr>
              <w:overflowPunct w:val="0"/>
              <w:adjustRightInd w:val="0"/>
              <w:snapToGrid w:val="0"/>
              <w:spacing w:line="400" w:lineRule="exact"/>
              <w:jc w:val="left"/>
              <w:rPr>
                <w:b/>
                <w:bCs/>
                <w:sz w:val="28"/>
              </w:rPr>
            </w:pPr>
            <w:r>
              <w:rPr>
                <w:b/>
                <w:bCs/>
                <w:sz w:val="28"/>
              </w:rPr>
              <w:t>企业成长计划</w:t>
            </w:r>
          </w:p>
        </w:tc>
      </w:tr>
      <w:tr w14:paraId="71DE0E23">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FFFCE1D">
            <w:pPr>
              <w:overflowPunct w:val="0"/>
              <w:adjustRightInd w:val="0"/>
              <w:snapToGrid w:val="0"/>
              <w:spacing w:line="400" w:lineRule="exact"/>
              <w:jc w:val="center"/>
              <w:rPr>
                <w:kern w:val="2"/>
                <w:sz w:val="28"/>
              </w:rPr>
            </w:pPr>
            <w:r>
              <w:rPr>
                <w:sz w:val="28"/>
              </w:rPr>
              <w:t>31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6CECD6D">
            <w:pPr>
              <w:overflowPunct w:val="0"/>
              <w:adjustRightInd w:val="0"/>
              <w:snapToGrid w:val="0"/>
              <w:spacing w:line="400" w:lineRule="exact"/>
              <w:rPr>
                <w:sz w:val="28"/>
              </w:rPr>
            </w:pPr>
            <w:r>
              <w:rPr>
                <w:sz w:val="28"/>
              </w:rPr>
              <w:t>新增规模以上工业企业（家）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45AF5B">
            <w:pPr>
              <w:overflowPunct w:val="0"/>
              <w:adjustRightInd w:val="0"/>
              <w:snapToGrid w:val="0"/>
              <w:spacing w:line="400" w:lineRule="exact"/>
              <w:jc w:val="center"/>
              <w:rPr>
                <w:sz w:val="28"/>
              </w:rPr>
            </w:pPr>
            <w:r>
              <w:rPr>
                <w:rFonts w:hint="eastAsia"/>
                <w:sz w:val="28"/>
              </w:rPr>
              <w:t>7</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58B8F2">
            <w:pPr>
              <w:overflowPunct w:val="0"/>
              <w:adjustRightInd w:val="0"/>
              <w:snapToGrid w:val="0"/>
              <w:spacing w:line="400" w:lineRule="exact"/>
              <w:jc w:val="center"/>
              <w:rPr>
                <w:sz w:val="28"/>
              </w:rPr>
            </w:pPr>
            <w:r>
              <w:rPr>
                <w:sz w:val="28"/>
              </w:rPr>
              <w:t>预期性</w:t>
            </w:r>
          </w:p>
        </w:tc>
      </w:tr>
      <w:tr w14:paraId="7703E051">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9BF549F">
            <w:pPr>
              <w:overflowPunct w:val="0"/>
              <w:adjustRightInd w:val="0"/>
              <w:snapToGrid w:val="0"/>
              <w:spacing w:line="400" w:lineRule="exact"/>
              <w:jc w:val="center"/>
              <w:rPr>
                <w:kern w:val="2"/>
                <w:sz w:val="28"/>
              </w:rPr>
            </w:pPr>
            <w:r>
              <w:rPr>
                <w:sz w:val="28"/>
              </w:rPr>
              <w:t>32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C7E2EB">
            <w:pPr>
              <w:overflowPunct w:val="0"/>
              <w:adjustRightInd w:val="0"/>
              <w:snapToGrid w:val="0"/>
              <w:spacing w:line="400" w:lineRule="exact"/>
              <w:rPr>
                <w:sz w:val="28"/>
              </w:rPr>
            </w:pPr>
            <w:r>
              <w:rPr>
                <w:sz w:val="28"/>
              </w:rPr>
              <w:t>新增资质等级建筑业企业</w:t>
            </w:r>
            <w:r>
              <w:rPr>
                <w:rFonts w:hint="eastAsia"/>
                <w:sz w:val="28"/>
              </w:rPr>
              <w:t>（</w:t>
            </w:r>
            <w:r>
              <w:rPr>
                <w:sz w:val="28"/>
              </w:rPr>
              <w:t>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C3176C">
            <w:pPr>
              <w:overflowPunct w:val="0"/>
              <w:adjustRightInd w:val="0"/>
              <w:snapToGrid w:val="0"/>
              <w:spacing w:line="400" w:lineRule="exact"/>
              <w:jc w:val="center"/>
              <w:rPr>
                <w:sz w:val="28"/>
              </w:rPr>
            </w:pPr>
            <w:r>
              <w:rPr>
                <w:rFonts w:hint="eastAsia"/>
                <w:sz w:val="28"/>
              </w:rPr>
              <w:t>2</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1AC4C40">
            <w:pPr>
              <w:overflowPunct w:val="0"/>
              <w:adjustRightInd w:val="0"/>
              <w:snapToGrid w:val="0"/>
              <w:spacing w:line="400" w:lineRule="exact"/>
              <w:jc w:val="center"/>
              <w:rPr>
                <w:sz w:val="28"/>
              </w:rPr>
            </w:pPr>
            <w:r>
              <w:rPr>
                <w:sz w:val="28"/>
              </w:rPr>
              <w:t>预期性</w:t>
            </w:r>
          </w:p>
        </w:tc>
      </w:tr>
      <w:tr w14:paraId="7B4DB0B6">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42047F">
            <w:pPr>
              <w:overflowPunct w:val="0"/>
              <w:adjustRightInd w:val="0"/>
              <w:snapToGrid w:val="0"/>
              <w:spacing w:line="400" w:lineRule="exact"/>
              <w:jc w:val="center"/>
              <w:rPr>
                <w:kern w:val="2"/>
                <w:sz w:val="28"/>
              </w:rPr>
            </w:pPr>
            <w:r>
              <w:rPr>
                <w:sz w:val="28"/>
              </w:rPr>
              <w:t>33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C9C39D">
            <w:pPr>
              <w:overflowPunct w:val="0"/>
              <w:adjustRightInd w:val="0"/>
              <w:snapToGrid w:val="0"/>
              <w:spacing w:line="400" w:lineRule="exact"/>
              <w:rPr>
                <w:sz w:val="28"/>
              </w:rPr>
            </w:pPr>
            <w:r>
              <w:rPr>
                <w:sz w:val="28"/>
              </w:rPr>
              <w:t>新增规模以上服务业企业（家）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4C35AF">
            <w:pPr>
              <w:overflowPunct w:val="0"/>
              <w:adjustRightInd w:val="0"/>
              <w:snapToGrid w:val="0"/>
              <w:spacing w:line="400" w:lineRule="exact"/>
              <w:jc w:val="center"/>
              <w:rPr>
                <w:sz w:val="28"/>
              </w:rPr>
            </w:pPr>
            <w:r>
              <w:rPr>
                <w:rFonts w:hint="eastAsia"/>
                <w:sz w:val="28"/>
              </w:rPr>
              <w:t>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9F41E3">
            <w:pPr>
              <w:overflowPunct w:val="0"/>
              <w:adjustRightInd w:val="0"/>
              <w:snapToGrid w:val="0"/>
              <w:spacing w:line="400" w:lineRule="exact"/>
              <w:jc w:val="center"/>
              <w:rPr>
                <w:sz w:val="28"/>
              </w:rPr>
            </w:pPr>
            <w:r>
              <w:rPr>
                <w:sz w:val="28"/>
              </w:rPr>
              <w:t>预期性</w:t>
            </w:r>
          </w:p>
        </w:tc>
      </w:tr>
      <w:tr w14:paraId="0F2A4EE2">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FEDE6CA">
            <w:pPr>
              <w:overflowPunct w:val="0"/>
              <w:adjustRightInd w:val="0"/>
              <w:snapToGrid w:val="0"/>
              <w:spacing w:line="400" w:lineRule="exact"/>
              <w:jc w:val="center"/>
              <w:rPr>
                <w:kern w:val="2"/>
                <w:sz w:val="28"/>
              </w:rPr>
            </w:pPr>
            <w:r>
              <w:rPr>
                <w:sz w:val="28"/>
              </w:rPr>
              <w:t>34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4CC84A">
            <w:pPr>
              <w:overflowPunct w:val="0"/>
              <w:adjustRightInd w:val="0"/>
              <w:snapToGrid w:val="0"/>
              <w:spacing w:line="400" w:lineRule="exact"/>
              <w:rPr>
                <w:sz w:val="28"/>
              </w:rPr>
            </w:pPr>
            <w:r>
              <w:rPr>
                <w:sz w:val="28"/>
              </w:rPr>
              <w:t>新增限额以上商贸企业（家）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F5D4932">
            <w:pPr>
              <w:overflowPunct w:val="0"/>
              <w:adjustRightInd w:val="0"/>
              <w:snapToGrid w:val="0"/>
              <w:spacing w:line="400" w:lineRule="exact"/>
              <w:jc w:val="center"/>
              <w:rPr>
                <w:sz w:val="28"/>
              </w:rPr>
            </w:pPr>
            <w:r>
              <w:rPr>
                <w:rFonts w:hint="eastAsia"/>
                <w:sz w:val="28"/>
              </w:rPr>
              <w:t>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B81FDA2">
            <w:pPr>
              <w:overflowPunct w:val="0"/>
              <w:adjustRightInd w:val="0"/>
              <w:snapToGrid w:val="0"/>
              <w:spacing w:line="400" w:lineRule="exact"/>
              <w:jc w:val="center"/>
              <w:rPr>
                <w:sz w:val="28"/>
              </w:rPr>
            </w:pPr>
            <w:r>
              <w:rPr>
                <w:sz w:val="28"/>
              </w:rPr>
              <w:t>预期性</w:t>
            </w:r>
          </w:p>
        </w:tc>
      </w:tr>
      <w:tr w14:paraId="48AC319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CF9A0B">
            <w:pPr>
              <w:overflowPunct w:val="0"/>
              <w:adjustRightInd w:val="0"/>
              <w:snapToGrid w:val="0"/>
              <w:spacing w:line="400" w:lineRule="exact"/>
              <w:jc w:val="center"/>
              <w:rPr>
                <w:kern w:val="2"/>
                <w:sz w:val="28"/>
              </w:rPr>
            </w:pPr>
            <w:r>
              <w:rPr>
                <w:kern w:val="2"/>
                <w:sz w:val="28"/>
              </w:rPr>
              <w:t>35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B358B3">
            <w:pPr>
              <w:overflowPunct w:val="0"/>
              <w:adjustRightInd w:val="0"/>
              <w:snapToGrid w:val="0"/>
              <w:spacing w:line="400" w:lineRule="exact"/>
              <w:rPr>
                <w:sz w:val="28"/>
              </w:rPr>
            </w:pPr>
            <w:r>
              <w:rPr>
                <w:sz w:val="28"/>
              </w:rPr>
              <w:t>新增高新技术企业（家）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2FFD26">
            <w:pPr>
              <w:overflowPunct w:val="0"/>
              <w:adjustRightInd w:val="0"/>
              <w:snapToGrid w:val="0"/>
              <w:spacing w:line="400" w:lineRule="exact"/>
              <w:jc w:val="center"/>
              <w:rPr>
                <w:sz w:val="28"/>
              </w:rPr>
            </w:pPr>
            <w:r>
              <w:rPr>
                <w:rFonts w:hint="eastAsia"/>
                <w:sz w:val="28"/>
              </w:rPr>
              <w:t>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2BE50B">
            <w:pPr>
              <w:overflowPunct w:val="0"/>
              <w:adjustRightInd w:val="0"/>
              <w:snapToGrid w:val="0"/>
              <w:spacing w:line="400" w:lineRule="exact"/>
              <w:jc w:val="center"/>
              <w:rPr>
                <w:sz w:val="28"/>
              </w:rPr>
            </w:pPr>
            <w:r>
              <w:rPr>
                <w:sz w:val="28"/>
              </w:rPr>
              <w:t>预期性</w:t>
            </w:r>
          </w:p>
        </w:tc>
      </w:tr>
      <w:tr w14:paraId="164AAFC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35BB71">
            <w:pPr>
              <w:overflowPunct w:val="0"/>
              <w:adjustRightInd w:val="0"/>
              <w:snapToGrid w:val="0"/>
              <w:spacing w:line="400" w:lineRule="exact"/>
              <w:jc w:val="center"/>
              <w:rPr>
                <w:kern w:val="2"/>
                <w:sz w:val="28"/>
              </w:rPr>
            </w:pPr>
            <w:r>
              <w:rPr>
                <w:kern w:val="2"/>
                <w:sz w:val="28"/>
              </w:rPr>
              <w:t>36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B34427">
            <w:pPr>
              <w:overflowPunct w:val="0"/>
              <w:adjustRightInd w:val="0"/>
              <w:snapToGrid w:val="0"/>
              <w:spacing w:line="400" w:lineRule="exact"/>
              <w:rPr>
                <w:sz w:val="28"/>
              </w:rPr>
            </w:pPr>
            <w:r>
              <w:rPr>
                <w:sz w:val="28"/>
              </w:rPr>
              <w:t>新增科技型企业（家）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73681A">
            <w:pPr>
              <w:overflowPunct w:val="0"/>
              <w:adjustRightInd w:val="0"/>
              <w:snapToGrid w:val="0"/>
              <w:spacing w:line="400" w:lineRule="exact"/>
              <w:jc w:val="center"/>
              <w:rPr>
                <w:sz w:val="28"/>
              </w:rPr>
            </w:pPr>
            <w:r>
              <w:rPr>
                <w:rFonts w:hint="eastAsia"/>
                <w:sz w:val="28"/>
              </w:rPr>
              <w:t>25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A89C37">
            <w:pPr>
              <w:overflowPunct w:val="0"/>
              <w:adjustRightInd w:val="0"/>
              <w:snapToGrid w:val="0"/>
              <w:spacing w:line="400" w:lineRule="exact"/>
              <w:jc w:val="center"/>
              <w:rPr>
                <w:sz w:val="28"/>
              </w:rPr>
            </w:pPr>
            <w:r>
              <w:rPr>
                <w:sz w:val="28"/>
              </w:rPr>
              <w:t>预期性</w:t>
            </w:r>
          </w:p>
        </w:tc>
      </w:tr>
    </w:tbl>
    <w:p w14:paraId="0FB90236">
      <w:pPr>
        <w:pStyle w:val="11"/>
        <w:overflowPunct w:val="0"/>
        <w:spacing w:line="300" w:lineRule="exact"/>
        <w:ind w:firstLine="482" w:firstLineChars="200"/>
        <w:rPr>
          <w:rFonts w:ascii="Times New Roman" w:hAnsi="Times New Roman" w:eastAsia="方正仿宋_GBK"/>
          <w:sz w:val="24"/>
        </w:rPr>
      </w:pPr>
      <w:r>
        <w:rPr>
          <w:rFonts w:ascii="Times New Roman" w:hAnsi="Times New Roman" w:eastAsia="方正仿宋_GBK"/>
          <w:b/>
          <w:bCs/>
          <w:sz w:val="24"/>
        </w:rPr>
        <w:t>备注：</w:t>
      </w:r>
      <w:r>
        <w:rPr>
          <w:rFonts w:ascii="Times New Roman" w:hAnsi="Times New Roman" w:eastAsia="方正仿宋_GBK"/>
          <w:sz w:val="24"/>
        </w:rPr>
        <w:t>相较于2023年指标体系，修改1项指标——</w:t>
      </w:r>
      <w:r>
        <w:rPr>
          <w:rFonts w:hint="eastAsia" w:ascii="Times New Roman" w:hAnsi="Times New Roman" w:eastAsia="方正仿宋_GBK"/>
          <w:sz w:val="24"/>
        </w:rPr>
        <w:t>“</w:t>
      </w:r>
      <w:r>
        <w:rPr>
          <w:rFonts w:ascii="Times New Roman" w:hAnsi="Times New Roman" w:eastAsia="方正仿宋_GBK"/>
          <w:sz w:val="24"/>
        </w:rPr>
        <w:t>城镇居民人均可支配收入”修改为“全体居民人均可支配收入”、删除1项指标——</w:t>
      </w:r>
      <w:r>
        <w:rPr>
          <w:rFonts w:hint="eastAsia" w:ascii="Times New Roman" w:hAnsi="Times New Roman" w:eastAsia="方正仿宋_GBK"/>
          <w:sz w:val="24"/>
        </w:rPr>
        <w:t>“</w:t>
      </w:r>
      <w:r>
        <w:rPr>
          <w:rFonts w:ascii="Times New Roman" w:hAnsi="Times New Roman" w:eastAsia="方正仿宋_GBK"/>
          <w:sz w:val="24"/>
        </w:rPr>
        <w:t>新增市场主体</w:t>
      </w:r>
      <w:r>
        <w:rPr>
          <w:rFonts w:hint="eastAsia" w:ascii="Times New Roman" w:hAnsi="Times New Roman" w:eastAsia="方正仿宋_GBK"/>
          <w:sz w:val="24"/>
        </w:rPr>
        <w:t>”</w:t>
      </w:r>
      <w:r>
        <w:rPr>
          <w:rFonts w:ascii="Times New Roman" w:hAnsi="Times New Roman" w:eastAsia="方正仿宋_GBK"/>
          <w:sz w:val="24"/>
        </w:rPr>
        <w:t>。</w:t>
      </w:r>
    </w:p>
    <w:p w14:paraId="6899B751">
      <w:pPr>
        <w:pStyle w:val="11"/>
        <w:overflowPunct w:val="0"/>
        <w:spacing w:line="579" w:lineRule="exact"/>
        <w:rPr>
          <w:rFonts w:ascii="Times New Roman" w:hAnsi="Times New Roman" w:eastAsia="方正仿宋_GBK"/>
          <w:sz w:val="24"/>
        </w:rPr>
        <w:sectPr>
          <w:pgSz w:w="11906" w:h="16838"/>
          <w:pgMar w:top="2098" w:right="1474" w:bottom="1984" w:left="1587" w:header="851" w:footer="992" w:gutter="0"/>
          <w:cols w:space="720" w:num="1"/>
          <w:docGrid w:type="lines" w:linePitch="312" w:charSpace="0"/>
        </w:sectPr>
      </w:pPr>
    </w:p>
    <w:p w14:paraId="7427BA6F">
      <w:pPr>
        <w:pStyle w:val="11"/>
        <w:overflowPunct w:val="0"/>
        <w:autoSpaceDN w:val="0"/>
        <w:adjustRightInd w:val="0"/>
        <w:snapToGrid w:val="0"/>
        <w:spacing w:line="579" w:lineRule="exact"/>
        <w:rPr>
          <w:rFonts w:ascii="Times New Roman" w:hAnsi="Times New Roman" w:eastAsia="方正黑体_GBK"/>
          <w:sz w:val="30"/>
          <w:szCs w:val="30"/>
        </w:rPr>
      </w:pPr>
      <w:r>
        <w:rPr>
          <w:rFonts w:hint="eastAsia" w:ascii="Times New Roman" w:hAnsi="Times New Roman" w:eastAsia="方正黑体_GBK"/>
          <w:sz w:val="30"/>
          <w:szCs w:val="30"/>
        </w:rPr>
        <w:t>附件3</w:t>
      </w:r>
    </w:p>
    <w:p w14:paraId="78F8BF8F">
      <w:pPr>
        <w:overflowPunct w:val="0"/>
        <w:autoSpaceDN w:val="0"/>
        <w:adjustRightInd w:val="0"/>
        <w:snapToGrid w:val="0"/>
        <w:spacing w:line="579" w:lineRule="exact"/>
        <w:jc w:val="center"/>
        <w:rPr>
          <w:rFonts w:eastAsia="方正小标宋_GBK"/>
          <w:sz w:val="44"/>
          <w:szCs w:val="44"/>
        </w:rPr>
      </w:pPr>
    </w:p>
    <w:p w14:paraId="6B192F14">
      <w:pPr>
        <w:keepNext/>
        <w:keepLines/>
        <w:spacing w:line="579" w:lineRule="exact"/>
        <w:jc w:val="center"/>
        <w:outlineLvl w:val="1"/>
        <w:rPr>
          <w:rFonts w:eastAsia="方正小标宋_GBK"/>
          <w:kern w:val="44"/>
          <w:sz w:val="44"/>
          <w:szCs w:val="44"/>
        </w:rPr>
      </w:pPr>
      <w:r>
        <w:rPr>
          <w:rFonts w:hint="eastAsia" w:eastAsia="方正小标宋_GBK"/>
          <w:kern w:val="44"/>
          <w:sz w:val="44"/>
          <w:szCs w:val="44"/>
        </w:rPr>
        <w:t>城口县2024年重点民生实事建议清单</w:t>
      </w:r>
    </w:p>
    <w:tbl>
      <w:tblPr>
        <w:tblStyle w:val="16"/>
        <w:tblW w:w="15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239"/>
        <w:gridCol w:w="1200"/>
        <w:gridCol w:w="1179"/>
        <w:gridCol w:w="5378"/>
        <w:gridCol w:w="1246"/>
        <w:gridCol w:w="969"/>
        <w:gridCol w:w="1062"/>
        <w:gridCol w:w="830"/>
        <w:gridCol w:w="718"/>
        <w:gridCol w:w="483"/>
      </w:tblGrid>
      <w:tr w14:paraId="14FC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515" w:type="dxa"/>
            <w:vMerge w:val="restart"/>
            <w:vAlign w:val="center"/>
          </w:tcPr>
          <w:p w14:paraId="4AAE72F8">
            <w:pPr>
              <w:suppressAutoHyphens/>
              <w:adjustRightInd w:val="0"/>
              <w:snapToGrid w:val="0"/>
              <w:spacing w:line="300" w:lineRule="exact"/>
              <w:jc w:val="center"/>
              <w:rPr>
                <w:rFonts w:eastAsia="方正黑体_GBK"/>
                <w:sz w:val="24"/>
              </w:rPr>
            </w:pPr>
            <w:r>
              <w:rPr>
                <w:rFonts w:eastAsia="方正黑体_GBK"/>
                <w:sz w:val="24"/>
              </w:rPr>
              <w:t>序号</w:t>
            </w:r>
          </w:p>
        </w:tc>
        <w:tc>
          <w:tcPr>
            <w:tcW w:w="2239" w:type="dxa"/>
            <w:vMerge w:val="restart"/>
            <w:vAlign w:val="center"/>
          </w:tcPr>
          <w:p w14:paraId="5F556258">
            <w:pPr>
              <w:suppressAutoHyphens/>
              <w:adjustRightInd w:val="0"/>
              <w:snapToGrid w:val="0"/>
              <w:spacing w:line="300" w:lineRule="exact"/>
              <w:jc w:val="center"/>
              <w:rPr>
                <w:rFonts w:eastAsia="方正黑体_GBK"/>
                <w:sz w:val="24"/>
              </w:rPr>
            </w:pPr>
            <w:r>
              <w:rPr>
                <w:rFonts w:eastAsia="方正黑体_GBK"/>
                <w:sz w:val="24"/>
              </w:rPr>
              <w:t>项目名称</w:t>
            </w:r>
          </w:p>
        </w:tc>
        <w:tc>
          <w:tcPr>
            <w:tcW w:w="1200" w:type="dxa"/>
            <w:vMerge w:val="restart"/>
            <w:vAlign w:val="center"/>
          </w:tcPr>
          <w:p w14:paraId="6A283967">
            <w:pPr>
              <w:suppressAutoHyphens/>
              <w:adjustRightInd w:val="0"/>
              <w:snapToGrid w:val="0"/>
              <w:spacing w:line="300" w:lineRule="exact"/>
              <w:jc w:val="center"/>
              <w:rPr>
                <w:rFonts w:eastAsia="方正黑体_GBK"/>
                <w:sz w:val="24"/>
              </w:rPr>
            </w:pPr>
            <w:r>
              <w:rPr>
                <w:rFonts w:hint="eastAsia" w:eastAsia="方正黑体_GBK"/>
                <w:sz w:val="24"/>
              </w:rPr>
              <w:t>牵头</w:t>
            </w:r>
            <w:r>
              <w:rPr>
                <w:rFonts w:eastAsia="方正黑体_GBK"/>
                <w:sz w:val="24"/>
              </w:rPr>
              <w:t>单位</w:t>
            </w:r>
          </w:p>
        </w:tc>
        <w:tc>
          <w:tcPr>
            <w:tcW w:w="1179" w:type="dxa"/>
            <w:vMerge w:val="restart"/>
            <w:vAlign w:val="center"/>
          </w:tcPr>
          <w:p w14:paraId="0E23C4D2">
            <w:pPr>
              <w:suppressAutoHyphens/>
              <w:adjustRightInd w:val="0"/>
              <w:snapToGrid w:val="0"/>
              <w:spacing w:line="300" w:lineRule="exact"/>
              <w:jc w:val="center"/>
              <w:rPr>
                <w:rFonts w:eastAsia="方正黑体_GBK"/>
                <w:sz w:val="24"/>
              </w:rPr>
            </w:pPr>
            <w:r>
              <w:rPr>
                <w:rFonts w:eastAsia="方正黑体_GBK"/>
                <w:sz w:val="24"/>
              </w:rPr>
              <w:t>责任单位</w:t>
            </w:r>
          </w:p>
        </w:tc>
        <w:tc>
          <w:tcPr>
            <w:tcW w:w="5378" w:type="dxa"/>
            <w:vMerge w:val="restart"/>
            <w:vAlign w:val="center"/>
          </w:tcPr>
          <w:p w14:paraId="6F32DCCA">
            <w:pPr>
              <w:suppressAutoHyphens/>
              <w:adjustRightInd w:val="0"/>
              <w:snapToGrid w:val="0"/>
              <w:spacing w:line="300" w:lineRule="exact"/>
              <w:jc w:val="center"/>
              <w:rPr>
                <w:rFonts w:eastAsia="方正黑体_GBK"/>
                <w:sz w:val="24"/>
              </w:rPr>
            </w:pPr>
            <w:r>
              <w:rPr>
                <w:rFonts w:eastAsia="方正黑体_GBK"/>
                <w:sz w:val="24"/>
              </w:rPr>
              <w:t>2024年工作目标任务</w:t>
            </w:r>
          </w:p>
        </w:tc>
        <w:tc>
          <w:tcPr>
            <w:tcW w:w="1246" w:type="dxa"/>
            <w:vMerge w:val="restart"/>
            <w:vAlign w:val="center"/>
          </w:tcPr>
          <w:p w14:paraId="68ACEE70">
            <w:pPr>
              <w:suppressAutoHyphens/>
              <w:adjustRightInd w:val="0"/>
              <w:snapToGrid w:val="0"/>
              <w:spacing w:line="300" w:lineRule="exact"/>
              <w:jc w:val="center"/>
              <w:rPr>
                <w:rFonts w:eastAsia="方正黑体_GBK"/>
                <w:sz w:val="24"/>
              </w:rPr>
            </w:pPr>
            <w:r>
              <w:rPr>
                <w:rFonts w:eastAsia="方正黑体_GBK"/>
                <w:sz w:val="24"/>
              </w:rPr>
              <w:t>年度投资</w:t>
            </w:r>
          </w:p>
          <w:p w14:paraId="5772401D">
            <w:pPr>
              <w:suppressAutoHyphens/>
              <w:adjustRightInd w:val="0"/>
              <w:snapToGrid w:val="0"/>
              <w:spacing w:line="300" w:lineRule="exact"/>
              <w:jc w:val="center"/>
              <w:rPr>
                <w:rFonts w:eastAsia="方正黑体_GBK"/>
                <w:sz w:val="24"/>
              </w:rPr>
            </w:pPr>
            <w:r>
              <w:rPr>
                <w:rFonts w:eastAsia="方正黑体_GBK"/>
                <w:sz w:val="24"/>
              </w:rPr>
              <w:t>(万元)</w:t>
            </w:r>
          </w:p>
        </w:tc>
        <w:tc>
          <w:tcPr>
            <w:tcW w:w="3579" w:type="dxa"/>
            <w:gridSpan w:val="4"/>
            <w:vAlign w:val="center"/>
          </w:tcPr>
          <w:p w14:paraId="2F65A469">
            <w:pPr>
              <w:suppressAutoHyphens/>
              <w:adjustRightInd w:val="0"/>
              <w:snapToGrid w:val="0"/>
              <w:spacing w:line="300" w:lineRule="exact"/>
              <w:jc w:val="center"/>
              <w:rPr>
                <w:rFonts w:eastAsia="方正黑体_GBK"/>
                <w:sz w:val="24"/>
              </w:rPr>
            </w:pPr>
            <w:r>
              <w:rPr>
                <w:rFonts w:eastAsia="方正黑体_GBK"/>
                <w:sz w:val="24"/>
              </w:rPr>
              <w:t>资金来源（万元）</w:t>
            </w:r>
          </w:p>
        </w:tc>
        <w:tc>
          <w:tcPr>
            <w:tcW w:w="483" w:type="dxa"/>
            <w:vMerge w:val="restart"/>
            <w:vAlign w:val="center"/>
          </w:tcPr>
          <w:p w14:paraId="60151D34">
            <w:pPr>
              <w:suppressAutoHyphens/>
              <w:adjustRightInd w:val="0"/>
              <w:snapToGrid w:val="0"/>
              <w:spacing w:line="300" w:lineRule="exact"/>
              <w:jc w:val="center"/>
              <w:rPr>
                <w:rFonts w:eastAsia="方正黑体_GBK"/>
                <w:sz w:val="24"/>
              </w:rPr>
            </w:pPr>
            <w:r>
              <w:rPr>
                <w:rFonts w:eastAsia="方正黑体_GBK"/>
                <w:sz w:val="24"/>
              </w:rPr>
              <w:t>备注</w:t>
            </w:r>
          </w:p>
        </w:tc>
      </w:tr>
      <w:tr w14:paraId="4533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15" w:type="dxa"/>
            <w:vMerge w:val="continue"/>
            <w:vAlign w:val="center"/>
          </w:tcPr>
          <w:p w14:paraId="4CBE50EC">
            <w:pPr>
              <w:suppressAutoHyphens/>
              <w:adjustRightInd w:val="0"/>
              <w:snapToGrid w:val="0"/>
              <w:spacing w:line="300" w:lineRule="exact"/>
              <w:jc w:val="center"/>
              <w:rPr>
                <w:rFonts w:eastAsia="方正黑体_GBK"/>
                <w:sz w:val="24"/>
              </w:rPr>
            </w:pPr>
          </w:p>
        </w:tc>
        <w:tc>
          <w:tcPr>
            <w:tcW w:w="2239" w:type="dxa"/>
            <w:vMerge w:val="continue"/>
            <w:vAlign w:val="center"/>
          </w:tcPr>
          <w:p w14:paraId="351A9C42">
            <w:pPr>
              <w:suppressAutoHyphens/>
              <w:adjustRightInd w:val="0"/>
              <w:snapToGrid w:val="0"/>
              <w:spacing w:line="300" w:lineRule="exact"/>
              <w:jc w:val="center"/>
              <w:rPr>
                <w:rFonts w:eastAsia="方正黑体_GBK"/>
                <w:sz w:val="24"/>
              </w:rPr>
            </w:pPr>
          </w:p>
        </w:tc>
        <w:tc>
          <w:tcPr>
            <w:tcW w:w="1200" w:type="dxa"/>
            <w:vMerge w:val="continue"/>
            <w:vAlign w:val="center"/>
          </w:tcPr>
          <w:p w14:paraId="2252C01F">
            <w:pPr>
              <w:suppressAutoHyphens/>
              <w:adjustRightInd w:val="0"/>
              <w:snapToGrid w:val="0"/>
              <w:spacing w:line="300" w:lineRule="exact"/>
              <w:jc w:val="center"/>
              <w:rPr>
                <w:rFonts w:eastAsia="方正黑体_GBK"/>
                <w:sz w:val="24"/>
              </w:rPr>
            </w:pPr>
          </w:p>
        </w:tc>
        <w:tc>
          <w:tcPr>
            <w:tcW w:w="1179" w:type="dxa"/>
            <w:vMerge w:val="continue"/>
            <w:vAlign w:val="center"/>
          </w:tcPr>
          <w:p w14:paraId="2742F8A9">
            <w:pPr>
              <w:suppressAutoHyphens/>
              <w:adjustRightInd w:val="0"/>
              <w:snapToGrid w:val="0"/>
              <w:spacing w:line="300" w:lineRule="exact"/>
              <w:jc w:val="center"/>
              <w:rPr>
                <w:rFonts w:eastAsia="方正黑体_GBK"/>
                <w:sz w:val="24"/>
              </w:rPr>
            </w:pPr>
          </w:p>
        </w:tc>
        <w:tc>
          <w:tcPr>
            <w:tcW w:w="5378" w:type="dxa"/>
            <w:vMerge w:val="continue"/>
            <w:vAlign w:val="center"/>
          </w:tcPr>
          <w:p w14:paraId="71F0F91F">
            <w:pPr>
              <w:suppressAutoHyphens/>
              <w:adjustRightInd w:val="0"/>
              <w:snapToGrid w:val="0"/>
              <w:spacing w:line="300" w:lineRule="exact"/>
              <w:jc w:val="center"/>
              <w:rPr>
                <w:rFonts w:eastAsia="方正黑体_GBK"/>
                <w:sz w:val="24"/>
              </w:rPr>
            </w:pPr>
          </w:p>
        </w:tc>
        <w:tc>
          <w:tcPr>
            <w:tcW w:w="1246" w:type="dxa"/>
            <w:vMerge w:val="continue"/>
            <w:vAlign w:val="center"/>
          </w:tcPr>
          <w:p w14:paraId="2CDDCB47">
            <w:pPr>
              <w:suppressAutoHyphens/>
              <w:adjustRightInd w:val="0"/>
              <w:snapToGrid w:val="0"/>
              <w:spacing w:line="300" w:lineRule="exact"/>
              <w:jc w:val="center"/>
              <w:rPr>
                <w:rFonts w:eastAsia="方正黑体_GBK"/>
                <w:sz w:val="24"/>
              </w:rPr>
            </w:pPr>
          </w:p>
        </w:tc>
        <w:tc>
          <w:tcPr>
            <w:tcW w:w="969" w:type="dxa"/>
            <w:vAlign w:val="center"/>
          </w:tcPr>
          <w:p w14:paraId="2FFFDEB7">
            <w:pPr>
              <w:suppressAutoHyphens/>
              <w:adjustRightInd w:val="0"/>
              <w:snapToGrid w:val="0"/>
              <w:spacing w:line="300" w:lineRule="exact"/>
              <w:jc w:val="center"/>
              <w:rPr>
                <w:rFonts w:eastAsia="方正黑体_GBK"/>
                <w:sz w:val="24"/>
              </w:rPr>
            </w:pPr>
            <w:r>
              <w:rPr>
                <w:rFonts w:hint="eastAsia" w:eastAsia="方正黑体_GBK"/>
                <w:sz w:val="24"/>
              </w:rPr>
              <w:t>市级以上资金</w:t>
            </w:r>
          </w:p>
        </w:tc>
        <w:tc>
          <w:tcPr>
            <w:tcW w:w="1062" w:type="dxa"/>
            <w:vAlign w:val="center"/>
          </w:tcPr>
          <w:p w14:paraId="7AC462A2">
            <w:pPr>
              <w:suppressAutoHyphens/>
              <w:adjustRightInd w:val="0"/>
              <w:snapToGrid w:val="0"/>
              <w:spacing w:line="300" w:lineRule="exact"/>
              <w:jc w:val="center"/>
              <w:rPr>
                <w:rFonts w:eastAsia="方正黑体_GBK"/>
                <w:sz w:val="24"/>
              </w:rPr>
            </w:pPr>
            <w:r>
              <w:rPr>
                <w:rFonts w:eastAsia="方正黑体_GBK"/>
                <w:sz w:val="24"/>
              </w:rPr>
              <w:t>县级</w:t>
            </w:r>
            <w:r>
              <w:rPr>
                <w:rFonts w:hint="eastAsia" w:eastAsia="方正黑体_GBK"/>
                <w:sz w:val="24"/>
              </w:rPr>
              <w:t>统筹</w:t>
            </w:r>
            <w:r>
              <w:rPr>
                <w:rFonts w:eastAsia="方正黑体_GBK"/>
                <w:sz w:val="24"/>
              </w:rPr>
              <w:t>资金</w:t>
            </w:r>
          </w:p>
        </w:tc>
        <w:tc>
          <w:tcPr>
            <w:tcW w:w="830" w:type="dxa"/>
            <w:vAlign w:val="center"/>
          </w:tcPr>
          <w:p w14:paraId="0F9ED7F7">
            <w:pPr>
              <w:suppressAutoHyphens/>
              <w:adjustRightInd w:val="0"/>
              <w:snapToGrid w:val="0"/>
              <w:spacing w:line="300" w:lineRule="exact"/>
              <w:jc w:val="center"/>
              <w:rPr>
                <w:rFonts w:eastAsia="方正黑体_GBK"/>
                <w:sz w:val="24"/>
              </w:rPr>
            </w:pPr>
            <w:r>
              <w:rPr>
                <w:rFonts w:hint="eastAsia" w:eastAsia="方正黑体_GBK"/>
                <w:sz w:val="24"/>
              </w:rPr>
              <w:t>专项债券</w:t>
            </w:r>
          </w:p>
        </w:tc>
        <w:tc>
          <w:tcPr>
            <w:tcW w:w="718" w:type="dxa"/>
            <w:vAlign w:val="center"/>
          </w:tcPr>
          <w:p w14:paraId="7EFBAB3A">
            <w:pPr>
              <w:suppressAutoHyphens/>
              <w:adjustRightInd w:val="0"/>
              <w:snapToGrid w:val="0"/>
              <w:spacing w:line="300" w:lineRule="exact"/>
              <w:jc w:val="center"/>
              <w:rPr>
                <w:rFonts w:eastAsia="方正黑体_GBK"/>
                <w:sz w:val="24"/>
              </w:rPr>
            </w:pPr>
            <w:r>
              <w:rPr>
                <w:rFonts w:hint="eastAsia" w:eastAsia="方正黑体_GBK"/>
                <w:sz w:val="24"/>
              </w:rPr>
              <w:t>社会投资</w:t>
            </w:r>
          </w:p>
        </w:tc>
        <w:tc>
          <w:tcPr>
            <w:tcW w:w="483" w:type="dxa"/>
            <w:vMerge w:val="continue"/>
            <w:vAlign w:val="center"/>
          </w:tcPr>
          <w:p w14:paraId="257C9E10">
            <w:pPr>
              <w:suppressAutoHyphens/>
              <w:adjustRightInd w:val="0"/>
              <w:snapToGrid w:val="0"/>
              <w:spacing w:line="300" w:lineRule="exact"/>
              <w:jc w:val="center"/>
              <w:rPr>
                <w:rFonts w:eastAsia="方正黑体_GBK"/>
                <w:sz w:val="24"/>
              </w:rPr>
            </w:pPr>
          </w:p>
        </w:tc>
      </w:tr>
      <w:tr w14:paraId="5EF3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819" w:type="dxa"/>
            <w:gridSpan w:val="11"/>
            <w:vAlign w:val="center"/>
          </w:tcPr>
          <w:p w14:paraId="47B0B4C9">
            <w:pPr>
              <w:suppressAutoHyphens/>
              <w:adjustRightInd w:val="0"/>
              <w:snapToGrid w:val="0"/>
              <w:spacing w:line="360" w:lineRule="exact"/>
              <w:jc w:val="left"/>
              <w:rPr>
                <w:rFonts w:eastAsia="方正黑体_GBK"/>
                <w:kern w:val="2"/>
                <w:szCs w:val="32"/>
              </w:rPr>
            </w:pPr>
            <w:r>
              <w:rPr>
                <w:rFonts w:eastAsia="方正黑体_GBK"/>
                <w:kern w:val="2"/>
                <w:szCs w:val="32"/>
              </w:rPr>
              <w:t>一、承接市级重点民生实事13件</w:t>
            </w:r>
          </w:p>
        </w:tc>
      </w:tr>
      <w:tr w14:paraId="4351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15" w:type="dxa"/>
            <w:vAlign w:val="center"/>
          </w:tcPr>
          <w:p w14:paraId="7D1D7F80">
            <w:pPr>
              <w:suppressAutoHyphens/>
              <w:adjustRightInd w:val="0"/>
              <w:snapToGrid w:val="0"/>
              <w:spacing w:line="300" w:lineRule="exact"/>
              <w:jc w:val="center"/>
              <w:rPr>
                <w:rFonts w:eastAsia="方正黑体_GBK"/>
                <w:sz w:val="24"/>
              </w:rPr>
            </w:pPr>
            <w:r>
              <w:rPr>
                <w:rFonts w:hint="eastAsia" w:eastAsia="方正黑体_GBK"/>
                <w:sz w:val="24"/>
              </w:rPr>
              <w:t>1</w:t>
            </w:r>
          </w:p>
        </w:tc>
        <w:tc>
          <w:tcPr>
            <w:tcW w:w="2239" w:type="dxa"/>
            <w:vAlign w:val="center"/>
          </w:tcPr>
          <w:p w14:paraId="7961816D">
            <w:pPr>
              <w:suppressAutoHyphens/>
              <w:adjustRightInd w:val="0"/>
              <w:snapToGrid w:val="0"/>
              <w:spacing w:line="300" w:lineRule="exact"/>
              <w:rPr>
                <w:kern w:val="2"/>
                <w:sz w:val="24"/>
              </w:rPr>
            </w:pPr>
            <w:r>
              <w:rPr>
                <w:rFonts w:hint="eastAsia"/>
                <w:kern w:val="2"/>
                <w:sz w:val="24"/>
              </w:rPr>
              <w:t>城镇老旧小区改造和社区服务提升</w:t>
            </w:r>
          </w:p>
        </w:tc>
        <w:tc>
          <w:tcPr>
            <w:tcW w:w="1200" w:type="dxa"/>
            <w:vAlign w:val="center"/>
          </w:tcPr>
          <w:p w14:paraId="5D376231">
            <w:pPr>
              <w:suppressAutoHyphens/>
              <w:adjustRightInd w:val="0"/>
              <w:snapToGrid w:val="0"/>
              <w:spacing w:line="300" w:lineRule="exact"/>
              <w:jc w:val="center"/>
              <w:rPr>
                <w:kern w:val="2"/>
                <w:sz w:val="24"/>
              </w:rPr>
            </w:pPr>
            <w:r>
              <w:rPr>
                <w:sz w:val="24"/>
              </w:rPr>
              <w:t>县住房城乡建委</w:t>
            </w:r>
          </w:p>
        </w:tc>
        <w:tc>
          <w:tcPr>
            <w:tcW w:w="1179" w:type="dxa"/>
            <w:vAlign w:val="center"/>
          </w:tcPr>
          <w:p w14:paraId="2979A572">
            <w:pPr>
              <w:suppressAutoHyphens/>
              <w:adjustRightInd w:val="0"/>
              <w:snapToGrid w:val="0"/>
              <w:spacing w:line="300" w:lineRule="exact"/>
              <w:rPr>
                <w:kern w:val="2"/>
                <w:sz w:val="24"/>
              </w:rPr>
            </w:pPr>
          </w:p>
        </w:tc>
        <w:tc>
          <w:tcPr>
            <w:tcW w:w="5378" w:type="dxa"/>
            <w:vAlign w:val="center"/>
          </w:tcPr>
          <w:p w14:paraId="6CCC6BD7">
            <w:pPr>
              <w:suppressAutoHyphens/>
              <w:adjustRightInd w:val="0"/>
              <w:snapToGrid w:val="0"/>
              <w:spacing w:line="300" w:lineRule="exact"/>
              <w:rPr>
                <w:kern w:val="2"/>
                <w:sz w:val="24"/>
              </w:rPr>
            </w:pPr>
            <w:r>
              <w:rPr>
                <w:sz w:val="24"/>
              </w:rPr>
              <w:t>实施公安局片区、商业街片区2个老旧小区改造项目</w:t>
            </w:r>
            <w:r>
              <w:rPr>
                <w:rFonts w:hint="eastAsia"/>
                <w:sz w:val="24"/>
              </w:rPr>
              <w:t>，面积12.43万平方米。</w:t>
            </w:r>
          </w:p>
        </w:tc>
        <w:tc>
          <w:tcPr>
            <w:tcW w:w="1246" w:type="dxa"/>
            <w:vAlign w:val="center"/>
          </w:tcPr>
          <w:p w14:paraId="28B3C0F0">
            <w:pPr>
              <w:suppressAutoHyphens/>
              <w:adjustRightInd w:val="0"/>
              <w:snapToGrid w:val="0"/>
              <w:spacing w:line="300" w:lineRule="exact"/>
              <w:jc w:val="center"/>
              <w:rPr>
                <w:sz w:val="24"/>
              </w:rPr>
            </w:pPr>
            <w:r>
              <w:rPr>
                <w:rFonts w:hint="eastAsia"/>
                <w:sz w:val="24"/>
              </w:rPr>
              <w:t>2500</w:t>
            </w:r>
          </w:p>
        </w:tc>
        <w:tc>
          <w:tcPr>
            <w:tcW w:w="969" w:type="dxa"/>
            <w:vAlign w:val="center"/>
          </w:tcPr>
          <w:p w14:paraId="06510526">
            <w:pPr>
              <w:suppressAutoHyphens/>
              <w:adjustRightInd w:val="0"/>
              <w:snapToGrid w:val="0"/>
              <w:spacing w:line="300" w:lineRule="exact"/>
              <w:jc w:val="center"/>
              <w:rPr>
                <w:sz w:val="24"/>
              </w:rPr>
            </w:pPr>
            <w:r>
              <w:rPr>
                <w:rFonts w:hint="eastAsia"/>
                <w:sz w:val="24"/>
              </w:rPr>
              <w:t>2000</w:t>
            </w:r>
          </w:p>
        </w:tc>
        <w:tc>
          <w:tcPr>
            <w:tcW w:w="1062" w:type="dxa"/>
            <w:vAlign w:val="center"/>
          </w:tcPr>
          <w:p w14:paraId="3B561048">
            <w:pPr>
              <w:suppressAutoHyphens/>
              <w:adjustRightInd w:val="0"/>
              <w:snapToGrid w:val="0"/>
              <w:spacing w:line="300" w:lineRule="exact"/>
              <w:jc w:val="center"/>
              <w:rPr>
                <w:sz w:val="24"/>
              </w:rPr>
            </w:pPr>
            <w:r>
              <w:rPr>
                <w:rFonts w:hint="eastAsia"/>
                <w:sz w:val="24"/>
              </w:rPr>
              <w:t>0</w:t>
            </w:r>
          </w:p>
        </w:tc>
        <w:tc>
          <w:tcPr>
            <w:tcW w:w="830" w:type="dxa"/>
            <w:vAlign w:val="center"/>
          </w:tcPr>
          <w:p w14:paraId="35FC2708">
            <w:pPr>
              <w:suppressAutoHyphens/>
              <w:adjustRightInd w:val="0"/>
              <w:snapToGrid w:val="0"/>
              <w:spacing w:line="300" w:lineRule="exact"/>
              <w:jc w:val="center"/>
              <w:rPr>
                <w:sz w:val="24"/>
              </w:rPr>
            </w:pPr>
            <w:r>
              <w:rPr>
                <w:rFonts w:hint="eastAsia"/>
                <w:sz w:val="24"/>
              </w:rPr>
              <w:t>0</w:t>
            </w:r>
          </w:p>
        </w:tc>
        <w:tc>
          <w:tcPr>
            <w:tcW w:w="718" w:type="dxa"/>
            <w:vAlign w:val="center"/>
          </w:tcPr>
          <w:p w14:paraId="0846014C">
            <w:pPr>
              <w:suppressAutoHyphens/>
              <w:adjustRightInd w:val="0"/>
              <w:snapToGrid w:val="0"/>
              <w:spacing w:line="300" w:lineRule="exact"/>
              <w:jc w:val="center"/>
              <w:rPr>
                <w:sz w:val="24"/>
              </w:rPr>
            </w:pPr>
            <w:r>
              <w:rPr>
                <w:rFonts w:hint="eastAsia"/>
                <w:sz w:val="24"/>
              </w:rPr>
              <w:t>500</w:t>
            </w:r>
          </w:p>
        </w:tc>
        <w:tc>
          <w:tcPr>
            <w:tcW w:w="483" w:type="dxa"/>
            <w:vAlign w:val="center"/>
          </w:tcPr>
          <w:p w14:paraId="39781E08">
            <w:pPr>
              <w:suppressAutoHyphens/>
              <w:adjustRightInd w:val="0"/>
              <w:snapToGrid w:val="0"/>
              <w:spacing w:line="300" w:lineRule="exact"/>
              <w:jc w:val="center"/>
              <w:rPr>
                <w:kern w:val="2"/>
                <w:sz w:val="24"/>
              </w:rPr>
            </w:pPr>
          </w:p>
        </w:tc>
      </w:tr>
      <w:tr w14:paraId="0975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15" w:type="dxa"/>
            <w:vAlign w:val="center"/>
          </w:tcPr>
          <w:p w14:paraId="1D811A84">
            <w:pPr>
              <w:suppressAutoHyphens/>
              <w:adjustRightInd w:val="0"/>
              <w:snapToGrid w:val="0"/>
              <w:spacing w:line="300" w:lineRule="exact"/>
              <w:jc w:val="center"/>
              <w:rPr>
                <w:rFonts w:eastAsia="方正黑体_GBK"/>
                <w:sz w:val="24"/>
              </w:rPr>
            </w:pPr>
            <w:r>
              <w:rPr>
                <w:rFonts w:hint="eastAsia" w:eastAsia="方正黑体_GBK"/>
                <w:sz w:val="24"/>
              </w:rPr>
              <w:t>2</w:t>
            </w:r>
          </w:p>
        </w:tc>
        <w:tc>
          <w:tcPr>
            <w:tcW w:w="2239" w:type="dxa"/>
            <w:vAlign w:val="center"/>
          </w:tcPr>
          <w:p w14:paraId="54C02ABA">
            <w:pPr>
              <w:suppressAutoHyphens/>
              <w:adjustRightInd w:val="0"/>
              <w:snapToGrid w:val="0"/>
              <w:spacing w:line="300" w:lineRule="exact"/>
              <w:rPr>
                <w:kern w:val="2"/>
                <w:sz w:val="24"/>
              </w:rPr>
            </w:pPr>
            <w:r>
              <w:rPr>
                <w:rFonts w:hint="eastAsia"/>
                <w:sz w:val="24"/>
              </w:rPr>
              <w:t>实施</w:t>
            </w:r>
            <w:r>
              <w:rPr>
                <w:sz w:val="24"/>
              </w:rPr>
              <w:t>农村公路安全生命防护工程</w:t>
            </w:r>
          </w:p>
        </w:tc>
        <w:tc>
          <w:tcPr>
            <w:tcW w:w="1200" w:type="dxa"/>
            <w:vAlign w:val="center"/>
          </w:tcPr>
          <w:p w14:paraId="4401BB59">
            <w:pPr>
              <w:suppressAutoHyphens/>
              <w:adjustRightInd w:val="0"/>
              <w:snapToGrid w:val="0"/>
              <w:spacing w:line="300" w:lineRule="exact"/>
              <w:jc w:val="center"/>
              <w:rPr>
                <w:kern w:val="2"/>
                <w:sz w:val="24"/>
              </w:rPr>
            </w:pPr>
            <w:r>
              <w:rPr>
                <w:sz w:val="24"/>
              </w:rPr>
              <w:t>县交通局</w:t>
            </w:r>
          </w:p>
        </w:tc>
        <w:tc>
          <w:tcPr>
            <w:tcW w:w="1179" w:type="dxa"/>
            <w:vAlign w:val="center"/>
          </w:tcPr>
          <w:p w14:paraId="50A4872A">
            <w:pPr>
              <w:suppressAutoHyphens/>
              <w:adjustRightInd w:val="0"/>
              <w:snapToGrid w:val="0"/>
              <w:spacing w:line="300" w:lineRule="exact"/>
              <w:jc w:val="center"/>
              <w:rPr>
                <w:color w:val="FF0000"/>
                <w:kern w:val="2"/>
                <w:sz w:val="24"/>
              </w:rPr>
            </w:pPr>
          </w:p>
        </w:tc>
        <w:tc>
          <w:tcPr>
            <w:tcW w:w="5378" w:type="dxa"/>
            <w:vAlign w:val="center"/>
          </w:tcPr>
          <w:p w14:paraId="4D3959EF">
            <w:pPr>
              <w:suppressAutoHyphens/>
              <w:adjustRightInd w:val="0"/>
              <w:snapToGrid w:val="0"/>
              <w:spacing w:line="300" w:lineRule="exact"/>
              <w:rPr>
                <w:kern w:val="2"/>
                <w:sz w:val="24"/>
              </w:rPr>
            </w:pPr>
            <w:r>
              <w:rPr>
                <w:sz w:val="24"/>
              </w:rPr>
              <w:t>实施农村公路安全生命防护工程110公里。</w:t>
            </w:r>
          </w:p>
        </w:tc>
        <w:tc>
          <w:tcPr>
            <w:tcW w:w="1246" w:type="dxa"/>
            <w:vAlign w:val="center"/>
          </w:tcPr>
          <w:p w14:paraId="0790C9AF">
            <w:pPr>
              <w:suppressAutoHyphens/>
              <w:adjustRightInd w:val="0"/>
              <w:snapToGrid w:val="0"/>
              <w:spacing w:line="300" w:lineRule="exact"/>
              <w:jc w:val="center"/>
              <w:rPr>
                <w:sz w:val="24"/>
              </w:rPr>
            </w:pPr>
            <w:r>
              <w:rPr>
                <w:rFonts w:hint="eastAsia"/>
                <w:sz w:val="24"/>
              </w:rPr>
              <w:t>1500</w:t>
            </w:r>
          </w:p>
        </w:tc>
        <w:tc>
          <w:tcPr>
            <w:tcW w:w="969" w:type="dxa"/>
            <w:vAlign w:val="center"/>
          </w:tcPr>
          <w:p w14:paraId="49D0E578">
            <w:pPr>
              <w:suppressAutoHyphens/>
              <w:adjustRightInd w:val="0"/>
              <w:snapToGrid w:val="0"/>
              <w:spacing w:line="300" w:lineRule="exact"/>
              <w:jc w:val="center"/>
              <w:rPr>
                <w:sz w:val="24"/>
              </w:rPr>
            </w:pPr>
            <w:r>
              <w:rPr>
                <w:rFonts w:hint="eastAsia"/>
                <w:sz w:val="24"/>
              </w:rPr>
              <w:t>1500</w:t>
            </w:r>
          </w:p>
        </w:tc>
        <w:tc>
          <w:tcPr>
            <w:tcW w:w="1062" w:type="dxa"/>
            <w:vAlign w:val="center"/>
          </w:tcPr>
          <w:p w14:paraId="1E8FDFAC">
            <w:pPr>
              <w:suppressAutoHyphens/>
              <w:adjustRightInd w:val="0"/>
              <w:snapToGrid w:val="0"/>
              <w:spacing w:line="300" w:lineRule="exact"/>
              <w:jc w:val="center"/>
              <w:rPr>
                <w:sz w:val="24"/>
              </w:rPr>
            </w:pPr>
            <w:r>
              <w:rPr>
                <w:rFonts w:hint="eastAsia"/>
                <w:sz w:val="24"/>
              </w:rPr>
              <w:t>0</w:t>
            </w:r>
          </w:p>
        </w:tc>
        <w:tc>
          <w:tcPr>
            <w:tcW w:w="830" w:type="dxa"/>
            <w:vAlign w:val="center"/>
          </w:tcPr>
          <w:p w14:paraId="76CBFA71">
            <w:pPr>
              <w:suppressAutoHyphens/>
              <w:adjustRightInd w:val="0"/>
              <w:snapToGrid w:val="0"/>
              <w:spacing w:line="300" w:lineRule="exact"/>
              <w:jc w:val="center"/>
              <w:rPr>
                <w:sz w:val="24"/>
              </w:rPr>
            </w:pPr>
            <w:r>
              <w:rPr>
                <w:rFonts w:hint="eastAsia"/>
                <w:sz w:val="24"/>
              </w:rPr>
              <w:t>0</w:t>
            </w:r>
          </w:p>
        </w:tc>
        <w:tc>
          <w:tcPr>
            <w:tcW w:w="718" w:type="dxa"/>
            <w:vAlign w:val="center"/>
          </w:tcPr>
          <w:p w14:paraId="73E4420F">
            <w:pPr>
              <w:suppressAutoHyphens/>
              <w:adjustRightInd w:val="0"/>
              <w:snapToGrid w:val="0"/>
              <w:spacing w:line="300" w:lineRule="exact"/>
              <w:jc w:val="center"/>
              <w:rPr>
                <w:sz w:val="24"/>
              </w:rPr>
            </w:pPr>
            <w:r>
              <w:rPr>
                <w:rFonts w:hint="eastAsia"/>
                <w:sz w:val="24"/>
              </w:rPr>
              <w:t>0</w:t>
            </w:r>
          </w:p>
        </w:tc>
        <w:tc>
          <w:tcPr>
            <w:tcW w:w="483" w:type="dxa"/>
            <w:vAlign w:val="center"/>
          </w:tcPr>
          <w:p w14:paraId="4EA6DF1C">
            <w:pPr>
              <w:suppressAutoHyphens/>
              <w:adjustRightInd w:val="0"/>
              <w:snapToGrid w:val="0"/>
              <w:spacing w:line="300" w:lineRule="exact"/>
              <w:jc w:val="center"/>
              <w:rPr>
                <w:kern w:val="2"/>
                <w:sz w:val="24"/>
              </w:rPr>
            </w:pPr>
          </w:p>
        </w:tc>
      </w:tr>
      <w:tr w14:paraId="05AC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15" w:type="dxa"/>
            <w:vAlign w:val="center"/>
          </w:tcPr>
          <w:p w14:paraId="41C5A480">
            <w:pPr>
              <w:suppressAutoHyphens/>
              <w:adjustRightInd w:val="0"/>
              <w:snapToGrid w:val="0"/>
              <w:spacing w:line="300" w:lineRule="exact"/>
              <w:jc w:val="center"/>
              <w:rPr>
                <w:rFonts w:eastAsia="方正黑体_GBK"/>
                <w:sz w:val="24"/>
              </w:rPr>
            </w:pPr>
            <w:r>
              <w:rPr>
                <w:rFonts w:hint="eastAsia" w:eastAsia="方正黑体_GBK"/>
                <w:sz w:val="24"/>
              </w:rPr>
              <w:t>3</w:t>
            </w:r>
          </w:p>
        </w:tc>
        <w:tc>
          <w:tcPr>
            <w:tcW w:w="2239" w:type="dxa"/>
            <w:vAlign w:val="center"/>
          </w:tcPr>
          <w:p w14:paraId="03A89CE9">
            <w:pPr>
              <w:suppressAutoHyphens/>
              <w:adjustRightInd w:val="0"/>
              <w:snapToGrid w:val="0"/>
              <w:spacing w:line="300" w:lineRule="exact"/>
              <w:rPr>
                <w:kern w:val="2"/>
                <w:sz w:val="24"/>
              </w:rPr>
            </w:pPr>
            <w:r>
              <w:rPr>
                <w:kern w:val="2"/>
                <w:sz w:val="24"/>
              </w:rPr>
              <w:t>公益性殡葬服务设施建设</w:t>
            </w:r>
          </w:p>
        </w:tc>
        <w:tc>
          <w:tcPr>
            <w:tcW w:w="1200" w:type="dxa"/>
            <w:vAlign w:val="center"/>
          </w:tcPr>
          <w:p w14:paraId="004C8AA8">
            <w:pPr>
              <w:suppressAutoHyphens/>
              <w:adjustRightInd w:val="0"/>
              <w:snapToGrid w:val="0"/>
              <w:spacing w:line="300" w:lineRule="exact"/>
              <w:jc w:val="center"/>
              <w:rPr>
                <w:kern w:val="2"/>
                <w:sz w:val="24"/>
              </w:rPr>
            </w:pPr>
            <w:r>
              <w:rPr>
                <w:sz w:val="24"/>
                <w:szCs w:val="22"/>
              </w:rPr>
              <w:t>县民政局</w:t>
            </w:r>
          </w:p>
        </w:tc>
        <w:tc>
          <w:tcPr>
            <w:tcW w:w="1179" w:type="dxa"/>
            <w:vAlign w:val="center"/>
          </w:tcPr>
          <w:p w14:paraId="2EF35EEA">
            <w:pPr>
              <w:suppressAutoHyphens/>
              <w:adjustRightInd w:val="0"/>
              <w:snapToGrid w:val="0"/>
              <w:spacing w:line="300" w:lineRule="exact"/>
              <w:rPr>
                <w:kern w:val="2"/>
                <w:sz w:val="24"/>
              </w:rPr>
            </w:pPr>
          </w:p>
        </w:tc>
        <w:tc>
          <w:tcPr>
            <w:tcW w:w="5378" w:type="dxa"/>
            <w:vAlign w:val="center"/>
          </w:tcPr>
          <w:p w14:paraId="71A257A0">
            <w:pPr>
              <w:suppressAutoHyphens/>
              <w:adjustRightInd w:val="0"/>
              <w:snapToGrid w:val="0"/>
              <w:spacing w:line="300" w:lineRule="exact"/>
              <w:rPr>
                <w:kern w:val="2"/>
                <w:sz w:val="24"/>
              </w:rPr>
            </w:pPr>
            <w:r>
              <w:rPr>
                <w:sz w:val="24"/>
              </w:rPr>
              <w:t>建成投用青龙山陵园。</w:t>
            </w:r>
          </w:p>
        </w:tc>
        <w:tc>
          <w:tcPr>
            <w:tcW w:w="1246" w:type="dxa"/>
            <w:vAlign w:val="center"/>
          </w:tcPr>
          <w:p w14:paraId="14990B3F">
            <w:pPr>
              <w:suppressAutoHyphens/>
              <w:adjustRightInd w:val="0"/>
              <w:snapToGrid w:val="0"/>
              <w:spacing w:line="300" w:lineRule="exact"/>
              <w:jc w:val="center"/>
              <w:rPr>
                <w:sz w:val="24"/>
              </w:rPr>
            </w:pPr>
            <w:r>
              <w:rPr>
                <w:rFonts w:hint="eastAsia"/>
                <w:sz w:val="24"/>
              </w:rPr>
              <w:t>1000</w:t>
            </w:r>
          </w:p>
        </w:tc>
        <w:tc>
          <w:tcPr>
            <w:tcW w:w="969" w:type="dxa"/>
            <w:vAlign w:val="center"/>
          </w:tcPr>
          <w:p w14:paraId="135DB809">
            <w:pPr>
              <w:suppressAutoHyphens/>
              <w:adjustRightInd w:val="0"/>
              <w:snapToGrid w:val="0"/>
              <w:spacing w:line="300" w:lineRule="exact"/>
              <w:jc w:val="center"/>
              <w:rPr>
                <w:sz w:val="24"/>
              </w:rPr>
            </w:pPr>
            <w:r>
              <w:rPr>
                <w:rFonts w:hint="eastAsia"/>
                <w:sz w:val="24"/>
              </w:rPr>
              <w:t>0</w:t>
            </w:r>
          </w:p>
        </w:tc>
        <w:tc>
          <w:tcPr>
            <w:tcW w:w="1062" w:type="dxa"/>
            <w:vAlign w:val="center"/>
          </w:tcPr>
          <w:p w14:paraId="33BA5FF2">
            <w:pPr>
              <w:suppressAutoHyphens/>
              <w:adjustRightInd w:val="0"/>
              <w:snapToGrid w:val="0"/>
              <w:spacing w:line="300" w:lineRule="exact"/>
              <w:jc w:val="center"/>
              <w:rPr>
                <w:sz w:val="24"/>
              </w:rPr>
            </w:pPr>
            <w:r>
              <w:rPr>
                <w:rFonts w:hint="eastAsia"/>
                <w:sz w:val="24"/>
              </w:rPr>
              <w:t>0</w:t>
            </w:r>
          </w:p>
        </w:tc>
        <w:tc>
          <w:tcPr>
            <w:tcW w:w="830" w:type="dxa"/>
            <w:vAlign w:val="center"/>
          </w:tcPr>
          <w:p w14:paraId="4F0CD21D">
            <w:pPr>
              <w:suppressAutoHyphens/>
              <w:adjustRightInd w:val="0"/>
              <w:snapToGrid w:val="0"/>
              <w:spacing w:line="300" w:lineRule="exact"/>
              <w:jc w:val="center"/>
              <w:rPr>
                <w:sz w:val="24"/>
              </w:rPr>
            </w:pPr>
            <w:r>
              <w:rPr>
                <w:rFonts w:hint="eastAsia"/>
                <w:sz w:val="24"/>
              </w:rPr>
              <w:t>1000</w:t>
            </w:r>
          </w:p>
        </w:tc>
        <w:tc>
          <w:tcPr>
            <w:tcW w:w="718" w:type="dxa"/>
            <w:vAlign w:val="center"/>
          </w:tcPr>
          <w:p w14:paraId="7A0E6E2E">
            <w:pPr>
              <w:suppressAutoHyphens/>
              <w:adjustRightInd w:val="0"/>
              <w:snapToGrid w:val="0"/>
              <w:spacing w:line="300" w:lineRule="exact"/>
              <w:jc w:val="center"/>
              <w:rPr>
                <w:sz w:val="24"/>
              </w:rPr>
            </w:pPr>
            <w:r>
              <w:rPr>
                <w:rFonts w:hint="eastAsia"/>
                <w:sz w:val="24"/>
              </w:rPr>
              <w:t>0</w:t>
            </w:r>
          </w:p>
        </w:tc>
        <w:tc>
          <w:tcPr>
            <w:tcW w:w="483" w:type="dxa"/>
            <w:vAlign w:val="center"/>
          </w:tcPr>
          <w:p w14:paraId="03AA75E9">
            <w:pPr>
              <w:suppressAutoHyphens/>
              <w:adjustRightInd w:val="0"/>
              <w:snapToGrid w:val="0"/>
              <w:spacing w:line="300" w:lineRule="exact"/>
              <w:jc w:val="center"/>
              <w:rPr>
                <w:kern w:val="2"/>
                <w:sz w:val="24"/>
              </w:rPr>
            </w:pPr>
          </w:p>
        </w:tc>
      </w:tr>
      <w:tr w14:paraId="7903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5" w:type="dxa"/>
            <w:vAlign w:val="center"/>
          </w:tcPr>
          <w:p w14:paraId="627F3D57">
            <w:pPr>
              <w:suppressAutoHyphens/>
              <w:adjustRightInd w:val="0"/>
              <w:snapToGrid w:val="0"/>
              <w:spacing w:line="300" w:lineRule="exact"/>
              <w:jc w:val="center"/>
              <w:rPr>
                <w:rFonts w:eastAsia="方正黑体_GBK"/>
                <w:sz w:val="24"/>
              </w:rPr>
            </w:pPr>
            <w:r>
              <w:rPr>
                <w:rFonts w:hint="eastAsia" w:eastAsia="方正黑体_GBK"/>
                <w:sz w:val="24"/>
              </w:rPr>
              <w:t>4</w:t>
            </w:r>
          </w:p>
        </w:tc>
        <w:tc>
          <w:tcPr>
            <w:tcW w:w="2239" w:type="dxa"/>
            <w:vAlign w:val="center"/>
          </w:tcPr>
          <w:p w14:paraId="571D7E81">
            <w:pPr>
              <w:suppressAutoHyphens/>
              <w:adjustRightInd w:val="0"/>
              <w:snapToGrid w:val="0"/>
              <w:spacing w:line="300" w:lineRule="exact"/>
              <w:rPr>
                <w:kern w:val="2"/>
                <w:sz w:val="24"/>
              </w:rPr>
            </w:pPr>
            <w:r>
              <w:rPr>
                <w:rFonts w:hint="eastAsia"/>
                <w:sz w:val="24"/>
              </w:rPr>
              <w:t>发展婴幼儿照护服务</w:t>
            </w:r>
          </w:p>
        </w:tc>
        <w:tc>
          <w:tcPr>
            <w:tcW w:w="1200" w:type="dxa"/>
            <w:vAlign w:val="center"/>
          </w:tcPr>
          <w:p w14:paraId="142FF5C8">
            <w:pPr>
              <w:suppressAutoHyphens/>
              <w:adjustRightInd w:val="0"/>
              <w:snapToGrid w:val="0"/>
              <w:spacing w:line="300" w:lineRule="exact"/>
              <w:jc w:val="center"/>
              <w:rPr>
                <w:kern w:val="2"/>
                <w:sz w:val="24"/>
              </w:rPr>
            </w:pPr>
            <w:r>
              <w:rPr>
                <w:rFonts w:hint="eastAsia"/>
                <w:sz w:val="24"/>
              </w:rPr>
              <w:t>县卫生健康委</w:t>
            </w:r>
          </w:p>
        </w:tc>
        <w:tc>
          <w:tcPr>
            <w:tcW w:w="1179" w:type="dxa"/>
            <w:vAlign w:val="center"/>
          </w:tcPr>
          <w:p w14:paraId="74F7C3EB">
            <w:pPr>
              <w:suppressAutoHyphens/>
              <w:adjustRightInd w:val="0"/>
              <w:snapToGrid w:val="0"/>
              <w:spacing w:line="300" w:lineRule="exact"/>
              <w:jc w:val="center"/>
              <w:rPr>
                <w:kern w:val="2"/>
                <w:sz w:val="24"/>
              </w:rPr>
            </w:pPr>
            <w:r>
              <w:rPr>
                <w:rFonts w:hint="eastAsia"/>
                <w:sz w:val="24"/>
              </w:rPr>
              <w:t>县教委</w:t>
            </w:r>
          </w:p>
        </w:tc>
        <w:tc>
          <w:tcPr>
            <w:tcW w:w="5378" w:type="dxa"/>
            <w:vAlign w:val="center"/>
          </w:tcPr>
          <w:p w14:paraId="2271BD69">
            <w:pPr>
              <w:suppressAutoHyphens/>
              <w:adjustRightInd w:val="0"/>
              <w:snapToGrid w:val="0"/>
              <w:spacing w:line="300" w:lineRule="exact"/>
              <w:rPr>
                <w:kern w:val="2"/>
                <w:sz w:val="24"/>
              </w:rPr>
            </w:pPr>
            <w:r>
              <w:rPr>
                <w:rFonts w:hint="eastAsia"/>
                <w:sz w:val="24"/>
              </w:rPr>
              <w:t>明通镇中心幼儿园增设1个托幼班。全县每千人口拥有3岁以下婴幼儿托位数达到4个，普惠托位占比达到40%以上；在满足学前教育普及的基础上，鼓励和支持有条件的幼儿园招收2-3岁幼儿。</w:t>
            </w:r>
          </w:p>
        </w:tc>
        <w:tc>
          <w:tcPr>
            <w:tcW w:w="1246" w:type="dxa"/>
            <w:vAlign w:val="center"/>
          </w:tcPr>
          <w:p w14:paraId="30EE2009">
            <w:pPr>
              <w:suppressAutoHyphens/>
              <w:adjustRightInd w:val="0"/>
              <w:snapToGrid w:val="0"/>
              <w:spacing w:line="300" w:lineRule="exact"/>
              <w:jc w:val="center"/>
              <w:rPr>
                <w:sz w:val="24"/>
              </w:rPr>
            </w:pPr>
            <w:r>
              <w:rPr>
                <w:rFonts w:hint="eastAsia"/>
                <w:sz w:val="24"/>
              </w:rPr>
              <w:t>5</w:t>
            </w:r>
          </w:p>
        </w:tc>
        <w:tc>
          <w:tcPr>
            <w:tcW w:w="969" w:type="dxa"/>
            <w:vAlign w:val="center"/>
          </w:tcPr>
          <w:p w14:paraId="3EC413DD">
            <w:pPr>
              <w:suppressAutoHyphens/>
              <w:adjustRightInd w:val="0"/>
              <w:snapToGrid w:val="0"/>
              <w:spacing w:line="300" w:lineRule="exact"/>
              <w:jc w:val="center"/>
              <w:rPr>
                <w:sz w:val="24"/>
              </w:rPr>
            </w:pPr>
            <w:r>
              <w:rPr>
                <w:rFonts w:hint="eastAsia"/>
                <w:sz w:val="24"/>
              </w:rPr>
              <w:t>5</w:t>
            </w:r>
          </w:p>
        </w:tc>
        <w:tc>
          <w:tcPr>
            <w:tcW w:w="1062" w:type="dxa"/>
            <w:vAlign w:val="center"/>
          </w:tcPr>
          <w:p w14:paraId="2DFB4768">
            <w:pPr>
              <w:suppressAutoHyphens/>
              <w:adjustRightInd w:val="0"/>
              <w:snapToGrid w:val="0"/>
              <w:spacing w:line="300" w:lineRule="exact"/>
              <w:jc w:val="center"/>
              <w:rPr>
                <w:sz w:val="24"/>
              </w:rPr>
            </w:pPr>
            <w:r>
              <w:rPr>
                <w:rFonts w:hint="eastAsia"/>
                <w:sz w:val="24"/>
              </w:rPr>
              <w:t>0</w:t>
            </w:r>
          </w:p>
        </w:tc>
        <w:tc>
          <w:tcPr>
            <w:tcW w:w="830" w:type="dxa"/>
            <w:vAlign w:val="center"/>
          </w:tcPr>
          <w:p w14:paraId="2A826480">
            <w:pPr>
              <w:suppressAutoHyphens/>
              <w:adjustRightInd w:val="0"/>
              <w:snapToGrid w:val="0"/>
              <w:spacing w:line="300" w:lineRule="exact"/>
              <w:jc w:val="center"/>
              <w:rPr>
                <w:sz w:val="24"/>
              </w:rPr>
            </w:pPr>
            <w:r>
              <w:rPr>
                <w:rFonts w:hint="eastAsia"/>
                <w:sz w:val="24"/>
              </w:rPr>
              <w:t>0</w:t>
            </w:r>
          </w:p>
        </w:tc>
        <w:tc>
          <w:tcPr>
            <w:tcW w:w="718" w:type="dxa"/>
            <w:vAlign w:val="center"/>
          </w:tcPr>
          <w:p w14:paraId="052884D1">
            <w:pPr>
              <w:suppressAutoHyphens/>
              <w:adjustRightInd w:val="0"/>
              <w:snapToGrid w:val="0"/>
              <w:spacing w:line="300" w:lineRule="exact"/>
              <w:jc w:val="center"/>
              <w:rPr>
                <w:sz w:val="24"/>
              </w:rPr>
            </w:pPr>
            <w:r>
              <w:rPr>
                <w:rFonts w:hint="eastAsia"/>
                <w:sz w:val="24"/>
              </w:rPr>
              <w:t>0</w:t>
            </w:r>
          </w:p>
        </w:tc>
        <w:tc>
          <w:tcPr>
            <w:tcW w:w="483" w:type="dxa"/>
            <w:vAlign w:val="center"/>
          </w:tcPr>
          <w:p w14:paraId="1755759A">
            <w:pPr>
              <w:suppressAutoHyphens/>
              <w:adjustRightInd w:val="0"/>
              <w:snapToGrid w:val="0"/>
              <w:spacing w:line="300" w:lineRule="exact"/>
              <w:jc w:val="center"/>
              <w:rPr>
                <w:kern w:val="2"/>
                <w:sz w:val="24"/>
              </w:rPr>
            </w:pPr>
          </w:p>
        </w:tc>
      </w:tr>
      <w:tr w14:paraId="6091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14:paraId="268DFA1B">
            <w:pPr>
              <w:suppressAutoHyphens/>
              <w:adjustRightInd w:val="0"/>
              <w:snapToGrid w:val="0"/>
              <w:spacing w:line="300" w:lineRule="exact"/>
              <w:jc w:val="center"/>
              <w:rPr>
                <w:rFonts w:eastAsia="方正黑体_GBK"/>
                <w:sz w:val="24"/>
              </w:rPr>
            </w:pPr>
            <w:r>
              <w:rPr>
                <w:rFonts w:hint="eastAsia" w:eastAsia="方正黑体_GBK"/>
                <w:sz w:val="24"/>
              </w:rPr>
              <w:t>5</w:t>
            </w:r>
          </w:p>
        </w:tc>
        <w:tc>
          <w:tcPr>
            <w:tcW w:w="2239" w:type="dxa"/>
            <w:vAlign w:val="center"/>
          </w:tcPr>
          <w:p w14:paraId="2E6B4EBE">
            <w:pPr>
              <w:suppressAutoHyphens/>
              <w:adjustRightInd w:val="0"/>
              <w:snapToGrid w:val="0"/>
              <w:spacing w:line="300" w:lineRule="exact"/>
              <w:rPr>
                <w:kern w:val="2"/>
                <w:sz w:val="24"/>
              </w:rPr>
            </w:pPr>
            <w:r>
              <w:rPr>
                <w:rFonts w:hint="eastAsia"/>
                <w:sz w:val="24"/>
              </w:rPr>
              <w:t>推进义务教育阶段学生“双减”（减轻义务教育阶段学生作业负担和校外培训负担）</w:t>
            </w:r>
          </w:p>
        </w:tc>
        <w:tc>
          <w:tcPr>
            <w:tcW w:w="1200" w:type="dxa"/>
            <w:vAlign w:val="center"/>
          </w:tcPr>
          <w:p w14:paraId="0C782805">
            <w:pPr>
              <w:suppressAutoHyphens/>
              <w:adjustRightInd w:val="0"/>
              <w:snapToGrid w:val="0"/>
              <w:spacing w:line="300" w:lineRule="exact"/>
              <w:jc w:val="center"/>
              <w:rPr>
                <w:kern w:val="2"/>
                <w:sz w:val="24"/>
              </w:rPr>
            </w:pPr>
            <w:r>
              <w:rPr>
                <w:rFonts w:hint="eastAsia"/>
                <w:sz w:val="24"/>
              </w:rPr>
              <w:t>县教委</w:t>
            </w:r>
          </w:p>
        </w:tc>
        <w:tc>
          <w:tcPr>
            <w:tcW w:w="1179" w:type="dxa"/>
            <w:vAlign w:val="center"/>
          </w:tcPr>
          <w:p w14:paraId="499F4C22">
            <w:pPr>
              <w:suppressAutoHyphens/>
              <w:adjustRightInd w:val="0"/>
              <w:snapToGrid w:val="0"/>
              <w:spacing w:line="300" w:lineRule="exact"/>
              <w:jc w:val="center"/>
              <w:rPr>
                <w:kern w:val="2"/>
                <w:sz w:val="24"/>
              </w:rPr>
            </w:pPr>
            <w:r>
              <w:rPr>
                <w:rFonts w:hint="eastAsia"/>
                <w:sz w:val="24"/>
              </w:rPr>
              <w:t>县市场监管局、县民政局、县公安局</w:t>
            </w:r>
          </w:p>
        </w:tc>
        <w:tc>
          <w:tcPr>
            <w:tcW w:w="5378" w:type="dxa"/>
            <w:vAlign w:val="center"/>
          </w:tcPr>
          <w:p w14:paraId="55871238">
            <w:pPr>
              <w:suppressAutoHyphens/>
              <w:adjustRightInd w:val="0"/>
              <w:snapToGrid w:val="0"/>
              <w:spacing w:line="300" w:lineRule="exact"/>
              <w:rPr>
                <w:sz w:val="24"/>
              </w:rPr>
            </w:pPr>
            <w:r>
              <w:rPr>
                <w:rFonts w:hint="eastAsia"/>
                <w:sz w:val="24"/>
              </w:rPr>
              <w:t>依法依规持续开展校外培训综合治理工作，加强义务教育阶段学生作业管理，提升课后服务水平，切实减轻义务教育阶段学生负担。</w:t>
            </w:r>
          </w:p>
        </w:tc>
        <w:tc>
          <w:tcPr>
            <w:tcW w:w="1246" w:type="dxa"/>
            <w:vAlign w:val="center"/>
          </w:tcPr>
          <w:p w14:paraId="1B54CAEA">
            <w:pPr>
              <w:suppressAutoHyphens/>
              <w:adjustRightInd w:val="0"/>
              <w:snapToGrid w:val="0"/>
              <w:spacing w:line="300" w:lineRule="exact"/>
              <w:jc w:val="center"/>
              <w:rPr>
                <w:sz w:val="24"/>
              </w:rPr>
            </w:pPr>
            <w:r>
              <w:rPr>
                <w:rFonts w:hint="eastAsia"/>
                <w:sz w:val="24"/>
              </w:rPr>
              <w:t>2400</w:t>
            </w:r>
          </w:p>
        </w:tc>
        <w:tc>
          <w:tcPr>
            <w:tcW w:w="969" w:type="dxa"/>
            <w:vAlign w:val="center"/>
          </w:tcPr>
          <w:p w14:paraId="333965E1">
            <w:pPr>
              <w:suppressAutoHyphens/>
              <w:adjustRightInd w:val="0"/>
              <w:snapToGrid w:val="0"/>
              <w:spacing w:line="300" w:lineRule="exact"/>
              <w:jc w:val="center"/>
              <w:rPr>
                <w:sz w:val="24"/>
              </w:rPr>
            </w:pPr>
            <w:r>
              <w:rPr>
                <w:rFonts w:hint="eastAsia"/>
                <w:sz w:val="24"/>
              </w:rPr>
              <w:t>0</w:t>
            </w:r>
          </w:p>
        </w:tc>
        <w:tc>
          <w:tcPr>
            <w:tcW w:w="1062" w:type="dxa"/>
            <w:vAlign w:val="center"/>
          </w:tcPr>
          <w:p w14:paraId="45C3317A">
            <w:pPr>
              <w:suppressAutoHyphens/>
              <w:adjustRightInd w:val="0"/>
              <w:snapToGrid w:val="0"/>
              <w:spacing w:line="300" w:lineRule="exact"/>
              <w:jc w:val="center"/>
              <w:rPr>
                <w:sz w:val="24"/>
              </w:rPr>
            </w:pPr>
            <w:r>
              <w:rPr>
                <w:rFonts w:hint="eastAsia"/>
                <w:sz w:val="24"/>
              </w:rPr>
              <w:t>0</w:t>
            </w:r>
          </w:p>
        </w:tc>
        <w:tc>
          <w:tcPr>
            <w:tcW w:w="830" w:type="dxa"/>
            <w:vAlign w:val="center"/>
          </w:tcPr>
          <w:p w14:paraId="5BEA91EC">
            <w:pPr>
              <w:suppressAutoHyphens/>
              <w:adjustRightInd w:val="0"/>
              <w:snapToGrid w:val="0"/>
              <w:spacing w:line="300" w:lineRule="exact"/>
              <w:jc w:val="center"/>
              <w:rPr>
                <w:sz w:val="24"/>
              </w:rPr>
            </w:pPr>
            <w:r>
              <w:rPr>
                <w:rFonts w:hint="eastAsia"/>
                <w:sz w:val="24"/>
              </w:rPr>
              <w:t>0</w:t>
            </w:r>
          </w:p>
        </w:tc>
        <w:tc>
          <w:tcPr>
            <w:tcW w:w="718" w:type="dxa"/>
            <w:vAlign w:val="center"/>
          </w:tcPr>
          <w:p w14:paraId="1FA2601F">
            <w:pPr>
              <w:suppressAutoHyphens/>
              <w:adjustRightInd w:val="0"/>
              <w:snapToGrid w:val="0"/>
              <w:spacing w:line="300" w:lineRule="exact"/>
              <w:jc w:val="center"/>
              <w:rPr>
                <w:sz w:val="24"/>
              </w:rPr>
            </w:pPr>
            <w:r>
              <w:rPr>
                <w:rFonts w:hint="eastAsia"/>
                <w:sz w:val="24"/>
              </w:rPr>
              <w:t>2400</w:t>
            </w:r>
          </w:p>
        </w:tc>
        <w:tc>
          <w:tcPr>
            <w:tcW w:w="483" w:type="dxa"/>
            <w:vAlign w:val="center"/>
          </w:tcPr>
          <w:p w14:paraId="45ECAD32">
            <w:pPr>
              <w:suppressAutoHyphens/>
              <w:adjustRightInd w:val="0"/>
              <w:snapToGrid w:val="0"/>
              <w:spacing w:line="300" w:lineRule="exact"/>
              <w:jc w:val="center"/>
              <w:rPr>
                <w:kern w:val="2"/>
                <w:sz w:val="20"/>
                <w:szCs w:val="20"/>
              </w:rPr>
            </w:pPr>
          </w:p>
        </w:tc>
      </w:tr>
      <w:tr w14:paraId="0BF4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15" w:type="dxa"/>
            <w:vAlign w:val="center"/>
          </w:tcPr>
          <w:p w14:paraId="07E9B32E">
            <w:pPr>
              <w:suppressAutoHyphens/>
              <w:adjustRightInd w:val="0"/>
              <w:snapToGrid w:val="0"/>
              <w:spacing w:line="300" w:lineRule="exact"/>
              <w:jc w:val="center"/>
              <w:rPr>
                <w:rFonts w:eastAsia="方正黑体_GBK"/>
                <w:sz w:val="24"/>
              </w:rPr>
            </w:pPr>
            <w:r>
              <w:rPr>
                <w:rFonts w:hint="eastAsia" w:eastAsia="方正黑体_GBK"/>
                <w:sz w:val="24"/>
              </w:rPr>
              <w:t>6</w:t>
            </w:r>
          </w:p>
        </w:tc>
        <w:tc>
          <w:tcPr>
            <w:tcW w:w="2239" w:type="dxa"/>
            <w:vAlign w:val="center"/>
          </w:tcPr>
          <w:p w14:paraId="055592FA">
            <w:pPr>
              <w:suppressAutoHyphens/>
              <w:adjustRightInd w:val="0"/>
              <w:snapToGrid w:val="0"/>
              <w:spacing w:line="300" w:lineRule="exact"/>
              <w:rPr>
                <w:kern w:val="2"/>
                <w:sz w:val="24"/>
              </w:rPr>
            </w:pPr>
            <w:r>
              <w:rPr>
                <w:rFonts w:hint="eastAsia"/>
                <w:sz w:val="24"/>
              </w:rPr>
              <w:t>实施城市绿荫工程</w:t>
            </w:r>
          </w:p>
        </w:tc>
        <w:tc>
          <w:tcPr>
            <w:tcW w:w="1200" w:type="dxa"/>
            <w:vAlign w:val="center"/>
          </w:tcPr>
          <w:p w14:paraId="26E48900">
            <w:pPr>
              <w:suppressAutoHyphens/>
              <w:adjustRightInd w:val="0"/>
              <w:snapToGrid w:val="0"/>
              <w:spacing w:line="300" w:lineRule="exact"/>
              <w:jc w:val="center"/>
              <w:rPr>
                <w:kern w:val="2"/>
                <w:sz w:val="24"/>
              </w:rPr>
            </w:pPr>
            <w:r>
              <w:rPr>
                <w:rFonts w:hint="eastAsia"/>
                <w:sz w:val="24"/>
              </w:rPr>
              <w:t>县住房城乡建委</w:t>
            </w:r>
          </w:p>
        </w:tc>
        <w:tc>
          <w:tcPr>
            <w:tcW w:w="1179" w:type="dxa"/>
            <w:vAlign w:val="center"/>
          </w:tcPr>
          <w:p w14:paraId="34827527">
            <w:pPr>
              <w:suppressAutoHyphens/>
              <w:adjustRightInd w:val="0"/>
              <w:snapToGrid w:val="0"/>
              <w:spacing w:line="300" w:lineRule="exact"/>
              <w:jc w:val="center"/>
              <w:rPr>
                <w:kern w:val="2"/>
                <w:sz w:val="24"/>
              </w:rPr>
            </w:pPr>
          </w:p>
        </w:tc>
        <w:tc>
          <w:tcPr>
            <w:tcW w:w="5378" w:type="dxa"/>
            <w:vAlign w:val="center"/>
          </w:tcPr>
          <w:p w14:paraId="0C04C5D0">
            <w:pPr>
              <w:suppressAutoHyphens/>
              <w:adjustRightInd w:val="0"/>
              <w:snapToGrid w:val="0"/>
              <w:spacing w:line="300" w:lineRule="exact"/>
              <w:rPr>
                <w:sz w:val="24"/>
              </w:rPr>
            </w:pPr>
            <w:r>
              <w:rPr>
                <w:sz w:val="24"/>
              </w:rPr>
              <w:t>实施滨河南岸边坡、二桥北桥头边坡、建学路边坡3处坡坎崖绿化，新增城市立体绿化8000㎡。</w:t>
            </w:r>
          </w:p>
        </w:tc>
        <w:tc>
          <w:tcPr>
            <w:tcW w:w="1246" w:type="dxa"/>
            <w:vAlign w:val="center"/>
          </w:tcPr>
          <w:p w14:paraId="04B45A24">
            <w:pPr>
              <w:suppressAutoHyphens/>
              <w:adjustRightInd w:val="0"/>
              <w:snapToGrid w:val="0"/>
              <w:spacing w:line="300" w:lineRule="exact"/>
              <w:jc w:val="center"/>
              <w:rPr>
                <w:sz w:val="24"/>
              </w:rPr>
            </w:pPr>
            <w:r>
              <w:rPr>
                <w:sz w:val="24"/>
              </w:rPr>
              <w:t>400</w:t>
            </w:r>
          </w:p>
        </w:tc>
        <w:tc>
          <w:tcPr>
            <w:tcW w:w="969" w:type="dxa"/>
            <w:vAlign w:val="center"/>
          </w:tcPr>
          <w:p w14:paraId="1BF78561">
            <w:pPr>
              <w:suppressAutoHyphens/>
              <w:adjustRightInd w:val="0"/>
              <w:snapToGrid w:val="0"/>
              <w:spacing w:line="300" w:lineRule="exact"/>
              <w:jc w:val="center"/>
              <w:rPr>
                <w:sz w:val="24"/>
              </w:rPr>
            </w:pPr>
            <w:r>
              <w:rPr>
                <w:rFonts w:hint="eastAsia"/>
                <w:sz w:val="24"/>
              </w:rPr>
              <w:t>200</w:t>
            </w:r>
          </w:p>
        </w:tc>
        <w:tc>
          <w:tcPr>
            <w:tcW w:w="1062" w:type="dxa"/>
            <w:vAlign w:val="center"/>
          </w:tcPr>
          <w:p w14:paraId="4203E05F">
            <w:pPr>
              <w:suppressAutoHyphens/>
              <w:adjustRightInd w:val="0"/>
              <w:snapToGrid w:val="0"/>
              <w:spacing w:line="300" w:lineRule="exact"/>
              <w:jc w:val="center"/>
              <w:rPr>
                <w:sz w:val="24"/>
              </w:rPr>
            </w:pPr>
            <w:r>
              <w:rPr>
                <w:rFonts w:hint="eastAsia"/>
                <w:sz w:val="24"/>
              </w:rPr>
              <w:t>200</w:t>
            </w:r>
          </w:p>
        </w:tc>
        <w:tc>
          <w:tcPr>
            <w:tcW w:w="830" w:type="dxa"/>
            <w:vAlign w:val="center"/>
          </w:tcPr>
          <w:p w14:paraId="5DEE63C2">
            <w:pPr>
              <w:suppressAutoHyphens/>
              <w:adjustRightInd w:val="0"/>
              <w:snapToGrid w:val="0"/>
              <w:spacing w:line="300" w:lineRule="exact"/>
              <w:jc w:val="center"/>
              <w:rPr>
                <w:sz w:val="24"/>
              </w:rPr>
            </w:pPr>
            <w:r>
              <w:rPr>
                <w:rFonts w:hint="eastAsia"/>
                <w:sz w:val="24"/>
              </w:rPr>
              <w:t>0</w:t>
            </w:r>
          </w:p>
        </w:tc>
        <w:tc>
          <w:tcPr>
            <w:tcW w:w="718" w:type="dxa"/>
            <w:vAlign w:val="center"/>
          </w:tcPr>
          <w:p w14:paraId="19009E7C">
            <w:pPr>
              <w:suppressAutoHyphens/>
              <w:adjustRightInd w:val="0"/>
              <w:snapToGrid w:val="0"/>
              <w:spacing w:line="300" w:lineRule="exact"/>
              <w:jc w:val="center"/>
              <w:rPr>
                <w:sz w:val="24"/>
              </w:rPr>
            </w:pPr>
            <w:r>
              <w:rPr>
                <w:rFonts w:hint="eastAsia"/>
                <w:sz w:val="24"/>
              </w:rPr>
              <w:t>0</w:t>
            </w:r>
          </w:p>
        </w:tc>
        <w:tc>
          <w:tcPr>
            <w:tcW w:w="483" w:type="dxa"/>
            <w:vAlign w:val="center"/>
          </w:tcPr>
          <w:p w14:paraId="3A7AD922">
            <w:pPr>
              <w:suppressAutoHyphens/>
              <w:adjustRightInd w:val="0"/>
              <w:snapToGrid w:val="0"/>
              <w:spacing w:line="300" w:lineRule="exact"/>
              <w:jc w:val="center"/>
              <w:rPr>
                <w:kern w:val="2"/>
                <w:sz w:val="20"/>
                <w:szCs w:val="20"/>
              </w:rPr>
            </w:pPr>
          </w:p>
        </w:tc>
      </w:tr>
      <w:tr w14:paraId="32CC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14:paraId="3939F215">
            <w:pPr>
              <w:suppressAutoHyphens/>
              <w:adjustRightInd w:val="0"/>
              <w:snapToGrid w:val="0"/>
              <w:spacing w:line="300" w:lineRule="exact"/>
              <w:jc w:val="center"/>
              <w:rPr>
                <w:rFonts w:eastAsia="方正黑体_GBK"/>
                <w:sz w:val="24"/>
              </w:rPr>
            </w:pPr>
            <w:r>
              <w:rPr>
                <w:rFonts w:hint="eastAsia" w:eastAsia="方正黑体_GBK"/>
                <w:sz w:val="24"/>
              </w:rPr>
              <w:t>7</w:t>
            </w:r>
          </w:p>
        </w:tc>
        <w:tc>
          <w:tcPr>
            <w:tcW w:w="2239" w:type="dxa"/>
            <w:vAlign w:val="center"/>
          </w:tcPr>
          <w:p w14:paraId="6469964A">
            <w:pPr>
              <w:suppressAutoHyphens/>
              <w:adjustRightInd w:val="0"/>
              <w:snapToGrid w:val="0"/>
              <w:spacing w:line="300" w:lineRule="exact"/>
              <w:rPr>
                <w:kern w:val="2"/>
                <w:sz w:val="24"/>
              </w:rPr>
            </w:pPr>
            <w:r>
              <w:rPr>
                <w:rFonts w:hint="eastAsia"/>
                <w:sz w:val="24"/>
              </w:rPr>
              <w:t>地下“有限空间”安全监测整治</w:t>
            </w:r>
          </w:p>
        </w:tc>
        <w:tc>
          <w:tcPr>
            <w:tcW w:w="1200" w:type="dxa"/>
            <w:vAlign w:val="center"/>
          </w:tcPr>
          <w:p w14:paraId="768914DB">
            <w:pPr>
              <w:suppressAutoHyphens/>
              <w:adjustRightInd w:val="0"/>
              <w:snapToGrid w:val="0"/>
              <w:spacing w:line="300" w:lineRule="exact"/>
              <w:jc w:val="center"/>
              <w:rPr>
                <w:kern w:val="2"/>
                <w:sz w:val="24"/>
              </w:rPr>
            </w:pPr>
            <w:r>
              <w:rPr>
                <w:sz w:val="24"/>
              </w:rPr>
              <w:t>县住房城乡建委</w:t>
            </w:r>
          </w:p>
        </w:tc>
        <w:tc>
          <w:tcPr>
            <w:tcW w:w="1179" w:type="dxa"/>
            <w:vAlign w:val="center"/>
          </w:tcPr>
          <w:p w14:paraId="288C3B2D">
            <w:pPr>
              <w:suppressAutoHyphens/>
              <w:adjustRightInd w:val="0"/>
              <w:snapToGrid w:val="0"/>
              <w:spacing w:line="300" w:lineRule="exact"/>
              <w:jc w:val="center"/>
              <w:rPr>
                <w:kern w:val="2"/>
                <w:sz w:val="24"/>
              </w:rPr>
            </w:pPr>
          </w:p>
        </w:tc>
        <w:tc>
          <w:tcPr>
            <w:tcW w:w="5378" w:type="dxa"/>
            <w:vAlign w:val="center"/>
          </w:tcPr>
          <w:p w14:paraId="7AD7E7F9">
            <w:pPr>
              <w:suppressAutoHyphens/>
              <w:adjustRightInd w:val="0"/>
              <w:snapToGrid w:val="0"/>
              <w:spacing w:line="300" w:lineRule="exact"/>
              <w:rPr>
                <w:kern w:val="2"/>
                <w:sz w:val="24"/>
              </w:rPr>
            </w:pPr>
            <w:r>
              <w:rPr>
                <w:sz w:val="24"/>
              </w:rPr>
              <w:t>完成200个窨井盖异响、破损等问题整治。</w:t>
            </w:r>
          </w:p>
        </w:tc>
        <w:tc>
          <w:tcPr>
            <w:tcW w:w="1246" w:type="dxa"/>
            <w:vAlign w:val="center"/>
          </w:tcPr>
          <w:p w14:paraId="15DF3F58">
            <w:pPr>
              <w:suppressAutoHyphens/>
              <w:adjustRightInd w:val="0"/>
              <w:snapToGrid w:val="0"/>
              <w:spacing w:line="300" w:lineRule="exact"/>
              <w:jc w:val="center"/>
              <w:rPr>
                <w:sz w:val="24"/>
              </w:rPr>
            </w:pPr>
            <w:r>
              <w:rPr>
                <w:sz w:val="24"/>
              </w:rPr>
              <w:t>8</w:t>
            </w:r>
          </w:p>
        </w:tc>
        <w:tc>
          <w:tcPr>
            <w:tcW w:w="969" w:type="dxa"/>
            <w:vAlign w:val="center"/>
          </w:tcPr>
          <w:p w14:paraId="0D6CCEA2">
            <w:pPr>
              <w:suppressAutoHyphens/>
              <w:adjustRightInd w:val="0"/>
              <w:snapToGrid w:val="0"/>
              <w:spacing w:line="300" w:lineRule="exact"/>
              <w:jc w:val="center"/>
              <w:rPr>
                <w:sz w:val="24"/>
              </w:rPr>
            </w:pPr>
            <w:r>
              <w:rPr>
                <w:rFonts w:hint="eastAsia"/>
                <w:sz w:val="24"/>
              </w:rPr>
              <w:t>0</w:t>
            </w:r>
          </w:p>
        </w:tc>
        <w:tc>
          <w:tcPr>
            <w:tcW w:w="1062" w:type="dxa"/>
            <w:vAlign w:val="center"/>
          </w:tcPr>
          <w:p w14:paraId="54A23A54">
            <w:pPr>
              <w:suppressAutoHyphens/>
              <w:adjustRightInd w:val="0"/>
              <w:snapToGrid w:val="0"/>
              <w:spacing w:line="300" w:lineRule="exact"/>
              <w:jc w:val="center"/>
              <w:rPr>
                <w:sz w:val="24"/>
              </w:rPr>
            </w:pPr>
            <w:r>
              <w:rPr>
                <w:sz w:val="24"/>
              </w:rPr>
              <w:t>8</w:t>
            </w:r>
          </w:p>
        </w:tc>
        <w:tc>
          <w:tcPr>
            <w:tcW w:w="830" w:type="dxa"/>
            <w:vAlign w:val="center"/>
          </w:tcPr>
          <w:p w14:paraId="3A706F2B">
            <w:pPr>
              <w:suppressAutoHyphens/>
              <w:adjustRightInd w:val="0"/>
              <w:snapToGrid w:val="0"/>
              <w:spacing w:line="300" w:lineRule="exact"/>
              <w:jc w:val="center"/>
              <w:rPr>
                <w:sz w:val="24"/>
              </w:rPr>
            </w:pPr>
            <w:r>
              <w:rPr>
                <w:rFonts w:hint="eastAsia"/>
                <w:sz w:val="24"/>
              </w:rPr>
              <w:t>0</w:t>
            </w:r>
          </w:p>
        </w:tc>
        <w:tc>
          <w:tcPr>
            <w:tcW w:w="718" w:type="dxa"/>
            <w:vAlign w:val="center"/>
          </w:tcPr>
          <w:p w14:paraId="12D3F359">
            <w:pPr>
              <w:suppressAutoHyphens/>
              <w:adjustRightInd w:val="0"/>
              <w:snapToGrid w:val="0"/>
              <w:spacing w:line="300" w:lineRule="exact"/>
              <w:jc w:val="center"/>
              <w:rPr>
                <w:sz w:val="24"/>
              </w:rPr>
            </w:pPr>
            <w:r>
              <w:rPr>
                <w:rFonts w:hint="eastAsia"/>
                <w:sz w:val="24"/>
              </w:rPr>
              <w:t>0</w:t>
            </w:r>
          </w:p>
        </w:tc>
        <w:tc>
          <w:tcPr>
            <w:tcW w:w="483" w:type="dxa"/>
            <w:vAlign w:val="center"/>
          </w:tcPr>
          <w:p w14:paraId="05EAD19D">
            <w:pPr>
              <w:suppressAutoHyphens/>
              <w:adjustRightInd w:val="0"/>
              <w:snapToGrid w:val="0"/>
              <w:spacing w:line="300" w:lineRule="exact"/>
              <w:jc w:val="center"/>
              <w:rPr>
                <w:kern w:val="2"/>
                <w:sz w:val="20"/>
                <w:szCs w:val="20"/>
              </w:rPr>
            </w:pPr>
          </w:p>
        </w:tc>
      </w:tr>
      <w:tr w14:paraId="7CF4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15" w:type="dxa"/>
            <w:vAlign w:val="center"/>
          </w:tcPr>
          <w:p w14:paraId="5115CCF9">
            <w:pPr>
              <w:suppressAutoHyphens/>
              <w:adjustRightInd w:val="0"/>
              <w:snapToGrid w:val="0"/>
              <w:spacing w:line="300" w:lineRule="exact"/>
              <w:jc w:val="center"/>
              <w:rPr>
                <w:rFonts w:eastAsia="方正黑体_GBK"/>
                <w:sz w:val="24"/>
              </w:rPr>
            </w:pPr>
            <w:r>
              <w:rPr>
                <w:rFonts w:hint="eastAsia" w:eastAsia="方正黑体_GBK"/>
                <w:sz w:val="24"/>
              </w:rPr>
              <w:t>8</w:t>
            </w:r>
          </w:p>
        </w:tc>
        <w:tc>
          <w:tcPr>
            <w:tcW w:w="2239" w:type="dxa"/>
            <w:vAlign w:val="center"/>
          </w:tcPr>
          <w:p w14:paraId="2AA9C718">
            <w:pPr>
              <w:suppressAutoHyphens/>
              <w:adjustRightInd w:val="0"/>
              <w:snapToGrid w:val="0"/>
              <w:spacing w:line="300" w:lineRule="exact"/>
              <w:rPr>
                <w:kern w:val="2"/>
                <w:sz w:val="24"/>
              </w:rPr>
            </w:pPr>
            <w:r>
              <w:rPr>
                <w:rFonts w:hint="eastAsia"/>
                <w:sz w:val="24"/>
              </w:rPr>
              <w:t>开展青少年心理健康教育</w:t>
            </w:r>
          </w:p>
        </w:tc>
        <w:tc>
          <w:tcPr>
            <w:tcW w:w="1200" w:type="dxa"/>
            <w:vAlign w:val="center"/>
          </w:tcPr>
          <w:p w14:paraId="103EC4B4">
            <w:pPr>
              <w:suppressAutoHyphens/>
              <w:adjustRightInd w:val="0"/>
              <w:snapToGrid w:val="0"/>
              <w:spacing w:line="300" w:lineRule="exact"/>
              <w:jc w:val="center"/>
              <w:rPr>
                <w:kern w:val="2"/>
                <w:sz w:val="24"/>
              </w:rPr>
            </w:pPr>
            <w:r>
              <w:rPr>
                <w:rFonts w:hint="eastAsia"/>
                <w:sz w:val="24"/>
              </w:rPr>
              <w:t>县教委</w:t>
            </w:r>
          </w:p>
        </w:tc>
        <w:tc>
          <w:tcPr>
            <w:tcW w:w="1179" w:type="dxa"/>
            <w:vAlign w:val="center"/>
          </w:tcPr>
          <w:p w14:paraId="071052C4">
            <w:pPr>
              <w:suppressAutoHyphens/>
              <w:adjustRightInd w:val="0"/>
              <w:snapToGrid w:val="0"/>
              <w:spacing w:line="300" w:lineRule="exact"/>
              <w:jc w:val="center"/>
              <w:rPr>
                <w:kern w:val="2"/>
                <w:sz w:val="24"/>
              </w:rPr>
            </w:pPr>
            <w:r>
              <w:rPr>
                <w:rFonts w:hint="eastAsia"/>
                <w:sz w:val="24"/>
              </w:rPr>
              <w:t>县卫生健康委、县民政局</w:t>
            </w:r>
          </w:p>
        </w:tc>
        <w:tc>
          <w:tcPr>
            <w:tcW w:w="5378" w:type="dxa"/>
            <w:vAlign w:val="center"/>
          </w:tcPr>
          <w:p w14:paraId="1B541A07">
            <w:pPr>
              <w:suppressAutoHyphens/>
              <w:adjustRightInd w:val="0"/>
              <w:snapToGrid w:val="0"/>
              <w:spacing w:line="300" w:lineRule="exact"/>
              <w:rPr>
                <w:sz w:val="24"/>
              </w:rPr>
            </w:pPr>
            <w:r>
              <w:rPr>
                <w:rFonts w:hint="eastAsia"/>
                <w:sz w:val="24"/>
              </w:rPr>
              <w:t>持续在中小学开展青少年心理健康教育活动，每学年面向小学高年级、初中、高中、中等职业学校等学生至少开展1次心理健康测评。青少年心理健康核心知识知晓率达到80%以上。实施“童心相伴”困境留守儿童心理健康关爱服务项目，心理健康团辅覆盖490名困境留守儿童。在县精神卫生中心开设儿童青少年精神（心理）门诊，培训儿童青少年心理危机干预骨干44人。</w:t>
            </w:r>
          </w:p>
        </w:tc>
        <w:tc>
          <w:tcPr>
            <w:tcW w:w="1246" w:type="dxa"/>
            <w:vAlign w:val="center"/>
          </w:tcPr>
          <w:p w14:paraId="3521D188">
            <w:pPr>
              <w:suppressAutoHyphens/>
              <w:adjustRightInd w:val="0"/>
              <w:snapToGrid w:val="0"/>
              <w:spacing w:line="300" w:lineRule="exact"/>
              <w:jc w:val="center"/>
              <w:rPr>
                <w:sz w:val="24"/>
              </w:rPr>
            </w:pPr>
            <w:r>
              <w:rPr>
                <w:rFonts w:hint="eastAsia"/>
                <w:sz w:val="24"/>
              </w:rPr>
              <w:t>5</w:t>
            </w:r>
          </w:p>
        </w:tc>
        <w:tc>
          <w:tcPr>
            <w:tcW w:w="969" w:type="dxa"/>
            <w:vAlign w:val="center"/>
          </w:tcPr>
          <w:p w14:paraId="29634DCF">
            <w:pPr>
              <w:suppressAutoHyphens/>
              <w:adjustRightInd w:val="0"/>
              <w:snapToGrid w:val="0"/>
              <w:spacing w:line="300" w:lineRule="exact"/>
              <w:jc w:val="center"/>
              <w:rPr>
                <w:sz w:val="24"/>
              </w:rPr>
            </w:pPr>
            <w:r>
              <w:rPr>
                <w:rFonts w:hint="eastAsia"/>
                <w:sz w:val="24"/>
              </w:rPr>
              <w:t>0</w:t>
            </w:r>
          </w:p>
        </w:tc>
        <w:tc>
          <w:tcPr>
            <w:tcW w:w="1062" w:type="dxa"/>
            <w:vAlign w:val="center"/>
          </w:tcPr>
          <w:p w14:paraId="2DE2618D">
            <w:pPr>
              <w:suppressAutoHyphens/>
              <w:adjustRightInd w:val="0"/>
              <w:snapToGrid w:val="0"/>
              <w:spacing w:line="300" w:lineRule="exact"/>
              <w:jc w:val="center"/>
              <w:rPr>
                <w:sz w:val="24"/>
              </w:rPr>
            </w:pPr>
            <w:r>
              <w:rPr>
                <w:rFonts w:hint="eastAsia"/>
                <w:sz w:val="24"/>
              </w:rPr>
              <w:t>5</w:t>
            </w:r>
          </w:p>
        </w:tc>
        <w:tc>
          <w:tcPr>
            <w:tcW w:w="830" w:type="dxa"/>
            <w:vAlign w:val="center"/>
          </w:tcPr>
          <w:p w14:paraId="33436EC9">
            <w:pPr>
              <w:suppressAutoHyphens/>
              <w:adjustRightInd w:val="0"/>
              <w:snapToGrid w:val="0"/>
              <w:spacing w:line="300" w:lineRule="exact"/>
              <w:jc w:val="center"/>
              <w:rPr>
                <w:sz w:val="24"/>
              </w:rPr>
            </w:pPr>
            <w:r>
              <w:rPr>
                <w:rFonts w:hint="eastAsia"/>
                <w:sz w:val="24"/>
              </w:rPr>
              <w:t>0</w:t>
            </w:r>
          </w:p>
        </w:tc>
        <w:tc>
          <w:tcPr>
            <w:tcW w:w="718" w:type="dxa"/>
            <w:vAlign w:val="center"/>
          </w:tcPr>
          <w:p w14:paraId="6BDD0038">
            <w:pPr>
              <w:suppressAutoHyphens/>
              <w:adjustRightInd w:val="0"/>
              <w:snapToGrid w:val="0"/>
              <w:spacing w:line="300" w:lineRule="exact"/>
              <w:jc w:val="center"/>
              <w:rPr>
                <w:sz w:val="24"/>
              </w:rPr>
            </w:pPr>
            <w:r>
              <w:rPr>
                <w:rFonts w:hint="eastAsia"/>
                <w:sz w:val="24"/>
              </w:rPr>
              <w:t>0</w:t>
            </w:r>
          </w:p>
        </w:tc>
        <w:tc>
          <w:tcPr>
            <w:tcW w:w="483" w:type="dxa"/>
            <w:vAlign w:val="center"/>
          </w:tcPr>
          <w:p w14:paraId="2636D006">
            <w:pPr>
              <w:suppressAutoHyphens/>
              <w:adjustRightInd w:val="0"/>
              <w:snapToGrid w:val="0"/>
              <w:spacing w:line="300" w:lineRule="exact"/>
              <w:jc w:val="center"/>
              <w:rPr>
                <w:kern w:val="2"/>
                <w:sz w:val="20"/>
                <w:szCs w:val="20"/>
              </w:rPr>
            </w:pPr>
          </w:p>
        </w:tc>
      </w:tr>
      <w:tr w14:paraId="76A2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5" w:type="dxa"/>
            <w:vAlign w:val="center"/>
          </w:tcPr>
          <w:p w14:paraId="005BCD40">
            <w:pPr>
              <w:suppressAutoHyphens/>
              <w:adjustRightInd w:val="0"/>
              <w:snapToGrid w:val="0"/>
              <w:spacing w:line="300" w:lineRule="exact"/>
              <w:jc w:val="center"/>
              <w:rPr>
                <w:rFonts w:eastAsia="方正黑体_GBK"/>
                <w:sz w:val="24"/>
              </w:rPr>
            </w:pPr>
            <w:r>
              <w:rPr>
                <w:rFonts w:hint="eastAsia" w:eastAsia="方正黑体_GBK"/>
                <w:sz w:val="24"/>
              </w:rPr>
              <w:t>9</w:t>
            </w:r>
          </w:p>
        </w:tc>
        <w:tc>
          <w:tcPr>
            <w:tcW w:w="2239" w:type="dxa"/>
            <w:vAlign w:val="center"/>
          </w:tcPr>
          <w:p w14:paraId="23F51C7A">
            <w:pPr>
              <w:suppressAutoHyphens/>
              <w:adjustRightInd w:val="0"/>
              <w:snapToGrid w:val="0"/>
              <w:spacing w:line="300" w:lineRule="exact"/>
              <w:rPr>
                <w:kern w:val="2"/>
                <w:sz w:val="24"/>
              </w:rPr>
            </w:pPr>
            <w:r>
              <w:rPr>
                <w:rFonts w:hint="eastAsia"/>
                <w:kern w:val="2"/>
                <w:sz w:val="24"/>
              </w:rPr>
              <w:t>建设城市公园</w:t>
            </w:r>
          </w:p>
        </w:tc>
        <w:tc>
          <w:tcPr>
            <w:tcW w:w="1200" w:type="dxa"/>
            <w:vAlign w:val="center"/>
          </w:tcPr>
          <w:p w14:paraId="4B6029BA">
            <w:pPr>
              <w:suppressAutoHyphens/>
              <w:adjustRightInd w:val="0"/>
              <w:snapToGrid w:val="0"/>
              <w:spacing w:line="300" w:lineRule="exact"/>
              <w:jc w:val="center"/>
              <w:rPr>
                <w:kern w:val="2"/>
                <w:sz w:val="24"/>
              </w:rPr>
            </w:pPr>
            <w:r>
              <w:rPr>
                <w:sz w:val="24"/>
              </w:rPr>
              <w:t>县住房城乡建委</w:t>
            </w:r>
          </w:p>
        </w:tc>
        <w:tc>
          <w:tcPr>
            <w:tcW w:w="1179" w:type="dxa"/>
            <w:vAlign w:val="center"/>
          </w:tcPr>
          <w:p w14:paraId="493C0209">
            <w:pPr>
              <w:suppressAutoHyphens/>
              <w:adjustRightInd w:val="0"/>
              <w:snapToGrid w:val="0"/>
              <w:spacing w:line="300" w:lineRule="exact"/>
              <w:jc w:val="center"/>
              <w:rPr>
                <w:kern w:val="2"/>
                <w:sz w:val="24"/>
              </w:rPr>
            </w:pPr>
          </w:p>
        </w:tc>
        <w:tc>
          <w:tcPr>
            <w:tcW w:w="5378" w:type="dxa"/>
            <w:vAlign w:val="center"/>
          </w:tcPr>
          <w:p w14:paraId="458DEACD">
            <w:pPr>
              <w:suppressAutoHyphens/>
              <w:adjustRightInd w:val="0"/>
              <w:snapToGrid w:val="0"/>
              <w:spacing w:line="300" w:lineRule="exact"/>
              <w:rPr>
                <w:kern w:val="2"/>
                <w:sz w:val="24"/>
              </w:rPr>
            </w:pPr>
            <w:r>
              <w:rPr>
                <w:rFonts w:hint="eastAsia"/>
                <w:b/>
                <w:bCs/>
                <w:kern w:val="2"/>
                <w:sz w:val="24"/>
              </w:rPr>
              <w:t>建设城市公园：</w:t>
            </w:r>
            <w:r>
              <w:rPr>
                <w:rFonts w:hint="eastAsia"/>
                <w:kern w:val="2"/>
                <w:sz w:val="24"/>
              </w:rPr>
              <w:t>新建和平健身广场、政务中心微公园、陈家山微公园3个口袋公园，改善人居环境，完善市民休闲空间，完成投资150万元。</w:t>
            </w:r>
          </w:p>
          <w:p w14:paraId="074776D7">
            <w:pPr>
              <w:suppressAutoHyphens/>
              <w:adjustRightInd w:val="0"/>
              <w:snapToGrid w:val="0"/>
              <w:spacing w:line="300" w:lineRule="exact"/>
              <w:rPr>
                <w:kern w:val="2"/>
                <w:sz w:val="24"/>
              </w:rPr>
            </w:pPr>
            <w:r>
              <w:rPr>
                <w:rFonts w:hint="eastAsia"/>
                <w:b/>
                <w:bCs/>
                <w:kern w:val="2"/>
                <w:sz w:val="24"/>
              </w:rPr>
              <w:t>建设城市公厕：</w:t>
            </w:r>
            <w:r>
              <w:rPr>
                <w:sz w:val="24"/>
              </w:rPr>
              <w:t>新建</w:t>
            </w:r>
            <w:r>
              <w:rPr>
                <w:rFonts w:hint="eastAsia"/>
                <w:sz w:val="24"/>
              </w:rPr>
              <w:t>碧桂园</w:t>
            </w:r>
            <w:r>
              <w:rPr>
                <w:sz w:val="24"/>
              </w:rPr>
              <w:t>、</w:t>
            </w:r>
            <w:r>
              <w:rPr>
                <w:rFonts w:hint="eastAsia"/>
                <w:sz w:val="24"/>
              </w:rPr>
              <w:t>盐井潭2</w:t>
            </w:r>
            <w:r>
              <w:rPr>
                <w:sz w:val="24"/>
              </w:rPr>
              <w:t>座城市公厕</w:t>
            </w:r>
            <w:r>
              <w:rPr>
                <w:rFonts w:hint="eastAsia"/>
                <w:sz w:val="24"/>
              </w:rPr>
              <w:t>，改建水晶郦城1座</w:t>
            </w:r>
            <w:r>
              <w:rPr>
                <w:sz w:val="24"/>
              </w:rPr>
              <w:t>城市公厕</w:t>
            </w:r>
            <w:r>
              <w:rPr>
                <w:rFonts w:hint="eastAsia"/>
                <w:sz w:val="24"/>
              </w:rPr>
              <w:t>，完成投资150万元。</w:t>
            </w:r>
          </w:p>
        </w:tc>
        <w:tc>
          <w:tcPr>
            <w:tcW w:w="1246" w:type="dxa"/>
            <w:vAlign w:val="center"/>
          </w:tcPr>
          <w:p w14:paraId="759C9D0B">
            <w:pPr>
              <w:suppressAutoHyphens/>
              <w:adjustRightInd w:val="0"/>
              <w:snapToGrid w:val="0"/>
              <w:spacing w:line="300" w:lineRule="exact"/>
              <w:jc w:val="center"/>
              <w:rPr>
                <w:sz w:val="24"/>
              </w:rPr>
            </w:pPr>
            <w:r>
              <w:rPr>
                <w:rFonts w:hint="eastAsia"/>
                <w:sz w:val="24"/>
              </w:rPr>
              <w:t>300</w:t>
            </w:r>
          </w:p>
        </w:tc>
        <w:tc>
          <w:tcPr>
            <w:tcW w:w="969" w:type="dxa"/>
            <w:vAlign w:val="center"/>
          </w:tcPr>
          <w:p w14:paraId="304277BC">
            <w:pPr>
              <w:suppressAutoHyphens/>
              <w:adjustRightInd w:val="0"/>
              <w:snapToGrid w:val="0"/>
              <w:spacing w:line="300" w:lineRule="exact"/>
              <w:jc w:val="center"/>
              <w:rPr>
                <w:sz w:val="24"/>
              </w:rPr>
            </w:pPr>
            <w:r>
              <w:rPr>
                <w:rFonts w:hint="eastAsia"/>
                <w:sz w:val="24"/>
              </w:rPr>
              <w:t>0</w:t>
            </w:r>
          </w:p>
        </w:tc>
        <w:tc>
          <w:tcPr>
            <w:tcW w:w="1062" w:type="dxa"/>
            <w:vAlign w:val="center"/>
          </w:tcPr>
          <w:p w14:paraId="5BD7871D">
            <w:pPr>
              <w:suppressAutoHyphens/>
              <w:adjustRightInd w:val="0"/>
              <w:snapToGrid w:val="0"/>
              <w:spacing w:line="300" w:lineRule="exact"/>
              <w:jc w:val="center"/>
              <w:rPr>
                <w:sz w:val="24"/>
              </w:rPr>
            </w:pPr>
            <w:r>
              <w:rPr>
                <w:rFonts w:hint="eastAsia"/>
                <w:sz w:val="24"/>
              </w:rPr>
              <w:t>300</w:t>
            </w:r>
          </w:p>
        </w:tc>
        <w:tc>
          <w:tcPr>
            <w:tcW w:w="830" w:type="dxa"/>
            <w:vAlign w:val="center"/>
          </w:tcPr>
          <w:p w14:paraId="63FAF9F1">
            <w:pPr>
              <w:suppressAutoHyphens/>
              <w:adjustRightInd w:val="0"/>
              <w:snapToGrid w:val="0"/>
              <w:spacing w:line="300" w:lineRule="exact"/>
              <w:jc w:val="center"/>
              <w:rPr>
                <w:sz w:val="24"/>
              </w:rPr>
            </w:pPr>
            <w:r>
              <w:rPr>
                <w:rFonts w:hint="eastAsia"/>
                <w:sz w:val="24"/>
              </w:rPr>
              <w:t>0</w:t>
            </w:r>
          </w:p>
        </w:tc>
        <w:tc>
          <w:tcPr>
            <w:tcW w:w="718" w:type="dxa"/>
            <w:vAlign w:val="center"/>
          </w:tcPr>
          <w:p w14:paraId="47E99C1B">
            <w:pPr>
              <w:suppressAutoHyphens/>
              <w:adjustRightInd w:val="0"/>
              <w:snapToGrid w:val="0"/>
              <w:spacing w:line="300" w:lineRule="exact"/>
              <w:jc w:val="center"/>
              <w:rPr>
                <w:sz w:val="24"/>
              </w:rPr>
            </w:pPr>
            <w:r>
              <w:rPr>
                <w:rFonts w:hint="eastAsia"/>
                <w:sz w:val="24"/>
              </w:rPr>
              <w:t>0</w:t>
            </w:r>
          </w:p>
        </w:tc>
        <w:tc>
          <w:tcPr>
            <w:tcW w:w="483" w:type="dxa"/>
            <w:vAlign w:val="center"/>
          </w:tcPr>
          <w:p w14:paraId="0BC745D1">
            <w:pPr>
              <w:suppressAutoHyphens/>
              <w:adjustRightInd w:val="0"/>
              <w:snapToGrid w:val="0"/>
              <w:spacing w:line="300" w:lineRule="exact"/>
              <w:jc w:val="center"/>
              <w:rPr>
                <w:kern w:val="2"/>
                <w:sz w:val="20"/>
                <w:szCs w:val="20"/>
              </w:rPr>
            </w:pPr>
          </w:p>
        </w:tc>
      </w:tr>
      <w:tr w14:paraId="1D17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5" w:type="dxa"/>
            <w:vAlign w:val="center"/>
          </w:tcPr>
          <w:p w14:paraId="2E400AB6">
            <w:pPr>
              <w:suppressAutoHyphens/>
              <w:adjustRightInd w:val="0"/>
              <w:snapToGrid w:val="0"/>
              <w:spacing w:line="300" w:lineRule="exact"/>
              <w:jc w:val="center"/>
              <w:rPr>
                <w:rFonts w:eastAsia="方正黑体_GBK"/>
                <w:sz w:val="24"/>
              </w:rPr>
            </w:pPr>
            <w:r>
              <w:rPr>
                <w:rFonts w:hint="eastAsia" w:eastAsia="方正黑体_GBK"/>
                <w:sz w:val="24"/>
              </w:rPr>
              <w:t>10</w:t>
            </w:r>
          </w:p>
        </w:tc>
        <w:tc>
          <w:tcPr>
            <w:tcW w:w="2239" w:type="dxa"/>
            <w:vAlign w:val="center"/>
          </w:tcPr>
          <w:p w14:paraId="33156134">
            <w:pPr>
              <w:suppressAutoHyphens/>
              <w:adjustRightInd w:val="0"/>
              <w:snapToGrid w:val="0"/>
              <w:spacing w:line="300" w:lineRule="exact"/>
              <w:rPr>
                <w:kern w:val="2"/>
                <w:sz w:val="24"/>
              </w:rPr>
            </w:pPr>
            <w:r>
              <w:rPr>
                <w:rFonts w:hint="eastAsia"/>
                <w:sz w:val="24"/>
              </w:rPr>
              <w:t>开展残疾人关爱服务提升行动</w:t>
            </w:r>
          </w:p>
        </w:tc>
        <w:tc>
          <w:tcPr>
            <w:tcW w:w="1200" w:type="dxa"/>
            <w:vAlign w:val="center"/>
          </w:tcPr>
          <w:p w14:paraId="313DDAD4">
            <w:pPr>
              <w:suppressAutoHyphens/>
              <w:adjustRightInd w:val="0"/>
              <w:snapToGrid w:val="0"/>
              <w:spacing w:line="300" w:lineRule="exact"/>
              <w:jc w:val="center"/>
              <w:rPr>
                <w:kern w:val="2"/>
                <w:sz w:val="24"/>
              </w:rPr>
            </w:pPr>
            <w:r>
              <w:rPr>
                <w:rFonts w:hint="eastAsia"/>
                <w:sz w:val="24"/>
              </w:rPr>
              <w:t>县残联</w:t>
            </w:r>
          </w:p>
        </w:tc>
        <w:tc>
          <w:tcPr>
            <w:tcW w:w="1179" w:type="dxa"/>
            <w:vAlign w:val="center"/>
          </w:tcPr>
          <w:p w14:paraId="1C83F356">
            <w:pPr>
              <w:suppressAutoHyphens/>
              <w:adjustRightInd w:val="0"/>
              <w:snapToGrid w:val="0"/>
              <w:spacing w:line="300" w:lineRule="exact"/>
              <w:jc w:val="center"/>
              <w:rPr>
                <w:kern w:val="2"/>
                <w:sz w:val="24"/>
              </w:rPr>
            </w:pPr>
          </w:p>
        </w:tc>
        <w:tc>
          <w:tcPr>
            <w:tcW w:w="5378" w:type="dxa"/>
            <w:vAlign w:val="center"/>
          </w:tcPr>
          <w:p w14:paraId="2D1D0A74">
            <w:pPr>
              <w:suppressAutoHyphens/>
              <w:adjustRightInd w:val="0"/>
              <w:snapToGrid w:val="0"/>
              <w:spacing w:line="300" w:lineRule="exact"/>
              <w:rPr>
                <w:sz w:val="24"/>
              </w:rPr>
            </w:pPr>
            <w:r>
              <w:rPr>
                <w:spacing w:val="-6"/>
                <w:sz w:val="24"/>
              </w:rPr>
              <w:t>建设</w:t>
            </w:r>
            <w:r>
              <w:rPr>
                <w:rFonts w:hint="eastAsia"/>
                <w:spacing w:val="-6"/>
                <w:sz w:val="24"/>
              </w:rPr>
              <w:t>“</w:t>
            </w:r>
            <w:r>
              <w:rPr>
                <w:spacing w:val="-6"/>
                <w:sz w:val="24"/>
              </w:rPr>
              <w:t>渝馨家园</w:t>
            </w:r>
            <w:r>
              <w:rPr>
                <w:rFonts w:hint="eastAsia"/>
                <w:spacing w:val="-6"/>
                <w:sz w:val="24"/>
              </w:rPr>
              <w:t>”</w:t>
            </w:r>
            <w:r>
              <w:rPr>
                <w:spacing w:val="-6"/>
                <w:sz w:val="24"/>
              </w:rPr>
              <w:t>3家，新增残疾人就业15人，困难重度残疾人家庭无障碍改造53户，残疾儿童康复补助50人，残疾人辅助器具适配100人。</w:t>
            </w:r>
          </w:p>
        </w:tc>
        <w:tc>
          <w:tcPr>
            <w:tcW w:w="1246" w:type="dxa"/>
            <w:vAlign w:val="center"/>
          </w:tcPr>
          <w:p w14:paraId="259B16B4">
            <w:pPr>
              <w:suppressAutoHyphens/>
              <w:adjustRightInd w:val="0"/>
              <w:snapToGrid w:val="0"/>
              <w:spacing w:line="300" w:lineRule="exact"/>
              <w:jc w:val="center"/>
              <w:rPr>
                <w:sz w:val="24"/>
              </w:rPr>
            </w:pPr>
            <w:r>
              <w:rPr>
                <w:rFonts w:hint="eastAsia"/>
                <w:sz w:val="24"/>
              </w:rPr>
              <w:t>300</w:t>
            </w:r>
          </w:p>
        </w:tc>
        <w:tc>
          <w:tcPr>
            <w:tcW w:w="969" w:type="dxa"/>
            <w:vAlign w:val="center"/>
          </w:tcPr>
          <w:p w14:paraId="06A987B8">
            <w:pPr>
              <w:suppressAutoHyphens/>
              <w:adjustRightInd w:val="0"/>
              <w:snapToGrid w:val="0"/>
              <w:spacing w:line="300" w:lineRule="exact"/>
              <w:jc w:val="center"/>
              <w:rPr>
                <w:sz w:val="24"/>
              </w:rPr>
            </w:pPr>
            <w:r>
              <w:rPr>
                <w:rFonts w:hint="eastAsia"/>
                <w:sz w:val="24"/>
              </w:rPr>
              <w:t>300</w:t>
            </w:r>
          </w:p>
        </w:tc>
        <w:tc>
          <w:tcPr>
            <w:tcW w:w="1062" w:type="dxa"/>
            <w:vAlign w:val="center"/>
          </w:tcPr>
          <w:p w14:paraId="79FD2F01">
            <w:pPr>
              <w:suppressAutoHyphens/>
              <w:adjustRightInd w:val="0"/>
              <w:snapToGrid w:val="0"/>
              <w:spacing w:line="300" w:lineRule="exact"/>
              <w:jc w:val="center"/>
              <w:rPr>
                <w:sz w:val="24"/>
              </w:rPr>
            </w:pPr>
            <w:r>
              <w:rPr>
                <w:rFonts w:hint="eastAsia"/>
                <w:sz w:val="24"/>
              </w:rPr>
              <w:t>0</w:t>
            </w:r>
          </w:p>
        </w:tc>
        <w:tc>
          <w:tcPr>
            <w:tcW w:w="830" w:type="dxa"/>
            <w:vAlign w:val="center"/>
          </w:tcPr>
          <w:p w14:paraId="4E1BC94B">
            <w:pPr>
              <w:suppressAutoHyphens/>
              <w:adjustRightInd w:val="0"/>
              <w:snapToGrid w:val="0"/>
              <w:spacing w:line="300" w:lineRule="exact"/>
              <w:jc w:val="center"/>
              <w:rPr>
                <w:sz w:val="24"/>
              </w:rPr>
            </w:pPr>
            <w:r>
              <w:rPr>
                <w:rFonts w:hint="eastAsia"/>
                <w:sz w:val="24"/>
              </w:rPr>
              <w:t>0</w:t>
            </w:r>
          </w:p>
        </w:tc>
        <w:tc>
          <w:tcPr>
            <w:tcW w:w="718" w:type="dxa"/>
            <w:vAlign w:val="center"/>
          </w:tcPr>
          <w:p w14:paraId="5F97D084">
            <w:pPr>
              <w:suppressAutoHyphens/>
              <w:adjustRightInd w:val="0"/>
              <w:snapToGrid w:val="0"/>
              <w:spacing w:line="300" w:lineRule="exact"/>
              <w:jc w:val="center"/>
              <w:rPr>
                <w:sz w:val="24"/>
              </w:rPr>
            </w:pPr>
            <w:r>
              <w:rPr>
                <w:rFonts w:hint="eastAsia"/>
                <w:sz w:val="24"/>
              </w:rPr>
              <w:t>0</w:t>
            </w:r>
          </w:p>
        </w:tc>
        <w:tc>
          <w:tcPr>
            <w:tcW w:w="483" w:type="dxa"/>
            <w:vAlign w:val="center"/>
          </w:tcPr>
          <w:p w14:paraId="3D285228">
            <w:pPr>
              <w:suppressAutoHyphens/>
              <w:adjustRightInd w:val="0"/>
              <w:snapToGrid w:val="0"/>
              <w:spacing w:line="300" w:lineRule="exact"/>
              <w:jc w:val="center"/>
              <w:rPr>
                <w:kern w:val="2"/>
                <w:sz w:val="20"/>
                <w:szCs w:val="20"/>
              </w:rPr>
            </w:pPr>
          </w:p>
        </w:tc>
      </w:tr>
      <w:tr w14:paraId="24DE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15" w:type="dxa"/>
            <w:vAlign w:val="center"/>
          </w:tcPr>
          <w:p w14:paraId="460932FC">
            <w:pPr>
              <w:suppressAutoHyphens/>
              <w:adjustRightInd w:val="0"/>
              <w:snapToGrid w:val="0"/>
              <w:spacing w:line="300" w:lineRule="exact"/>
              <w:jc w:val="center"/>
              <w:rPr>
                <w:rFonts w:eastAsia="方正黑体_GBK"/>
                <w:sz w:val="24"/>
              </w:rPr>
            </w:pPr>
            <w:r>
              <w:rPr>
                <w:rFonts w:hint="eastAsia" w:eastAsia="方正黑体_GBK"/>
                <w:sz w:val="24"/>
              </w:rPr>
              <w:t>11</w:t>
            </w:r>
          </w:p>
        </w:tc>
        <w:tc>
          <w:tcPr>
            <w:tcW w:w="2239" w:type="dxa"/>
            <w:vAlign w:val="center"/>
          </w:tcPr>
          <w:p w14:paraId="3167F73A">
            <w:pPr>
              <w:suppressAutoHyphens/>
              <w:adjustRightInd w:val="0"/>
              <w:snapToGrid w:val="0"/>
              <w:spacing w:line="300" w:lineRule="exact"/>
              <w:rPr>
                <w:kern w:val="2"/>
                <w:sz w:val="24"/>
              </w:rPr>
            </w:pPr>
            <w:r>
              <w:rPr>
                <w:rFonts w:hint="eastAsia"/>
                <w:sz w:val="24"/>
              </w:rPr>
              <w:t>推进错时共享停车位建设</w:t>
            </w:r>
          </w:p>
        </w:tc>
        <w:tc>
          <w:tcPr>
            <w:tcW w:w="1200" w:type="dxa"/>
            <w:vAlign w:val="center"/>
          </w:tcPr>
          <w:p w14:paraId="715A52D4">
            <w:pPr>
              <w:suppressAutoHyphens/>
              <w:adjustRightInd w:val="0"/>
              <w:snapToGrid w:val="0"/>
              <w:spacing w:line="300" w:lineRule="exact"/>
              <w:jc w:val="center"/>
              <w:rPr>
                <w:kern w:val="2"/>
                <w:sz w:val="24"/>
              </w:rPr>
            </w:pPr>
            <w:r>
              <w:rPr>
                <w:sz w:val="24"/>
              </w:rPr>
              <w:t>县住房城乡建委</w:t>
            </w:r>
          </w:p>
        </w:tc>
        <w:tc>
          <w:tcPr>
            <w:tcW w:w="1179" w:type="dxa"/>
            <w:vAlign w:val="center"/>
          </w:tcPr>
          <w:p w14:paraId="19AED0C0">
            <w:pPr>
              <w:suppressAutoHyphens/>
              <w:adjustRightInd w:val="0"/>
              <w:snapToGrid w:val="0"/>
              <w:spacing w:line="300" w:lineRule="exact"/>
              <w:jc w:val="center"/>
              <w:rPr>
                <w:kern w:val="2"/>
                <w:sz w:val="24"/>
              </w:rPr>
            </w:pPr>
          </w:p>
        </w:tc>
        <w:tc>
          <w:tcPr>
            <w:tcW w:w="5378" w:type="dxa"/>
            <w:vAlign w:val="center"/>
          </w:tcPr>
          <w:p w14:paraId="3866771C">
            <w:pPr>
              <w:suppressAutoHyphens/>
              <w:adjustRightInd w:val="0"/>
              <w:snapToGrid w:val="0"/>
              <w:spacing w:line="300" w:lineRule="exact"/>
              <w:rPr>
                <w:rFonts w:eastAsia="宋体"/>
                <w:kern w:val="2"/>
                <w:sz w:val="21"/>
              </w:rPr>
            </w:pPr>
            <w:r>
              <w:rPr>
                <w:kern w:val="2"/>
                <w:sz w:val="24"/>
              </w:rPr>
              <w:t>推进具备安全管理条件的内部停车设施对外开放，机关、企事业单位率先采取错时共享、节假日免费使用等措施对外开放内部停车场，做到应开尽开，为居民创造良好的停车环境</w:t>
            </w:r>
            <w:r>
              <w:rPr>
                <w:rFonts w:hint="eastAsia"/>
                <w:kern w:val="2"/>
                <w:sz w:val="24"/>
              </w:rPr>
              <w:t>，</w:t>
            </w:r>
            <w:r>
              <w:rPr>
                <w:kern w:val="2"/>
                <w:sz w:val="24"/>
              </w:rPr>
              <w:t>新增</w:t>
            </w:r>
            <w:r>
              <w:rPr>
                <w:rFonts w:hint="eastAsia"/>
                <w:kern w:val="2"/>
                <w:sz w:val="24"/>
              </w:rPr>
              <w:t>“</w:t>
            </w:r>
            <w:r>
              <w:rPr>
                <w:kern w:val="2"/>
                <w:sz w:val="24"/>
              </w:rPr>
              <w:t>错时共享</w:t>
            </w:r>
            <w:r>
              <w:rPr>
                <w:rFonts w:hint="eastAsia"/>
                <w:kern w:val="2"/>
                <w:sz w:val="24"/>
              </w:rPr>
              <w:t>”</w:t>
            </w:r>
            <w:r>
              <w:rPr>
                <w:kern w:val="2"/>
                <w:sz w:val="24"/>
              </w:rPr>
              <w:t>停车泊位</w:t>
            </w:r>
            <w:r>
              <w:rPr>
                <w:rFonts w:hint="eastAsia"/>
                <w:kern w:val="2"/>
                <w:sz w:val="24"/>
              </w:rPr>
              <w:t>300</w:t>
            </w:r>
            <w:r>
              <w:rPr>
                <w:kern w:val="2"/>
                <w:sz w:val="24"/>
              </w:rPr>
              <w:t>个。</w:t>
            </w:r>
          </w:p>
        </w:tc>
        <w:tc>
          <w:tcPr>
            <w:tcW w:w="1246" w:type="dxa"/>
            <w:vAlign w:val="center"/>
          </w:tcPr>
          <w:p w14:paraId="2945391A">
            <w:pPr>
              <w:suppressAutoHyphens/>
              <w:adjustRightInd w:val="0"/>
              <w:snapToGrid w:val="0"/>
              <w:spacing w:line="300" w:lineRule="exact"/>
              <w:jc w:val="center"/>
              <w:rPr>
                <w:sz w:val="24"/>
              </w:rPr>
            </w:pPr>
            <w:r>
              <w:rPr>
                <w:rFonts w:hint="eastAsia"/>
                <w:sz w:val="24"/>
              </w:rPr>
              <w:t>10</w:t>
            </w:r>
          </w:p>
        </w:tc>
        <w:tc>
          <w:tcPr>
            <w:tcW w:w="969" w:type="dxa"/>
            <w:vAlign w:val="center"/>
          </w:tcPr>
          <w:p w14:paraId="1FDE0D60">
            <w:pPr>
              <w:suppressAutoHyphens/>
              <w:adjustRightInd w:val="0"/>
              <w:snapToGrid w:val="0"/>
              <w:spacing w:line="300" w:lineRule="exact"/>
              <w:jc w:val="center"/>
              <w:rPr>
                <w:sz w:val="24"/>
              </w:rPr>
            </w:pPr>
            <w:r>
              <w:rPr>
                <w:rFonts w:hint="eastAsia"/>
                <w:sz w:val="24"/>
              </w:rPr>
              <w:t>0</w:t>
            </w:r>
          </w:p>
        </w:tc>
        <w:tc>
          <w:tcPr>
            <w:tcW w:w="1062" w:type="dxa"/>
            <w:vAlign w:val="center"/>
          </w:tcPr>
          <w:p w14:paraId="2B76D038">
            <w:pPr>
              <w:suppressAutoHyphens/>
              <w:adjustRightInd w:val="0"/>
              <w:snapToGrid w:val="0"/>
              <w:spacing w:line="300" w:lineRule="exact"/>
              <w:jc w:val="center"/>
              <w:rPr>
                <w:sz w:val="24"/>
              </w:rPr>
            </w:pPr>
            <w:r>
              <w:rPr>
                <w:rFonts w:hint="eastAsia"/>
                <w:sz w:val="24"/>
              </w:rPr>
              <w:t>10</w:t>
            </w:r>
          </w:p>
        </w:tc>
        <w:tc>
          <w:tcPr>
            <w:tcW w:w="830" w:type="dxa"/>
            <w:vAlign w:val="center"/>
          </w:tcPr>
          <w:p w14:paraId="35729BEE">
            <w:pPr>
              <w:suppressAutoHyphens/>
              <w:adjustRightInd w:val="0"/>
              <w:snapToGrid w:val="0"/>
              <w:spacing w:line="300" w:lineRule="exact"/>
              <w:jc w:val="center"/>
              <w:rPr>
                <w:sz w:val="24"/>
              </w:rPr>
            </w:pPr>
            <w:r>
              <w:rPr>
                <w:rFonts w:hint="eastAsia"/>
                <w:sz w:val="24"/>
              </w:rPr>
              <w:t>0</w:t>
            </w:r>
          </w:p>
        </w:tc>
        <w:tc>
          <w:tcPr>
            <w:tcW w:w="718" w:type="dxa"/>
            <w:vAlign w:val="center"/>
          </w:tcPr>
          <w:p w14:paraId="1393B146">
            <w:pPr>
              <w:suppressAutoHyphens/>
              <w:adjustRightInd w:val="0"/>
              <w:snapToGrid w:val="0"/>
              <w:spacing w:line="300" w:lineRule="exact"/>
              <w:jc w:val="center"/>
              <w:rPr>
                <w:sz w:val="24"/>
              </w:rPr>
            </w:pPr>
            <w:r>
              <w:rPr>
                <w:rFonts w:hint="eastAsia"/>
                <w:sz w:val="24"/>
              </w:rPr>
              <w:t>0</w:t>
            </w:r>
          </w:p>
        </w:tc>
        <w:tc>
          <w:tcPr>
            <w:tcW w:w="483" w:type="dxa"/>
            <w:vAlign w:val="center"/>
          </w:tcPr>
          <w:p w14:paraId="17853FDD">
            <w:pPr>
              <w:suppressAutoHyphens/>
              <w:adjustRightInd w:val="0"/>
              <w:snapToGrid w:val="0"/>
              <w:spacing w:line="300" w:lineRule="exact"/>
              <w:jc w:val="center"/>
              <w:rPr>
                <w:kern w:val="2"/>
                <w:sz w:val="20"/>
                <w:szCs w:val="20"/>
              </w:rPr>
            </w:pPr>
          </w:p>
        </w:tc>
      </w:tr>
      <w:tr w14:paraId="6DC8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15" w:type="dxa"/>
            <w:vAlign w:val="center"/>
          </w:tcPr>
          <w:p w14:paraId="70F01794">
            <w:pPr>
              <w:suppressAutoHyphens/>
              <w:adjustRightInd w:val="0"/>
              <w:snapToGrid w:val="0"/>
              <w:spacing w:line="300" w:lineRule="exact"/>
              <w:jc w:val="center"/>
              <w:rPr>
                <w:rFonts w:eastAsia="方正黑体_GBK"/>
                <w:sz w:val="24"/>
              </w:rPr>
            </w:pPr>
            <w:r>
              <w:rPr>
                <w:rFonts w:hint="eastAsia" w:eastAsia="方正黑体_GBK"/>
                <w:sz w:val="24"/>
              </w:rPr>
              <w:t>12</w:t>
            </w:r>
          </w:p>
        </w:tc>
        <w:tc>
          <w:tcPr>
            <w:tcW w:w="2239" w:type="dxa"/>
            <w:vAlign w:val="center"/>
          </w:tcPr>
          <w:p w14:paraId="6794A7F5">
            <w:pPr>
              <w:suppressAutoHyphens/>
              <w:adjustRightInd w:val="0"/>
              <w:snapToGrid w:val="0"/>
              <w:spacing w:line="300" w:lineRule="exact"/>
              <w:rPr>
                <w:kern w:val="2"/>
                <w:sz w:val="24"/>
              </w:rPr>
            </w:pPr>
            <w:r>
              <w:rPr>
                <w:rFonts w:hint="eastAsia"/>
                <w:sz w:val="24"/>
              </w:rPr>
              <w:t>推进农村黑臭水体治理攻坚</w:t>
            </w:r>
          </w:p>
        </w:tc>
        <w:tc>
          <w:tcPr>
            <w:tcW w:w="1200" w:type="dxa"/>
            <w:vAlign w:val="center"/>
          </w:tcPr>
          <w:p w14:paraId="4FB41B92">
            <w:pPr>
              <w:suppressAutoHyphens/>
              <w:adjustRightInd w:val="0"/>
              <w:snapToGrid w:val="0"/>
              <w:spacing w:line="300" w:lineRule="exact"/>
              <w:jc w:val="center"/>
              <w:rPr>
                <w:kern w:val="2"/>
                <w:sz w:val="24"/>
              </w:rPr>
            </w:pPr>
            <w:r>
              <w:rPr>
                <w:rFonts w:hint="eastAsia"/>
                <w:sz w:val="24"/>
              </w:rPr>
              <w:t>县生态环境局</w:t>
            </w:r>
          </w:p>
        </w:tc>
        <w:tc>
          <w:tcPr>
            <w:tcW w:w="1179" w:type="dxa"/>
            <w:vAlign w:val="center"/>
          </w:tcPr>
          <w:p w14:paraId="6210ADB4">
            <w:pPr>
              <w:suppressAutoHyphens/>
              <w:adjustRightInd w:val="0"/>
              <w:snapToGrid w:val="0"/>
              <w:spacing w:line="300" w:lineRule="exact"/>
              <w:jc w:val="center"/>
              <w:rPr>
                <w:kern w:val="2"/>
                <w:sz w:val="24"/>
              </w:rPr>
            </w:pPr>
          </w:p>
        </w:tc>
        <w:tc>
          <w:tcPr>
            <w:tcW w:w="5378" w:type="dxa"/>
            <w:vAlign w:val="center"/>
          </w:tcPr>
          <w:p w14:paraId="7DB34809">
            <w:pPr>
              <w:suppressAutoHyphens/>
              <w:adjustRightInd w:val="0"/>
              <w:snapToGrid w:val="0"/>
              <w:spacing w:line="300" w:lineRule="exact"/>
              <w:rPr>
                <w:sz w:val="24"/>
              </w:rPr>
            </w:pPr>
            <w:r>
              <w:rPr>
                <w:sz w:val="24"/>
              </w:rPr>
              <w:t>开展农村黑臭水体攻坚行动，2024年完成城口县农村黑臭水体清零区县任务创建。</w:t>
            </w:r>
          </w:p>
        </w:tc>
        <w:tc>
          <w:tcPr>
            <w:tcW w:w="1246" w:type="dxa"/>
            <w:vAlign w:val="center"/>
          </w:tcPr>
          <w:p w14:paraId="16FC08FE">
            <w:pPr>
              <w:suppressAutoHyphens/>
              <w:adjustRightInd w:val="0"/>
              <w:snapToGrid w:val="0"/>
              <w:spacing w:line="300" w:lineRule="exact"/>
              <w:jc w:val="center"/>
              <w:rPr>
                <w:sz w:val="24"/>
              </w:rPr>
            </w:pPr>
            <w:r>
              <w:rPr>
                <w:rFonts w:hint="eastAsia"/>
                <w:sz w:val="24"/>
              </w:rPr>
              <w:t>500</w:t>
            </w:r>
          </w:p>
        </w:tc>
        <w:tc>
          <w:tcPr>
            <w:tcW w:w="969" w:type="dxa"/>
            <w:vAlign w:val="center"/>
          </w:tcPr>
          <w:p w14:paraId="18827C7A">
            <w:pPr>
              <w:suppressAutoHyphens/>
              <w:adjustRightInd w:val="0"/>
              <w:snapToGrid w:val="0"/>
              <w:spacing w:line="300" w:lineRule="exact"/>
              <w:jc w:val="center"/>
              <w:rPr>
                <w:sz w:val="24"/>
              </w:rPr>
            </w:pPr>
            <w:r>
              <w:rPr>
                <w:rFonts w:hint="eastAsia"/>
                <w:sz w:val="24"/>
              </w:rPr>
              <w:t>500</w:t>
            </w:r>
          </w:p>
        </w:tc>
        <w:tc>
          <w:tcPr>
            <w:tcW w:w="1062" w:type="dxa"/>
            <w:vAlign w:val="center"/>
          </w:tcPr>
          <w:p w14:paraId="0E62D2A3">
            <w:pPr>
              <w:suppressAutoHyphens/>
              <w:adjustRightInd w:val="0"/>
              <w:snapToGrid w:val="0"/>
              <w:spacing w:line="300" w:lineRule="exact"/>
              <w:jc w:val="center"/>
              <w:rPr>
                <w:sz w:val="24"/>
              </w:rPr>
            </w:pPr>
            <w:r>
              <w:rPr>
                <w:rFonts w:hint="eastAsia"/>
                <w:sz w:val="24"/>
              </w:rPr>
              <w:t>0</w:t>
            </w:r>
          </w:p>
        </w:tc>
        <w:tc>
          <w:tcPr>
            <w:tcW w:w="830" w:type="dxa"/>
            <w:vAlign w:val="center"/>
          </w:tcPr>
          <w:p w14:paraId="51D202A4">
            <w:pPr>
              <w:suppressAutoHyphens/>
              <w:adjustRightInd w:val="0"/>
              <w:snapToGrid w:val="0"/>
              <w:spacing w:line="300" w:lineRule="exact"/>
              <w:jc w:val="center"/>
              <w:rPr>
                <w:sz w:val="24"/>
              </w:rPr>
            </w:pPr>
            <w:r>
              <w:rPr>
                <w:rFonts w:hint="eastAsia"/>
                <w:sz w:val="24"/>
              </w:rPr>
              <w:t>0</w:t>
            </w:r>
          </w:p>
        </w:tc>
        <w:tc>
          <w:tcPr>
            <w:tcW w:w="718" w:type="dxa"/>
            <w:vAlign w:val="center"/>
          </w:tcPr>
          <w:p w14:paraId="22BD1B9B">
            <w:pPr>
              <w:suppressAutoHyphens/>
              <w:adjustRightInd w:val="0"/>
              <w:snapToGrid w:val="0"/>
              <w:spacing w:line="300" w:lineRule="exact"/>
              <w:jc w:val="center"/>
              <w:rPr>
                <w:sz w:val="24"/>
              </w:rPr>
            </w:pPr>
            <w:r>
              <w:rPr>
                <w:rFonts w:hint="eastAsia"/>
                <w:sz w:val="24"/>
              </w:rPr>
              <w:t>0</w:t>
            </w:r>
          </w:p>
        </w:tc>
        <w:tc>
          <w:tcPr>
            <w:tcW w:w="483" w:type="dxa"/>
            <w:vAlign w:val="center"/>
          </w:tcPr>
          <w:p w14:paraId="2DF75170">
            <w:pPr>
              <w:suppressAutoHyphens/>
              <w:adjustRightInd w:val="0"/>
              <w:snapToGrid w:val="0"/>
              <w:spacing w:line="300" w:lineRule="exact"/>
              <w:jc w:val="center"/>
              <w:rPr>
                <w:kern w:val="2"/>
                <w:sz w:val="20"/>
                <w:szCs w:val="20"/>
              </w:rPr>
            </w:pPr>
          </w:p>
        </w:tc>
      </w:tr>
      <w:tr w14:paraId="3613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15" w:type="dxa"/>
            <w:vAlign w:val="center"/>
          </w:tcPr>
          <w:p w14:paraId="61BB9D27">
            <w:pPr>
              <w:suppressAutoHyphens/>
              <w:adjustRightInd w:val="0"/>
              <w:snapToGrid w:val="0"/>
              <w:spacing w:line="300" w:lineRule="exact"/>
              <w:jc w:val="center"/>
              <w:rPr>
                <w:rFonts w:eastAsia="方正黑体_GBK"/>
                <w:sz w:val="24"/>
              </w:rPr>
            </w:pPr>
            <w:r>
              <w:rPr>
                <w:rFonts w:hint="eastAsia" w:eastAsia="方正黑体_GBK"/>
                <w:sz w:val="24"/>
              </w:rPr>
              <w:t>13</w:t>
            </w:r>
          </w:p>
        </w:tc>
        <w:tc>
          <w:tcPr>
            <w:tcW w:w="2239" w:type="dxa"/>
            <w:vAlign w:val="center"/>
          </w:tcPr>
          <w:p w14:paraId="3A1038A0">
            <w:pPr>
              <w:suppressAutoHyphens/>
              <w:adjustRightInd w:val="0"/>
              <w:snapToGrid w:val="0"/>
              <w:spacing w:line="300" w:lineRule="exact"/>
              <w:rPr>
                <w:sz w:val="24"/>
              </w:rPr>
            </w:pPr>
            <w:r>
              <w:rPr>
                <w:rFonts w:hint="eastAsia"/>
                <w:sz w:val="24"/>
              </w:rPr>
              <w:t>实施农业社会化服务惠农工程</w:t>
            </w:r>
          </w:p>
        </w:tc>
        <w:tc>
          <w:tcPr>
            <w:tcW w:w="1200" w:type="dxa"/>
            <w:vAlign w:val="center"/>
          </w:tcPr>
          <w:p w14:paraId="5F7436FD">
            <w:pPr>
              <w:suppressAutoHyphens/>
              <w:adjustRightInd w:val="0"/>
              <w:snapToGrid w:val="0"/>
              <w:spacing w:line="300" w:lineRule="exact"/>
              <w:jc w:val="center"/>
              <w:rPr>
                <w:sz w:val="24"/>
              </w:rPr>
            </w:pPr>
            <w:r>
              <w:rPr>
                <w:rFonts w:hint="eastAsia"/>
                <w:sz w:val="24"/>
              </w:rPr>
              <w:t>县农业农村委</w:t>
            </w:r>
          </w:p>
        </w:tc>
        <w:tc>
          <w:tcPr>
            <w:tcW w:w="1179" w:type="dxa"/>
            <w:vAlign w:val="center"/>
          </w:tcPr>
          <w:p w14:paraId="32432FE5">
            <w:pPr>
              <w:suppressAutoHyphens/>
              <w:adjustRightInd w:val="0"/>
              <w:snapToGrid w:val="0"/>
              <w:spacing w:line="300" w:lineRule="exact"/>
              <w:jc w:val="center"/>
              <w:rPr>
                <w:kern w:val="2"/>
                <w:sz w:val="24"/>
              </w:rPr>
            </w:pPr>
            <w:r>
              <w:rPr>
                <w:rFonts w:hint="eastAsia"/>
                <w:sz w:val="24"/>
              </w:rPr>
              <w:t>县供销社</w:t>
            </w:r>
          </w:p>
        </w:tc>
        <w:tc>
          <w:tcPr>
            <w:tcW w:w="5378" w:type="dxa"/>
            <w:vAlign w:val="center"/>
          </w:tcPr>
          <w:p w14:paraId="30A74FA9">
            <w:pPr>
              <w:suppressAutoHyphens/>
              <w:adjustRightInd w:val="0"/>
              <w:snapToGrid w:val="0"/>
              <w:spacing w:line="300" w:lineRule="exact"/>
              <w:rPr>
                <w:sz w:val="24"/>
              </w:rPr>
            </w:pPr>
            <w:r>
              <w:rPr>
                <w:rFonts w:hint="eastAsia"/>
                <w:sz w:val="24"/>
              </w:rPr>
              <w:t>聚焦服务小农户，将粮油作物生产耕、种、防、收薄弱环节服务作为重点内容，开展农业社会化服务29000亩。</w:t>
            </w:r>
          </w:p>
        </w:tc>
        <w:tc>
          <w:tcPr>
            <w:tcW w:w="1246" w:type="dxa"/>
            <w:vAlign w:val="center"/>
          </w:tcPr>
          <w:p w14:paraId="624758C8">
            <w:pPr>
              <w:suppressAutoHyphens/>
              <w:adjustRightInd w:val="0"/>
              <w:snapToGrid w:val="0"/>
              <w:spacing w:line="300" w:lineRule="exact"/>
              <w:jc w:val="center"/>
              <w:rPr>
                <w:sz w:val="24"/>
              </w:rPr>
            </w:pPr>
            <w:r>
              <w:rPr>
                <w:rFonts w:hint="eastAsia"/>
                <w:sz w:val="24"/>
              </w:rPr>
              <w:t>300</w:t>
            </w:r>
          </w:p>
        </w:tc>
        <w:tc>
          <w:tcPr>
            <w:tcW w:w="969" w:type="dxa"/>
            <w:vAlign w:val="center"/>
          </w:tcPr>
          <w:p w14:paraId="255D82E6">
            <w:pPr>
              <w:suppressAutoHyphens/>
              <w:adjustRightInd w:val="0"/>
              <w:snapToGrid w:val="0"/>
              <w:spacing w:line="300" w:lineRule="exact"/>
              <w:jc w:val="center"/>
              <w:rPr>
                <w:sz w:val="24"/>
              </w:rPr>
            </w:pPr>
            <w:r>
              <w:rPr>
                <w:rFonts w:hint="eastAsia"/>
                <w:sz w:val="24"/>
              </w:rPr>
              <w:t>300</w:t>
            </w:r>
          </w:p>
        </w:tc>
        <w:tc>
          <w:tcPr>
            <w:tcW w:w="1062" w:type="dxa"/>
            <w:vAlign w:val="center"/>
          </w:tcPr>
          <w:p w14:paraId="6AAD58F9">
            <w:pPr>
              <w:suppressAutoHyphens/>
              <w:adjustRightInd w:val="0"/>
              <w:snapToGrid w:val="0"/>
              <w:spacing w:line="300" w:lineRule="exact"/>
              <w:jc w:val="center"/>
              <w:rPr>
                <w:sz w:val="24"/>
              </w:rPr>
            </w:pPr>
            <w:r>
              <w:rPr>
                <w:rFonts w:hint="eastAsia"/>
                <w:sz w:val="24"/>
              </w:rPr>
              <w:t>0</w:t>
            </w:r>
          </w:p>
        </w:tc>
        <w:tc>
          <w:tcPr>
            <w:tcW w:w="830" w:type="dxa"/>
            <w:vAlign w:val="center"/>
          </w:tcPr>
          <w:p w14:paraId="0C38F4CE">
            <w:pPr>
              <w:suppressAutoHyphens/>
              <w:adjustRightInd w:val="0"/>
              <w:snapToGrid w:val="0"/>
              <w:spacing w:line="300" w:lineRule="exact"/>
              <w:jc w:val="center"/>
              <w:rPr>
                <w:sz w:val="24"/>
              </w:rPr>
            </w:pPr>
            <w:r>
              <w:rPr>
                <w:rFonts w:hint="eastAsia"/>
                <w:sz w:val="24"/>
              </w:rPr>
              <w:t>0</w:t>
            </w:r>
          </w:p>
        </w:tc>
        <w:tc>
          <w:tcPr>
            <w:tcW w:w="718" w:type="dxa"/>
            <w:vAlign w:val="center"/>
          </w:tcPr>
          <w:p w14:paraId="3C07C81F">
            <w:pPr>
              <w:suppressAutoHyphens/>
              <w:adjustRightInd w:val="0"/>
              <w:snapToGrid w:val="0"/>
              <w:spacing w:line="300" w:lineRule="exact"/>
              <w:jc w:val="center"/>
              <w:rPr>
                <w:sz w:val="24"/>
              </w:rPr>
            </w:pPr>
            <w:r>
              <w:rPr>
                <w:rFonts w:hint="eastAsia"/>
                <w:sz w:val="24"/>
              </w:rPr>
              <w:t>0</w:t>
            </w:r>
          </w:p>
        </w:tc>
        <w:tc>
          <w:tcPr>
            <w:tcW w:w="483" w:type="dxa"/>
            <w:vAlign w:val="center"/>
          </w:tcPr>
          <w:p w14:paraId="027333FA">
            <w:pPr>
              <w:suppressAutoHyphens/>
              <w:adjustRightInd w:val="0"/>
              <w:snapToGrid w:val="0"/>
              <w:spacing w:line="300" w:lineRule="exact"/>
              <w:jc w:val="center"/>
              <w:rPr>
                <w:kern w:val="2"/>
                <w:sz w:val="20"/>
                <w:szCs w:val="20"/>
              </w:rPr>
            </w:pPr>
          </w:p>
        </w:tc>
      </w:tr>
      <w:tr w14:paraId="756F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819" w:type="dxa"/>
            <w:gridSpan w:val="11"/>
            <w:vAlign w:val="center"/>
          </w:tcPr>
          <w:p w14:paraId="732A60B4">
            <w:pPr>
              <w:suppressAutoHyphens/>
              <w:adjustRightInd w:val="0"/>
              <w:snapToGrid w:val="0"/>
              <w:spacing w:line="360" w:lineRule="exact"/>
              <w:rPr>
                <w:rFonts w:eastAsia="方正黑体_GBK"/>
                <w:kern w:val="2"/>
                <w:szCs w:val="32"/>
              </w:rPr>
            </w:pPr>
            <w:r>
              <w:rPr>
                <w:rFonts w:eastAsia="方正黑体_GBK"/>
                <w:kern w:val="2"/>
                <w:szCs w:val="32"/>
              </w:rPr>
              <w:t>二、2024年县级重点民生实事</w:t>
            </w:r>
            <w:r>
              <w:rPr>
                <w:rFonts w:hint="eastAsia" w:eastAsia="方正黑体_GBK"/>
                <w:kern w:val="2"/>
                <w:szCs w:val="32"/>
              </w:rPr>
              <w:t>候选项目3</w:t>
            </w:r>
            <w:r>
              <w:rPr>
                <w:rFonts w:eastAsia="方正黑体_GBK"/>
                <w:kern w:val="2"/>
                <w:szCs w:val="32"/>
              </w:rPr>
              <w:t>件</w:t>
            </w:r>
          </w:p>
        </w:tc>
      </w:tr>
      <w:tr w14:paraId="11A0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15" w:type="dxa"/>
            <w:vAlign w:val="center"/>
          </w:tcPr>
          <w:p w14:paraId="0BD3760F">
            <w:pPr>
              <w:suppressAutoHyphens/>
              <w:adjustRightInd w:val="0"/>
              <w:snapToGrid w:val="0"/>
              <w:spacing w:line="300" w:lineRule="exact"/>
              <w:jc w:val="center"/>
              <w:rPr>
                <w:rFonts w:eastAsia="方正黑体_GBK"/>
                <w:sz w:val="24"/>
              </w:rPr>
            </w:pPr>
            <w:r>
              <w:rPr>
                <w:rFonts w:hint="eastAsia" w:eastAsia="方正黑体_GBK"/>
                <w:sz w:val="24"/>
              </w:rPr>
              <w:t>1</w:t>
            </w:r>
          </w:p>
        </w:tc>
        <w:tc>
          <w:tcPr>
            <w:tcW w:w="2239" w:type="dxa"/>
            <w:vAlign w:val="center"/>
          </w:tcPr>
          <w:p w14:paraId="7F141F55">
            <w:pPr>
              <w:suppressAutoHyphens/>
              <w:adjustRightInd w:val="0"/>
              <w:snapToGrid w:val="0"/>
              <w:spacing w:line="300" w:lineRule="exact"/>
              <w:rPr>
                <w:kern w:val="2"/>
                <w:sz w:val="24"/>
              </w:rPr>
            </w:pPr>
            <w:r>
              <w:rPr>
                <w:rFonts w:hint="eastAsia"/>
                <w:spacing w:val="-6"/>
                <w:sz w:val="24"/>
              </w:rPr>
              <w:t>建成投用</w:t>
            </w:r>
            <w:r>
              <w:rPr>
                <w:spacing w:val="-6"/>
                <w:sz w:val="24"/>
              </w:rPr>
              <w:t>重庆市城口育才中学校</w:t>
            </w:r>
          </w:p>
        </w:tc>
        <w:tc>
          <w:tcPr>
            <w:tcW w:w="1200" w:type="dxa"/>
            <w:vAlign w:val="center"/>
          </w:tcPr>
          <w:p w14:paraId="2B64D618">
            <w:pPr>
              <w:suppressAutoHyphens/>
              <w:adjustRightInd w:val="0"/>
              <w:snapToGrid w:val="0"/>
              <w:spacing w:line="300" w:lineRule="exact"/>
              <w:jc w:val="center"/>
              <w:rPr>
                <w:kern w:val="2"/>
                <w:sz w:val="24"/>
              </w:rPr>
            </w:pPr>
            <w:r>
              <w:rPr>
                <w:sz w:val="24"/>
              </w:rPr>
              <w:t>县教委</w:t>
            </w:r>
          </w:p>
        </w:tc>
        <w:tc>
          <w:tcPr>
            <w:tcW w:w="1179" w:type="dxa"/>
            <w:vAlign w:val="center"/>
          </w:tcPr>
          <w:p w14:paraId="5CD33B80">
            <w:pPr>
              <w:suppressAutoHyphens/>
              <w:adjustRightInd w:val="0"/>
              <w:snapToGrid w:val="0"/>
              <w:spacing w:line="300" w:lineRule="exact"/>
              <w:jc w:val="center"/>
              <w:rPr>
                <w:kern w:val="2"/>
                <w:sz w:val="24"/>
              </w:rPr>
            </w:pPr>
            <w:r>
              <w:rPr>
                <w:kern w:val="2"/>
                <w:sz w:val="24"/>
              </w:rPr>
              <w:t>城兴公司</w:t>
            </w:r>
          </w:p>
        </w:tc>
        <w:tc>
          <w:tcPr>
            <w:tcW w:w="5378" w:type="dxa"/>
            <w:vAlign w:val="center"/>
          </w:tcPr>
          <w:p w14:paraId="09E8F3D5">
            <w:pPr>
              <w:suppressAutoHyphens/>
              <w:adjustRightInd w:val="0"/>
              <w:snapToGrid w:val="0"/>
              <w:spacing w:line="300" w:lineRule="exact"/>
              <w:rPr>
                <w:kern w:val="2"/>
                <w:sz w:val="24"/>
              </w:rPr>
            </w:pPr>
            <w:r>
              <w:rPr>
                <w:sz w:val="24"/>
              </w:rPr>
              <w:t>完成城口育才中学建设，2024年秋季开学投用，完成投资</w:t>
            </w:r>
            <w:r>
              <w:rPr>
                <w:rFonts w:hint="eastAsia"/>
                <w:sz w:val="24"/>
              </w:rPr>
              <w:t>1.5</w:t>
            </w:r>
            <w:r>
              <w:rPr>
                <w:sz w:val="24"/>
              </w:rPr>
              <w:t>亿元。</w:t>
            </w:r>
          </w:p>
        </w:tc>
        <w:tc>
          <w:tcPr>
            <w:tcW w:w="1246" w:type="dxa"/>
            <w:vAlign w:val="center"/>
          </w:tcPr>
          <w:p w14:paraId="3D23BE3E">
            <w:pPr>
              <w:suppressAutoHyphens/>
              <w:adjustRightInd w:val="0"/>
              <w:snapToGrid w:val="0"/>
              <w:spacing w:line="300" w:lineRule="exact"/>
              <w:jc w:val="center"/>
              <w:rPr>
                <w:kern w:val="2"/>
                <w:sz w:val="24"/>
              </w:rPr>
            </w:pPr>
            <w:r>
              <w:rPr>
                <w:rFonts w:hint="eastAsia"/>
                <w:kern w:val="2"/>
                <w:sz w:val="24"/>
              </w:rPr>
              <w:t>15000</w:t>
            </w:r>
          </w:p>
        </w:tc>
        <w:tc>
          <w:tcPr>
            <w:tcW w:w="969" w:type="dxa"/>
            <w:vAlign w:val="center"/>
          </w:tcPr>
          <w:p w14:paraId="7F00ABD4">
            <w:pPr>
              <w:suppressAutoHyphens/>
              <w:adjustRightInd w:val="0"/>
              <w:snapToGrid w:val="0"/>
              <w:spacing w:line="300" w:lineRule="exact"/>
              <w:jc w:val="center"/>
              <w:rPr>
                <w:sz w:val="24"/>
              </w:rPr>
            </w:pPr>
            <w:r>
              <w:rPr>
                <w:rFonts w:hint="eastAsia"/>
                <w:sz w:val="24"/>
              </w:rPr>
              <w:t>0</w:t>
            </w:r>
          </w:p>
        </w:tc>
        <w:tc>
          <w:tcPr>
            <w:tcW w:w="1062" w:type="dxa"/>
            <w:vAlign w:val="center"/>
          </w:tcPr>
          <w:p w14:paraId="7261C3A4">
            <w:pPr>
              <w:suppressAutoHyphens/>
              <w:adjustRightInd w:val="0"/>
              <w:snapToGrid w:val="0"/>
              <w:spacing w:line="300" w:lineRule="exact"/>
              <w:jc w:val="center"/>
              <w:rPr>
                <w:sz w:val="24"/>
              </w:rPr>
            </w:pPr>
            <w:r>
              <w:rPr>
                <w:rFonts w:hint="eastAsia"/>
                <w:sz w:val="24"/>
              </w:rPr>
              <w:t>0</w:t>
            </w:r>
          </w:p>
        </w:tc>
        <w:tc>
          <w:tcPr>
            <w:tcW w:w="830" w:type="dxa"/>
            <w:vAlign w:val="center"/>
          </w:tcPr>
          <w:p w14:paraId="2BC6A3FA">
            <w:pPr>
              <w:suppressAutoHyphens/>
              <w:adjustRightInd w:val="0"/>
              <w:snapToGrid w:val="0"/>
              <w:spacing w:line="300" w:lineRule="exact"/>
              <w:jc w:val="center"/>
              <w:rPr>
                <w:sz w:val="24"/>
              </w:rPr>
            </w:pPr>
            <w:r>
              <w:rPr>
                <w:rFonts w:hint="eastAsia"/>
                <w:sz w:val="24"/>
              </w:rPr>
              <w:t>15000</w:t>
            </w:r>
          </w:p>
        </w:tc>
        <w:tc>
          <w:tcPr>
            <w:tcW w:w="718" w:type="dxa"/>
            <w:vAlign w:val="center"/>
          </w:tcPr>
          <w:p w14:paraId="1823ED07">
            <w:pPr>
              <w:suppressAutoHyphens/>
              <w:adjustRightInd w:val="0"/>
              <w:snapToGrid w:val="0"/>
              <w:spacing w:line="300" w:lineRule="exact"/>
              <w:jc w:val="center"/>
              <w:rPr>
                <w:sz w:val="24"/>
              </w:rPr>
            </w:pPr>
            <w:r>
              <w:rPr>
                <w:rFonts w:hint="eastAsia"/>
                <w:sz w:val="24"/>
              </w:rPr>
              <w:t>0</w:t>
            </w:r>
          </w:p>
        </w:tc>
        <w:tc>
          <w:tcPr>
            <w:tcW w:w="483" w:type="dxa"/>
            <w:vAlign w:val="center"/>
          </w:tcPr>
          <w:p w14:paraId="33D9329E">
            <w:pPr>
              <w:suppressAutoHyphens/>
              <w:adjustRightInd w:val="0"/>
              <w:snapToGrid w:val="0"/>
              <w:spacing w:line="300" w:lineRule="exact"/>
              <w:jc w:val="center"/>
              <w:rPr>
                <w:kern w:val="2"/>
                <w:sz w:val="20"/>
                <w:szCs w:val="20"/>
              </w:rPr>
            </w:pPr>
          </w:p>
        </w:tc>
      </w:tr>
      <w:tr w14:paraId="5815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5" w:type="dxa"/>
            <w:vAlign w:val="center"/>
          </w:tcPr>
          <w:p w14:paraId="3B067954">
            <w:pPr>
              <w:suppressAutoHyphens/>
              <w:adjustRightInd w:val="0"/>
              <w:snapToGrid w:val="0"/>
              <w:spacing w:line="300" w:lineRule="exact"/>
              <w:jc w:val="center"/>
              <w:rPr>
                <w:rFonts w:eastAsia="方正黑体_GBK"/>
                <w:sz w:val="24"/>
              </w:rPr>
            </w:pPr>
            <w:r>
              <w:rPr>
                <w:rFonts w:hint="eastAsia" w:eastAsia="方正黑体_GBK"/>
                <w:sz w:val="24"/>
              </w:rPr>
              <w:t>2</w:t>
            </w:r>
          </w:p>
        </w:tc>
        <w:tc>
          <w:tcPr>
            <w:tcW w:w="2239" w:type="dxa"/>
            <w:vAlign w:val="center"/>
          </w:tcPr>
          <w:p w14:paraId="65AD7D45">
            <w:pPr>
              <w:suppressAutoHyphens/>
              <w:adjustRightInd w:val="0"/>
              <w:snapToGrid w:val="0"/>
              <w:spacing w:line="300" w:lineRule="exact"/>
              <w:rPr>
                <w:kern w:val="2"/>
                <w:sz w:val="24"/>
              </w:rPr>
            </w:pPr>
            <w:r>
              <w:rPr>
                <w:sz w:val="24"/>
              </w:rPr>
              <w:t>建设</w:t>
            </w:r>
            <w:r>
              <w:rPr>
                <w:rFonts w:hint="eastAsia"/>
                <w:sz w:val="24"/>
              </w:rPr>
              <w:t>城口县滨河体育文化公园及青少年活动中心</w:t>
            </w:r>
          </w:p>
        </w:tc>
        <w:tc>
          <w:tcPr>
            <w:tcW w:w="1200" w:type="dxa"/>
            <w:vAlign w:val="center"/>
          </w:tcPr>
          <w:p w14:paraId="1261F673">
            <w:pPr>
              <w:suppressAutoHyphens/>
              <w:adjustRightInd w:val="0"/>
              <w:snapToGrid w:val="0"/>
              <w:spacing w:line="300" w:lineRule="exact"/>
              <w:jc w:val="center"/>
              <w:rPr>
                <w:kern w:val="2"/>
                <w:sz w:val="24"/>
              </w:rPr>
            </w:pPr>
            <w:r>
              <w:rPr>
                <w:sz w:val="24"/>
              </w:rPr>
              <w:t>城兴公司</w:t>
            </w:r>
          </w:p>
        </w:tc>
        <w:tc>
          <w:tcPr>
            <w:tcW w:w="1179" w:type="dxa"/>
            <w:vAlign w:val="center"/>
          </w:tcPr>
          <w:p w14:paraId="03931103">
            <w:pPr>
              <w:suppressAutoHyphens/>
              <w:adjustRightInd w:val="0"/>
              <w:snapToGrid w:val="0"/>
              <w:spacing w:line="300" w:lineRule="exact"/>
              <w:jc w:val="center"/>
              <w:rPr>
                <w:kern w:val="2"/>
                <w:sz w:val="24"/>
              </w:rPr>
            </w:pPr>
          </w:p>
        </w:tc>
        <w:tc>
          <w:tcPr>
            <w:tcW w:w="5378" w:type="dxa"/>
            <w:vAlign w:val="center"/>
          </w:tcPr>
          <w:p w14:paraId="4660FDF4">
            <w:pPr>
              <w:suppressAutoHyphens/>
              <w:adjustRightInd w:val="0"/>
              <w:snapToGrid w:val="0"/>
              <w:spacing w:line="300" w:lineRule="exact"/>
              <w:rPr>
                <w:kern w:val="2"/>
                <w:sz w:val="24"/>
              </w:rPr>
            </w:pPr>
            <w:r>
              <w:rPr>
                <w:sz w:val="24"/>
              </w:rPr>
              <w:t>建设</w:t>
            </w:r>
            <w:r>
              <w:rPr>
                <w:rFonts w:hint="eastAsia"/>
                <w:sz w:val="24"/>
              </w:rPr>
              <w:t>城口县滨河体育文化公园及青少年活动中心</w:t>
            </w:r>
            <w:r>
              <w:rPr>
                <w:sz w:val="24"/>
              </w:rPr>
              <w:t>，完成投资</w:t>
            </w:r>
            <w:r>
              <w:rPr>
                <w:rFonts w:hint="eastAsia"/>
                <w:sz w:val="24"/>
              </w:rPr>
              <w:t>7000</w:t>
            </w:r>
            <w:r>
              <w:rPr>
                <w:sz w:val="24"/>
              </w:rPr>
              <w:t>万元。</w:t>
            </w:r>
          </w:p>
        </w:tc>
        <w:tc>
          <w:tcPr>
            <w:tcW w:w="1246" w:type="dxa"/>
            <w:vAlign w:val="center"/>
          </w:tcPr>
          <w:p w14:paraId="6CD3BFEB">
            <w:pPr>
              <w:suppressAutoHyphens/>
              <w:adjustRightInd w:val="0"/>
              <w:snapToGrid w:val="0"/>
              <w:spacing w:line="300" w:lineRule="exact"/>
              <w:jc w:val="center"/>
              <w:rPr>
                <w:kern w:val="2"/>
                <w:sz w:val="24"/>
              </w:rPr>
            </w:pPr>
            <w:r>
              <w:rPr>
                <w:rFonts w:hint="eastAsia"/>
                <w:sz w:val="24"/>
              </w:rPr>
              <w:t>7000</w:t>
            </w:r>
          </w:p>
        </w:tc>
        <w:tc>
          <w:tcPr>
            <w:tcW w:w="969" w:type="dxa"/>
            <w:vAlign w:val="center"/>
          </w:tcPr>
          <w:p w14:paraId="56DE58AB">
            <w:pPr>
              <w:suppressAutoHyphens/>
              <w:adjustRightInd w:val="0"/>
              <w:snapToGrid w:val="0"/>
              <w:spacing w:line="300" w:lineRule="exact"/>
              <w:jc w:val="center"/>
              <w:rPr>
                <w:sz w:val="24"/>
              </w:rPr>
            </w:pPr>
            <w:r>
              <w:rPr>
                <w:rFonts w:hint="eastAsia"/>
                <w:sz w:val="24"/>
              </w:rPr>
              <w:t>0</w:t>
            </w:r>
          </w:p>
        </w:tc>
        <w:tc>
          <w:tcPr>
            <w:tcW w:w="1062" w:type="dxa"/>
            <w:vAlign w:val="center"/>
          </w:tcPr>
          <w:p w14:paraId="7AEFCCC1">
            <w:pPr>
              <w:suppressAutoHyphens/>
              <w:adjustRightInd w:val="0"/>
              <w:snapToGrid w:val="0"/>
              <w:spacing w:line="300" w:lineRule="exact"/>
              <w:jc w:val="center"/>
              <w:rPr>
                <w:sz w:val="24"/>
              </w:rPr>
            </w:pPr>
            <w:r>
              <w:rPr>
                <w:rFonts w:hint="eastAsia"/>
                <w:sz w:val="24"/>
              </w:rPr>
              <w:t>0</w:t>
            </w:r>
          </w:p>
        </w:tc>
        <w:tc>
          <w:tcPr>
            <w:tcW w:w="830" w:type="dxa"/>
            <w:vAlign w:val="center"/>
          </w:tcPr>
          <w:p w14:paraId="36FB754F">
            <w:pPr>
              <w:suppressAutoHyphens/>
              <w:adjustRightInd w:val="0"/>
              <w:snapToGrid w:val="0"/>
              <w:spacing w:line="300" w:lineRule="exact"/>
              <w:jc w:val="center"/>
              <w:rPr>
                <w:sz w:val="24"/>
              </w:rPr>
            </w:pPr>
            <w:r>
              <w:rPr>
                <w:rFonts w:hint="eastAsia"/>
                <w:sz w:val="24"/>
              </w:rPr>
              <w:t>7000</w:t>
            </w:r>
          </w:p>
        </w:tc>
        <w:tc>
          <w:tcPr>
            <w:tcW w:w="718" w:type="dxa"/>
            <w:vAlign w:val="center"/>
          </w:tcPr>
          <w:p w14:paraId="344CC4FA">
            <w:pPr>
              <w:suppressAutoHyphens/>
              <w:adjustRightInd w:val="0"/>
              <w:snapToGrid w:val="0"/>
              <w:spacing w:line="300" w:lineRule="exact"/>
              <w:jc w:val="center"/>
              <w:rPr>
                <w:sz w:val="24"/>
              </w:rPr>
            </w:pPr>
            <w:r>
              <w:rPr>
                <w:rFonts w:hint="eastAsia"/>
                <w:sz w:val="24"/>
              </w:rPr>
              <w:t>0</w:t>
            </w:r>
          </w:p>
        </w:tc>
        <w:tc>
          <w:tcPr>
            <w:tcW w:w="483" w:type="dxa"/>
            <w:vAlign w:val="center"/>
          </w:tcPr>
          <w:p w14:paraId="62411E9C">
            <w:pPr>
              <w:suppressAutoHyphens/>
              <w:adjustRightInd w:val="0"/>
              <w:snapToGrid w:val="0"/>
              <w:spacing w:line="300" w:lineRule="exact"/>
              <w:jc w:val="center"/>
              <w:rPr>
                <w:kern w:val="2"/>
                <w:sz w:val="20"/>
                <w:szCs w:val="20"/>
              </w:rPr>
            </w:pPr>
          </w:p>
        </w:tc>
      </w:tr>
      <w:tr w14:paraId="18C2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15" w:type="dxa"/>
            <w:vAlign w:val="center"/>
          </w:tcPr>
          <w:p w14:paraId="6D9948C8">
            <w:pPr>
              <w:suppressAutoHyphens/>
              <w:adjustRightInd w:val="0"/>
              <w:snapToGrid w:val="0"/>
              <w:spacing w:line="300" w:lineRule="exact"/>
              <w:jc w:val="center"/>
              <w:rPr>
                <w:rFonts w:eastAsia="方正黑体_GBK"/>
                <w:sz w:val="24"/>
              </w:rPr>
            </w:pPr>
            <w:r>
              <w:rPr>
                <w:rFonts w:hint="eastAsia" w:eastAsia="方正黑体_GBK"/>
                <w:sz w:val="24"/>
              </w:rPr>
              <w:t>3</w:t>
            </w:r>
          </w:p>
        </w:tc>
        <w:tc>
          <w:tcPr>
            <w:tcW w:w="2239" w:type="dxa"/>
            <w:vAlign w:val="center"/>
          </w:tcPr>
          <w:p w14:paraId="6BAA47AE">
            <w:pPr>
              <w:suppressAutoHyphens/>
              <w:adjustRightInd w:val="0"/>
              <w:snapToGrid w:val="0"/>
              <w:spacing w:line="300" w:lineRule="exact"/>
              <w:rPr>
                <w:kern w:val="2"/>
                <w:sz w:val="24"/>
              </w:rPr>
            </w:pPr>
            <w:r>
              <w:rPr>
                <w:sz w:val="24"/>
              </w:rPr>
              <w:t>特殊困难群体法律援助</w:t>
            </w:r>
          </w:p>
        </w:tc>
        <w:tc>
          <w:tcPr>
            <w:tcW w:w="1200" w:type="dxa"/>
            <w:vAlign w:val="center"/>
          </w:tcPr>
          <w:p w14:paraId="07F92041">
            <w:pPr>
              <w:suppressAutoHyphens/>
              <w:adjustRightInd w:val="0"/>
              <w:snapToGrid w:val="0"/>
              <w:spacing w:line="300" w:lineRule="exact"/>
              <w:jc w:val="center"/>
              <w:rPr>
                <w:kern w:val="2"/>
                <w:sz w:val="24"/>
              </w:rPr>
            </w:pPr>
            <w:r>
              <w:rPr>
                <w:sz w:val="24"/>
              </w:rPr>
              <w:t>县司法局</w:t>
            </w:r>
          </w:p>
        </w:tc>
        <w:tc>
          <w:tcPr>
            <w:tcW w:w="1179" w:type="dxa"/>
            <w:vAlign w:val="center"/>
          </w:tcPr>
          <w:p w14:paraId="47C78FFC">
            <w:pPr>
              <w:suppressAutoHyphens/>
              <w:adjustRightInd w:val="0"/>
              <w:snapToGrid w:val="0"/>
              <w:spacing w:line="300" w:lineRule="exact"/>
              <w:jc w:val="center"/>
              <w:rPr>
                <w:kern w:val="2"/>
                <w:sz w:val="24"/>
              </w:rPr>
            </w:pPr>
          </w:p>
        </w:tc>
        <w:tc>
          <w:tcPr>
            <w:tcW w:w="5378" w:type="dxa"/>
            <w:vAlign w:val="center"/>
          </w:tcPr>
          <w:p w14:paraId="4E4E6AC2">
            <w:pPr>
              <w:suppressAutoHyphens/>
              <w:adjustRightInd w:val="0"/>
              <w:snapToGrid w:val="0"/>
              <w:spacing w:line="300" w:lineRule="exact"/>
              <w:rPr>
                <w:kern w:val="2"/>
                <w:sz w:val="24"/>
              </w:rPr>
            </w:pPr>
            <w:r>
              <w:rPr>
                <w:sz w:val="24"/>
              </w:rPr>
              <w:t>为全县特殊困难群体办理250件法律援助案件。</w:t>
            </w:r>
          </w:p>
        </w:tc>
        <w:tc>
          <w:tcPr>
            <w:tcW w:w="1246" w:type="dxa"/>
            <w:vAlign w:val="center"/>
          </w:tcPr>
          <w:p w14:paraId="22F2A508">
            <w:pPr>
              <w:suppressAutoHyphens/>
              <w:adjustRightInd w:val="0"/>
              <w:snapToGrid w:val="0"/>
              <w:spacing w:line="300" w:lineRule="exact"/>
              <w:jc w:val="center"/>
              <w:rPr>
                <w:kern w:val="2"/>
                <w:sz w:val="24"/>
              </w:rPr>
            </w:pPr>
            <w:r>
              <w:rPr>
                <w:rFonts w:eastAsia="方正黑体_GBK"/>
                <w:sz w:val="24"/>
              </w:rPr>
              <w:t>45</w:t>
            </w:r>
          </w:p>
        </w:tc>
        <w:tc>
          <w:tcPr>
            <w:tcW w:w="969" w:type="dxa"/>
            <w:vAlign w:val="center"/>
          </w:tcPr>
          <w:p w14:paraId="5463183F">
            <w:pPr>
              <w:suppressAutoHyphens/>
              <w:adjustRightInd w:val="0"/>
              <w:snapToGrid w:val="0"/>
              <w:spacing w:line="300" w:lineRule="exact"/>
              <w:jc w:val="center"/>
              <w:rPr>
                <w:sz w:val="24"/>
              </w:rPr>
            </w:pPr>
            <w:r>
              <w:rPr>
                <w:sz w:val="24"/>
              </w:rPr>
              <w:t>31.5</w:t>
            </w:r>
          </w:p>
        </w:tc>
        <w:tc>
          <w:tcPr>
            <w:tcW w:w="1062" w:type="dxa"/>
            <w:vAlign w:val="center"/>
          </w:tcPr>
          <w:p w14:paraId="242AD1E4">
            <w:pPr>
              <w:suppressAutoHyphens/>
              <w:adjustRightInd w:val="0"/>
              <w:snapToGrid w:val="0"/>
              <w:spacing w:line="300" w:lineRule="exact"/>
              <w:jc w:val="center"/>
              <w:rPr>
                <w:sz w:val="24"/>
              </w:rPr>
            </w:pPr>
            <w:r>
              <w:rPr>
                <w:sz w:val="24"/>
              </w:rPr>
              <w:t>13.5</w:t>
            </w:r>
          </w:p>
        </w:tc>
        <w:tc>
          <w:tcPr>
            <w:tcW w:w="830" w:type="dxa"/>
            <w:vAlign w:val="center"/>
          </w:tcPr>
          <w:p w14:paraId="27F09381">
            <w:pPr>
              <w:suppressAutoHyphens/>
              <w:adjustRightInd w:val="0"/>
              <w:snapToGrid w:val="0"/>
              <w:spacing w:line="300" w:lineRule="exact"/>
              <w:jc w:val="center"/>
              <w:rPr>
                <w:sz w:val="24"/>
              </w:rPr>
            </w:pPr>
            <w:r>
              <w:rPr>
                <w:rFonts w:hint="eastAsia"/>
                <w:sz w:val="24"/>
              </w:rPr>
              <w:t>0</w:t>
            </w:r>
          </w:p>
        </w:tc>
        <w:tc>
          <w:tcPr>
            <w:tcW w:w="718" w:type="dxa"/>
            <w:vAlign w:val="center"/>
          </w:tcPr>
          <w:p w14:paraId="616C7528">
            <w:pPr>
              <w:suppressAutoHyphens/>
              <w:adjustRightInd w:val="0"/>
              <w:snapToGrid w:val="0"/>
              <w:spacing w:line="300" w:lineRule="exact"/>
              <w:jc w:val="center"/>
              <w:rPr>
                <w:sz w:val="24"/>
              </w:rPr>
            </w:pPr>
            <w:r>
              <w:rPr>
                <w:rFonts w:hint="eastAsia"/>
                <w:sz w:val="24"/>
              </w:rPr>
              <w:t>0</w:t>
            </w:r>
          </w:p>
        </w:tc>
        <w:tc>
          <w:tcPr>
            <w:tcW w:w="483" w:type="dxa"/>
            <w:vAlign w:val="center"/>
          </w:tcPr>
          <w:p w14:paraId="79E593EB">
            <w:pPr>
              <w:suppressAutoHyphens/>
              <w:adjustRightInd w:val="0"/>
              <w:snapToGrid w:val="0"/>
              <w:spacing w:line="300" w:lineRule="exact"/>
              <w:jc w:val="center"/>
              <w:rPr>
                <w:kern w:val="2"/>
                <w:sz w:val="24"/>
              </w:rPr>
            </w:pPr>
          </w:p>
        </w:tc>
      </w:tr>
      <w:tr w14:paraId="1A73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11" w:type="dxa"/>
            <w:gridSpan w:val="5"/>
            <w:vAlign w:val="center"/>
          </w:tcPr>
          <w:p w14:paraId="60CEA5D2">
            <w:pPr>
              <w:suppressAutoHyphens/>
              <w:adjustRightInd w:val="0"/>
              <w:snapToGrid w:val="0"/>
              <w:spacing w:line="300" w:lineRule="exact"/>
              <w:jc w:val="center"/>
              <w:rPr>
                <w:sz w:val="24"/>
              </w:rPr>
            </w:pPr>
            <w:r>
              <w:rPr>
                <w:rFonts w:hint="eastAsia" w:eastAsia="方正黑体_GBK" w:cs="方正黑体_GBK"/>
                <w:sz w:val="24"/>
              </w:rPr>
              <w:t>合计</w:t>
            </w:r>
          </w:p>
        </w:tc>
        <w:tc>
          <w:tcPr>
            <w:tcW w:w="1246" w:type="dxa"/>
            <w:vAlign w:val="center"/>
          </w:tcPr>
          <w:p w14:paraId="1BDCEA3D">
            <w:pPr>
              <w:suppressAutoHyphens/>
              <w:adjustRightInd w:val="0"/>
              <w:snapToGrid w:val="0"/>
              <w:spacing w:line="300" w:lineRule="exact"/>
              <w:jc w:val="center"/>
              <w:rPr>
                <w:sz w:val="24"/>
              </w:rPr>
            </w:pPr>
            <w:r>
              <w:rPr>
                <w:rFonts w:hint="eastAsia"/>
                <w:sz w:val="24"/>
              </w:rPr>
              <w:t>31273</w:t>
            </w:r>
          </w:p>
        </w:tc>
        <w:tc>
          <w:tcPr>
            <w:tcW w:w="969" w:type="dxa"/>
            <w:vAlign w:val="center"/>
          </w:tcPr>
          <w:p w14:paraId="3846FC59">
            <w:pPr>
              <w:suppressAutoHyphens/>
              <w:adjustRightInd w:val="0"/>
              <w:snapToGrid w:val="0"/>
              <w:spacing w:line="300" w:lineRule="exact"/>
              <w:jc w:val="center"/>
              <w:rPr>
                <w:sz w:val="24"/>
              </w:rPr>
            </w:pPr>
            <w:r>
              <w:rPr>
                <w:rFonts w:hint="eastAsia"/>
                <w:sz w:val="24"/>
              </w:rPr>
              <w:t>4836.5</w:t>
            </w:r>
          </w:p>
        </w:tc>
        <w:tc>
          <w:tcPr>
            <w:tcW w:w="1062" w:type="dxa"/>
            <w:vAlign w:val="center"/>
          </w:tcPr>
          <w:p w14:paraId="657044D7">
            <w:pPr>
              <w:suppressAutoHyphens/>
              <w:adjustRightInd w:val="0"/>
              <w:snapToGrid w:val="0"/>
              <w:spacing w:line="300" w:lineRule="exact"/>
              <w:jc w:val="center"/>
              <w:rPr>
                <w:sz w:val="24"/>
              </w:rPr>
            </w:pPr>
            <w:r>
              <w:rPr>
                <w:rFonts w:hint="eastAsia"/>
                <w:sz w:val="24"/>
              </w:rPr>
              <w:t>536.5</w:t>
            </w:r>
          </w:p>
        </w:tc>
        <w:tc>
          <w:tcPr>
            <w:tcW w:w="830" w:type="dxa"/>
            <w:vAlign w:val="center"/>
          </w:tcPr>
          <w:p w14:paraId="0157A8B9">
            <w:pPr>
              <w:suppressAutoHyphens/>
              <w:adjustRightInd w:val="0"/>
              <w:snapToGrid w:val="0"/>
              <w:spacing w:line="300" w:lineRule="exact"/>
              <w:jc w:val="center"/>
              <w:rPr>
                <w:sz w:val="24"/>
              </w:rPr>
            </w:pPr>
            <w:r>
              <w:rPr>
                <w:rFonts w:hint="eastAsia"/>
                <w:sz w:val="24"/>
              </w:rPr>
              <w:t>23000</w:t>
            </w:r>
          </w:p>
        </w:tc>
        <w:tc>
          <w:tcPr>
            <w:tcW w:w="718" w:type="dxa"/>
            <w:vAlign w:val="center"/>
          </w:tcPr>
          <w:p w14:paraId="40C2B3BB">
            <w:pPr>
              <w:suppressAutoHyphens/>
              <w:adjustRightInd w:val="0"/>
              <w:snapToGrid w:val="0"/>
              <w:spacing w:line="300" w:lineRule="exact"/>
              <w:jc w:val="center"/>
              <w:rPr>
                <w:sz w:val="24"/>
              </w:rPr>
            </w:pPr>
            <w:r>
              <w:rPr>
                <w:rFonts w:hint="eastAsia"/>
                <w:sz w:val="24"/>
              </w:rPr>
              <w:t>2900</w:t>
            </w:r>
          </w:p>
        </w:tc>
        <w:tc>
          <w:tcPr>
            <w:tcW w:w="483" w:type="dxa"/>
            <w:vAlign w:val="center"/>
          </w:tcPr>
          <w:p w14:paraId="6DA58FAB">
            <w:pPr>
              <w:suppressAutoHyphens/>
              <w:adjustRightInd w:val="0"/>
              <w:snapToGrid w:val="0"/>
              <w:spacing w:line="300" w:lineRule="exact"/>
              <w:jc w:val="center"/>
              <w:rPr>
                <w:kern w:val="2"/>
                <w:sz w:val="24"/>
              </w:rPr>
            </w:pPr>
          </w:p>
        </w:tc>
      </w:tr>
    </w:tbl>
    <w:p w14:paraId="1D1B2976">
      <w:pPr>
        <w:pStyle w:val="9"/>
        <w:sectPr>
          <w:footerReference r:id="rId4" w:type="default"/>
          <w:pgSz w:w="16838" w:h="11906" w:orient="landscape"/>
          <w:pgMar w:top="1531" w:right="2154" w:bottom="1417" w:left="2041" w:header="720" w:footer="720" w:gutter="0"/>
          <w:cols w:space="720" w:num="1"/>
          <w:docGrid w:type="lines" w:linePitch="312" w:charSpace="0"/>
        </w:sectPr>
      </w:pPr>
    </w:p>
    <w:p w14:paraId="1F90C430">
      <w:pPr>
        <w:pBdr>
          <w:top w:val="single" w:color="auto" w:sz="4" w:space="0"/>
          <w:bottom w:val="single" w:color="auto" w:sz="4" w:space="0"/>
        </w:pBdr>
        <w:spacing w:line="560" w:lineRule="exact"/>
        <w:jc w:val="left"/>
        <w:rPr>
          <w:szCs w:val="32"/>
        </w:rPr>
      </w:pPr>
    </w:p>
    <w:sectPr>
      <w:footerReference r:id="rId5" w:type="default"/>
      <w:footerReference r:id="rId6" w:type="even"/>
      <w:pgSz w:w="11906" w:h="16838"/>
      <w:pgMar w:top="2098" w:right="1474" w:bottom="1985"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大黑简">
    <w:altName w:val="微软雅黑"/>
    <w:panose1 w:val="00000000000000000000"/>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C308">
    <w:pPr>
      <w:pStyle w:val="14"/>
    </w:pPr>
    <w: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path/>
          <v:fill on="f" focussize="0,0"/>
          <v:stroke on="f" joinstyle="miter"/>
          <v:imagedata o:title=""/>
          <o:lock v:ext="edit"/>
          <v:textbox inset="0mm,0mm,0mm,0mm" style="mso-fit-shape-to-text:t;">
            <w:txbxContent>
              <w:p w14:paraId="2CE2FC85">
                <w:pPr>
                  <w:pStyle w:val="1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E1B06">
    <w:pPr>
      <w:pStyle w:val="14"/>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path/>
          <v:fill on="f" focussize="0,0"/>
          <v:stroke on="f" weight="0.5pt" joinstyle="miter"/>
          <v:imagedata o:title=""/>
          <o:lock v:ext="edit"/>
          <v:textbox inset="0mm,0mm,0mm,0mm" style="mso-fit-shape-to-text:t;">
            <w:txbxContent>
              <w:p w14:paraId="76FBA4D2">
                <w:pPr>
                  <w:pStyle w:val="1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4203">
    <w:pPr>
      <w:pStyle w:val="14"/>
      <w:ind w:right="320" w:rightChars="100"/>
      <w:rPr>
        <w:rFonts w:ascii="宋体" w:hAnsi="宋体" w:eastAsia="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path/>
          <v:fill on="f" focussize="0,0"/>
          <v:stroke on="f" weight="0.5pt" joinstyle="miter"/>
          <v:imagedata o:title=""/>
          <o:lock v:ext="edit"/>
          <v:textbox inset="0mm,0mm,0mm,0mm" style="mso-fit-shape-to-text:t;">
            <w:txbxContent>
              <w:p w14:paraId="16B73C64">
                <w:pPr>
                  <w:pStyle w:val="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7AD1">
    <w:pPr>
      <w:pStyle w:val="14"/>
      <w:ind w:left="320" w:leftChars="100"/>
      <w:rPr>
        <w:rFonts w:ascii="宋体" w:hAnsi="宋体" w:eastAsia="宋体"/>
        <w:sz w:val="28"/>
        <w:szCs w:val="28"/>
      </w:rPr>
    </w:pPr>
    <w:r>
      <w:rPr>
        <w:rFonts w:hint="eastAsia" w:ascii="宋体" w:hAnsi="宋体" w:eastAsia="宋体"/>
        <w:sz w:val="28"/>
        <w:szCs w:val="21"/>
      </w:rPr>
      <w:t>—</w:t>
    </w:r>
    <w:r>
      <w:rPr>
        <w:rFonts w:ascii="宋体" w:hAnsi="宋体" w:eastAsia="宋体"/>
        <w:sz w:val="28"/>
        <w:szCs w:val="21"/>
      </w:rPr>
      <w:t xml:space="preserve"> </w:t>
    </w:r>
    <w:r>
      <w:rPr>
        <w:rFonts w:ascii="宋体" w:hAnsi="宋体" w:eastAsia="宋体"/>
        <w:sz w:val="28"/>
        <w:szCs w:val="21"/>
      </w:rPr>
      <w:fldChar w:fldCharType="begin"/>
    </w:r>
    <w:r>
      <w:rPr>
        <w:rFonts w:ascii="宋体" w:hAnsi="宋体" w:eastAsia="宋体"/>
        <w:sz w:val="28"/>
        <w:szCs w:val="21"/>
      </w:rPr>
      <w:instrText xml:space="preserve"> PAGE </w:instrText>
    </w:r>
    <w:r>
      <w:rPr>
        <w:rFonts w:ascii="宋体" w:hAnsi="宋体" w:eastAsia="宋体"/>
        <w:sz w:val="28"/>
        <w:szCs w:val="21"/>
      </w:rPr>
      <w:fldChar w:fldCharType="separate"/>
    </w:r>
    <w:r>
      <w:rPr>
        <w:rFonts w:ascii="宋体" w:hAnsi="宋体" w:eastAsia="宋体"/>
        <w:sz w:val="28"/>
        <w:szCs w:val="21"/>
      </w:rPr>
      <w:t>2</w:t>
    </w:r>
    <w:r>
      <w:rPr>
        <w:rFonts w:ascii="宋体" w:hAnsi="宋体" w:eastAsia="宋体"/>
        <w:sz w:val="28"/>
        <w:szCs w:val="21"/>
      </w:rPr>
      <w:fldChar w:fldCharType="end"/>
    </w:r>
    <w:r>
      <w:rPr>
        <w:rFonts w:ascii="宋体" w:hAnsi="宋体" w:eastAsia="宋体"/>
        <w:sz w:val="28"/>
        <w:szCs w:val="21"/>
      </w:rPr>
      <w:t xml:space="preserve"> </w:t>
    </w:r>
    <w:r>
      <w:rPr>
        <w:rFonts w:hint="eastAsia" w:ascii="宋体" w:hAnsi="宋体" w:eastAsia="宋体"/>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jg3OTVhMDFjMDhjZjJjYTY1MzQ1ZDIyMWU0OTBkMjUifQ=="/>
  </w:docVars>
  <w:rsids>
    <w:rsidRoot w:val="00172A27"/>
    <w:rsid w:val="00050BB2"/>
    <w:rsid w:val="000D4644"/>
    <w:rsid w:val="00172A27"/>
    <w:rsid w:val="001811A8"/>
    <w:rsid w:val="001F3AA0"/>
    <w:rsid w:val="0036127D"/>
    <w:rsid w:val="003930FA"/>
    <w:rsid w:val="00491630"/>
    <w:rsid w:val="004C21F1"/>
    <w:rsid w:val="004F16AF"/>
    <w:rsid w:val="00583C8B"/>
    <w:rsid w:val="005B73F2"/>
    <w:rsid w:val="005B7F68"/>
    <w:rsid w:val="006B67FE"/>
    <w:rsid w:val="00721D00"/>
    <w:rsid w:val="00764963"/>
    <w:rsid w:val="00774EA1"/>
    <w:rsid w:val="00835251"/>
    <w:rsid w:val="008676D6"/>
    <w:rsid w:val="00887595"/>
    <w:rsid w:val="008A1C66"/>
    <w:rsid w:val="0090613E"/>
    <w:rsid w:val="009336C4"/>
    <w:rsid w:val="00934AC6"/>
    <w:rsid w:val="009B76DC"/>
    <w:rsid w:val="00A9420B"/>
    <w:rsid w:val="00AB2A6F"/>
    <w:rsid w:val="00B21DCA"/>
    <w:rsid w:val="00B50D57"/>
    <w:rsid w:val="00B97391"/>
    <w:rsid w:val="00BA40B3"/>
    <w:rsid w:val="00BE6663"/>
    <w:rsid w:val="00D364E0"/>
    <w:rsid w:val="00D67CC2"/>
    <w:rsid w:val="00DD7F6C"/>
    <w:rsid w:val="00E00C31"/>
    <w:rsid w:val="00EA30A9"/>
    <w:rsid w:val="00EA5E68"/>
    <w:rsid w:val="00FF3EE0"/>
    <w:rsid w:val="01304AA9"/>
    <w:rsid w:val="06224373"/>
    <w:rsid w:val="069E16A2"/>
    <w:rsid w:val="088D2344"/>
    <w:rsid w:val="0F1D3543"/>
    <w:rsid w:val="0FEE10E1"/>
    <w:rsid w:val="14204FEE"/>
    <w:rsid w:val="17F151F1"/>
    <w:rsid w:val="18AF324F"/>
    <w:rsid w:val="21B520F3"/>
    <w:rsid w:val="226F3863"/>
    <w:rsid w:val="25C559E0"/>
    <w:rsid w:val="264548B4"/>
    <w:rsid w:val="2EF81EB2"/>
    <w:rsid w:val="2F5D4312"/>
    <w:rsid w:val="303971D8"/>
    <w:rsid w:val="30B45AFB"/>
    <w:rsid w:val="32644365"/>
    <w:rsid w:val="331C02D5"/>
    <w:rsid w:val="334D2ED8"/>
    <w:rsid w:val="36CD4AE9"/>
    <w:rsid w:val="37C7645B"/>
    <w:rsid w:val="39DE1D07"/>
    <w:rsid w:val="3A411426"/>
    <w:rsid w:val="3B6B0985"/>
    <w:rsid w:val="3D7BA383"/>
    <w:rsid w:val="3FF7104A"/>
    <w:rsid w:val="495F59D8"/>
    <w:rsid w:val="5B395099"/>
    <w:rsid w:val="5C787034"/>
    <w:rsid w:val="5CEF21FC"/>
    <w:rsid w:val="5E9C5168"/>
    <w:rsid w:val="5FCF153A"/>
    <w:rsid w:val="60C00655"/>
    <w:rsid w:val="6408055A"/>
    <w:rsid w:val="658178BC"/>
    <w:rsid w:val="690F15D2"/>
    <w:rsid w:val="77FF4001"/>
    <w:rsid w:val="78176B93"/>
    <w:rsid w:val="79231A7E"/>
    <w:rsid w:val="7BB2221F"/>
    <w:rsid w:val="7F3B5380"/>
    <w:rsid w:val="7F436D3F"/>
    <w:rsid w:val="7FCF21ED"/>
    <w:rsid w:val="7FF6FEBC"/>
    <w:rsid w:val="9BF7987B"/>
    <w:rsid w:val="A37E211F"/>
    <w:rsid w:val="BDFF1462"/>
    <w:rsid w:val="CBFF752F"/>
    <w:rsid w:val="CDEF12BD"/>
    <w:rsid w:val="DDBB050A"/>
    <w:rsid w:val="DDFD971D"/>
    <w:rsid w:val="DF9D865D"/>
    <w:rsid w:val="EF77883C"/>
    <w:rsid w:val="FBBFD9CF"/>
    <w:rsid w:val="FFFDF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24"/>
      <w:lang w:val="en-US" w:eastAsia="zh-CN" w:bidi="ar-SA"/>
    </w:rPr>
  </w:style>
  <w:style w:type="paragraph" w:styleId="5">
    <w:name w:val="heading 1"/>
    <w:basedOn w:val="1"/>
    <w:next w:val="1"/>
    <w:qFormat/>
    <w:uiPriority w:val="1"/>
    <w:pPr>
      <w:widowControl/>
      <w:spacing w:line="594" w:lineRule="exact"/>
      <w:jc w:val="center"/>
      <w:outlineLvl w:val="0"/>
    </w:pPr>
    <w:rPr>
      <w:rFonts w:eastAsia="方正小标宋_GBK"/>
      <w:bCs/>
      <w:kern w:val="44"/>
      <w:sz w:val="44"/>
      <w:szCs w:val="44"/>
    </w:rPr>
  </w:style>
  <w:style w:type="paragraph" w:styleId="6">
    <w:name w:val="heading 2"/>
    <w:basedOn w:val="5"/>
    <w:next w:val="1"/>
    <w:qFormat/>
    <w:uiPriority w:val="2"/>
    <w:pPr>
      <w:keepNext/>
      <w:keepLines/>
      <w:jc w:val="left"/>
      <w:outlineLvl w:val="1"/>
    </w:pPr>
    <w:rPr>
      <w:rFonts w:eastAsia="方正黑体_GBK"/>
      <w:bCs w:val="0"/>
      <w:szCs w:val="32"/>
    </w:rPr>
  </w:style>
  <w:style w:type="paragraph" w:styleId="7">
    <w:name w:val="heading 3"/>
    <w:basedOn w:val="1"/>
    <w:next w:val="1"/>
    <w:qFormat/>
    <w:uiPriority w:val="0"/>
    <w:pPr>
      <w:keepNext/>
      <w:keepLines/>
      <w:spacing w:line="413" w:lineRule="auto"/>
      <w:outlineLvl w:val="2"/>
    </w:pPr>
    <w:rPr>
      <w:b/>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720" w:firstLineChars="225"/>
    </w:pPr>
    <w:rPr>
      <w:rFonts w:hint="eastAsia" w:ascii="仿宋_GB2312" w:hAnsi="Calibri" w:eastAsia="仿宋_GB2312"/>
    </w:rPr>
  </w:style>
  <w:style w:type="paragraph" w:customStyle="1" w:styleId="4">
    <w:name w:val="样式 正文首行缩进 2 + 首行缩进:  2 字符"/>
    <w:basedOn w:val="1"/>
    <w:next w:val="1"/>
    <w:qFormat/>
    <w:uiPriority w:val="0"/>
    <w:pPr>
      <w:spacing w:line="360" w:lineRule="auto"/>
      <w:ind w:firstLine="480" w:firstLineChars="200"/>
    </w:pPr>
    <w:rPr>
      <w:rFonts w:cs="宋体"/>
      <w:sz w:val="24"/>
      <w:szCs w:val="20"/>
    </w:rPr>
  </w:style>
  <w:style w:type="paragraph" w:styleId="8">
    <w:name w:val="Normal Indent"/>
    <w:basedOn w:val="1"/>
    <w:next w:val="1"/>
    <w:unhideWhenUsed/>
    <w:qFormat/>
    <w:uiPriority w:val="99"/>
    <w:pPr>
      <w:ind w:firstLine="420" w:firstLineChars="200"/>
    </w:pPr>
  </w:style>
  <w:style w:type="paragraph" w:styleId="9">
    <w:name w:val="Body Text"/>
    <w:basedOn w:val="1"/>
    <w:next w:val="1"/>
    <w:qFormat/>
    <w:uiPriority w:val="0"/>
    <w:pPr>
      <w:spacing w:after="140" w:line="276" w:lineRule="auto"/>
    </w:pPr>
  </w:style>
  <w:style w:type="paragraph" w:styleId="10">
    <w:name w:val="toc 5"/>
    <w:basedOn w:val="1"/>
    <w:next w:val="1"/>
    <w:qFormat/>
    <w:uiPriority w:val="0"/>
    <w:pPr>
      <w:ind w:left="1680" w:leftChars="800"/>
    </w:pPr>
  </w:style>
  <w:style w:type="paragraph" w:styleId="11">
    <w:name w:val="Plain Text"/>
    <w:basedOn w:val="1"/>
    <w:qFormat/>
    <w:uiPriority w:val="0"/>
    <w:rPr>
      <w:rFonts w:ascii="宋体" w:hAnsi="Courier New" w:eastAsia="宋体"/>
      <w:sz w:val="21"/>
    </w:rPr>
  </w:style>
  <w:style w:type="paragraph" w:styleId="12">
    <w:name w:val="Date"/>
    <w:basedOn w:val="1"/>
    <w:next w:val="1"/>
    <w:qFormat/>
    <w:uiPriority w:val="0"/>
    <w:pPr>
      <w:ind w:left="100" w:leftChars="2500"/>
    </w:pPr>
  </w:style>
  <w:style w:type="paragraph" w:styleId="13">
    <w:name w:val="Balloon Text"/>
    <w:basedOn w:val="1"/>
    <w:qFormat/>
    <w:uiPriority w:val="0"/>
    <w:rPr>
      <w:sz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Char1"/>
    <w:basedOn w:val="1"/>
    <w:qFormat/>
    <w:uiPriority w:val="0"/>
    <w:pPr>
      <w:widowControl/>
      <w:spacing w:line="240" w:lineRule="exact"/>
      <w:jc w:val="left"/>
    </w:pPr>
    <w:rPr>
      <w:szCs w:val="20"/>
    </w:rPr>
  </w:style>
  <w:style w:type="paragraph" w:customStyle="1" w:styleId="22">
    <w:name w:val="Char"/>
    <w:basedOn w:val="1"/>
    <w:qFormat/>
    <w:uiPriority w:val="0"/>
    <w:pPr>
      <w:widowControl/>
      <w:spacing w:line="240" w:lineRule="exact"/>
      <w:jc w:val="left"/>
    </w:pPr>
  </w:style>
  <w:style w:type="character" w:customStyle="1" w:styleId="23">
    <w:name w:val="15"/>
    <w:qFormat/>
    <w:uiPriority w:val="0"/>
    <w:rPr>
      <w:rFonts w:hint="default" w:ascii="Calibri" w:hAnsi="Calibri" w:cs="Calibri"/>
    </w:rPr>
  </w:style>
  <w:style w:type="character" w:customStyle="1" w:styleId="24">
    <w:name w:val="UserStyle_0"/>
    <w:qFormat/>
    <w:uiPriority w:val="0"/>
    <w:rPr>
      <w:rFonts w:ascii="Calibri" w:hAnsi="Calibri"/>
      <w:kern w:val="2"/>
      <w:sz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ckuos/Desktop/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ckuos/Desktop/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ckuos/Desktop/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'[XLS 工作表.xls]Sheet1'!$B$8</c:f>
              <c:strCache>
                <c:ptCount val="1"/>
                <c:pt idx="0">
                  <c:v>总量（亿元）</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404040">
                        <a:lumMod val="75000"/>
                        <a:lumOff val="2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工作表.xls]Sheet1'!$C$7:$F$7</c:f>
              <c:strCache>
                <c:ptCount val="4"/>
                <c:pt idx="0">
                  <c:v>2020年</c:v>
                </c:pt>
                <c:pt idx="1">
                  <c:v>2021年</c:v>
                </c:pt>
                <c:pt idx="2">
                  <c:v>2022年</c:v>
                </c:pt>
                <c:pt idx="3">
                  <c:v>2023年</c:v>
                </c:pt>
              </c:strCache>
            </c:strRef>
          </c:cat>
          <c:val>
            <c:numRef>
              <c:f>'[XLS 工作表.xls]Sheet1'!$C$8:$F$8</c:f>
              <c:numCache>
                <c:formatCode>0.00_);[Red]\(0.00\)</c:formatCode>
                <c:ptCount val="4"/>
                <c:pt idx="0">
                  <c:v>55.2</c:v>
                </c:pt>
                <c:pt idx="1">
                  <c:v>60.63</c:v>
                </c:pt>
                <c:pt idx="2">
                  <c:v>66.31</c:v>
                </c:pt>
                <c:pt idx="3">
                  <c:v>72.4</c:v>
                </c:pt>
              </c:numCache>
            </c:numRef>
          </c:val>
        </c:ser>
        <c:dLbls>
          <c:showLegendKey val="0"/>
          <c:showVal val="1"/>
          <c:showCatName val="0"/>
          <c:showSerName val="0"/>
          <c:showPercent val="0"/>
          <c:showBubbleSize val="0"/>
        </c:dLbls>
        <c:gapWidth val="150"/>
        <c:axId val="83077376"/>
        <c:axId val="84382080"/>
      </c:barChart>
      <c:lineChart>
        <c:grouping val="standard"/>
        <c:varyColors val="0"/>
        <c:ser>
          <c:idx val="1"/>
          <c:order val="1"/>
          <c:tx>
            <c:strRef>
              <c:f>'[XLS 工作表.xls]Sheet1'!$B$9</c:f>
              <c:strCache>
                <c:ptCount val="1"/>
                <c:pt idx="0">
                  <c:v>增速（%）</c:v>
                </c:pt>
              </c:strCache>
            </c:strRef>
          </c:tx>
          <c:spPr>
            <a:ln w="28575" cap="rnd" cmpd="sng" algn="ctr">
              <a:solidFill>
                <a:srgbClr val="C0504D"/>
              </a:solidFill>
              <a:prstDash val="solid"/>
              <a:round/>
            </a:ln>
            <a:effectLst/>
          </c:spPr>
          <c:marker>
            <c:symbol val="none"/>
          </c:marker>
          <c:dLbls>
            <c:dLbl>
              <c:idx val="0"/>
              <c:layout>
                <c:manualLayout>
                  <c:x val="0.0239904038384646"/>
                  <c:y val="-0.005902026362384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14874050379848"/>
                  <c:y val="0.0147550659059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0483806477409"/>
                  <c:y val="-0.002951013181192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404040">
                        <a:lumMod val="75000"/>
                        <a:lumOff val="2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工作表.xls]Sheet1'!$C$7:$F$7</c:f>
              <c:strCache>
                <c:ptCount val="4"/>
                <c:pt idx="0">
                  <c:v>2020年</c:v>
                </c:pt>
                <c:pt idx="1">
                  <c:v>2021年</c:v>
                </c:pt>
                <c:pt idx="2">
                  <c:v>2022年</c:v>
                </c:pt>
                <c:pt idx="3">
                  <c:v>2023年</c:v>
                </c:pt>
              </c:strCache>
            </c:strRef>
          </c:cat>
          <c:val>
            <c:numRef>
              <c:f>'[XLS 工作表.xls]Sheet1'!$C$9:$F$9</c:f>
              <c:numCache>
                <c:formatCode>General</c:formatCode>
                <c:ptCount val="4"/>
                <c:pt idx="0">
                  <c:v>1.8</c:v>
                </c:pt>
                <c:pt idx="1">
                  <c:v>6.6</c:v>
                </c:pt>
                <c:pt idx="2">
                  <c:v>3.9</c:v>
                </c:pt>
                <c:pt idx="3">
                  <c:v>6</c:v>
                </c:pt>
              </c:numCache>
            </c:numRef>
          </c:val>
          <c:smooth val="0"/>
        </c:ser>
        <c:dLbls>
          <c:showLegendKey val="0"/>
          <c:showVal val="1"/>
          <c:showCatName val="0"/>
          <c:showSerName val="0"/>
          <c:showPercent val="0"/>
          <c:showBubbleSize val="0"/>
        </c:dLbls>
        <c:marker val="0"/>
        <c:smooth val="0"/>
        <c:axId val="84385152"/>
        <c:axId val="150657664"/>
      </c:lineChart>
      <c:catAx>
        <c:axId val="8307737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4382080"/>
        <c:crosses val="autoZero"/>
        <c:auto val="1"/>
        <c:lblAlgn val="ctr"/>
        <c:lblOffset val="100"/>
        <c:noMultiLvlLbl val="0"/>
      </c:catAx>
      <c:valAx>
        <c:axId val="8438208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0_);[Red]\(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3077376"/>
        <c:crosses val="autoZero"/>
        <c:crossBetween val="between"/>
      </c:valAx>
      <c:catAx>
        <c:axId val="84385152"/>
        <c:scaling>
          <c:orientation val="minMax"/>
        </c:scaling>
        <c:delete val="1"/>
        <c:axPos val="b"/>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0657664"/>
        <c:crosses val="autoZero"/>
        <c:auto val="1"/>
        <c:lblAlgn val="ctr"/>
        <c:lblOffset val="100"/>
        <c:noMultiLvlLbl val="0"/>
      </c:catAx>
      <c:valAx>
        <c:axId val="150657664"/>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438515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68740de0-971b-46b6-8d21-a64fe0bf1571}"/>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'[XLS 工作表.xls]Sheet1'!$B$31</c:f>
              <c:strCache>
                <c:ptCount val="1"/>
                <c:pt idx="0">
                  <c:v>投资总额（亿元）</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工作表.xls]Sheet1'!$C$30:$F$30</c:f>
              <c:strCache>
                <c:ptCount val="4"/>
                <c:pt idx="0">
                  <c:v>2020年</c:v>
                </c:pt>
                <c:pt idx="1">
                  <c:v>2021年</c:v>
                </c:pt>
                <c:pt idx="2">
                  <c:v>2022年</c:v>
                </c:pt>
                <c:pt idx="3">
                  <c:v>2023年</c:v>
                </c:pt>
              </c:strCache>
            </c:strRef>
          </c:cat>
          <c:val>
            <c:numRef>
              <c:f>'[XLS 工作表.xls]Sheet1'!$C$31:$F$31</c:f>
              <c:numCache>
                <c:formatCode>General</c:formatCode>
                <c:ptCount val="4"/>
                <c:pt idx="0">
                  <c:v>35.25</c:v>
                </c:pt>
                <c:pt idx="1">
                  <c:v>37.4</c:v>
                </c:pt>
                <c:pt idx="2">
                  <c:v>41.2</c:v>
                </c:pt>
                <c:pt idx="3">
                  <c:v>44.5</c:v>
                </c:pt>
              </c:numCache>
            </c:numRef>
          </c:val>
        </c:ser>
        <c:dLbls>
          <c:showLegendKey val="0"/>
          <c:showVal val="1"/>
          <c:showCatName val="0"/>
          <c:showSerName val="0"/>
          <c:showPercent val="0"/>
          <c:showBubbleSize val="0"/>
        </c:dLbls>
        <c:gapWidth val="150"/>
        <c:axId val="155773568"/>
        <c:axId val="164782848"/>
      </c:barChart>
      <c:lineChart>
        <c:grouping val="standard"/>
        <c:varyColors val="0"/>
        <c:ser>
          <c:idx val="1"/>
          <c:order val="1"/>
          <c:tx>
            <c:strRef>
              <c:f>'[XLS 工作表.xls]Sheet1'!$B$32</c:f>
              <c:strCache>
                <c:ptCount val="1"/>
                <c:pt idx="0">
                  <c:v>增速（%）</c:v>
                </c:pt>
              </c:strCache>
            </c:strRef>
          </c:tx>
          <c:spPr>
            <a:ln w="28575" cap="rnd" cmpd="sng" algn="ctr">
              <a:solidFill>
                <a:srgbClr val="C0504D"/>
              </a:solidFill>
              <a:prstDash val="solid"/>
              <a:round/>
            </a:ln>
            <a:effectLst/>
          </c:spPr>
          <c:marker>
            <c:symbol val="none"/>
          </c:marker>
          <c:dLbls>
            <c:dLbl>
              <c:idx val="0"/>
              <c:layout>
                <c:manualLayout>
                  <c:x val="0.0229166666666667"/>
                  <c:y val="0.0069428373061791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75"/>
                  <c:y val="-0.0069428373061791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0000000000001"/>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5833333333333"/>
                  <c:y val="0.0069428373061791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工作表.xls]Sheet1'!$C$30:$F$30</c:f>
              <c:strCache>
                <c:ptCount val="4"/>
                <c:pt idx="0">
                  <c:v>2020年</c:v>
                </c:pt>
                <c:pt idx="1">
                  <c:v>2021年</c:v>
                </c:pt>
                <c:pt idx="2">
                  <c:v>2022年</c:v>
                </c:pt>
                <c:pt idx="3">
                  <c:v>2023年</c:v>
                </c:pt>
              </c:strCache>
            </c:strRef>
          </c:cat>
          <c:val>
            <c:numRef>
              <c:f>'[XLS 工作表.xls]Sheet1'!$C$32:$F$32</c:f>
              <c:numCache>
                <c:formatCode>General</c:formatCode>
                <c:ptCount val="4"/>
                <c:pt idx="0">
                  <c:v>7.5</c:v>
                </c:pt>
                <c:pt idx="1">
                  <c:v>5</c:v>
                </c:pt>
                <c:pt idx="2">
                  <c:v>9.3</c:v>
                </c:pt>
                <c:pt idx="3">
                  <c:v>8</c:v>
                </c:pt>
              </c:numCache>
            </c:numRef>
          </c:val>
          <c:smooth val="0"/>
        </c:ser>
        <c:dLbls>
          <c:showLegendKey val="0"/>
          <c:showVal val="1"/>
          <c:showCatName val="0"/>
          <c:showSerName val="0"/>
          <c:showPercent val="0"/>
          <c:showBubbleSize val="0"/>
        </c:dLbls>
        <c:marker val="0"/>
        <c:smooth val="0"/>
        <c:axId val="164785152"/>
        <c:axId val="166433920"/>
      </c:lineChart>
      <c:catAx>
        <c:axId val="155773568"/>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64782848"/>
        <c:crosses val="autoZero"/>
        <c:auto val="1"/>
        <c:lblAlgn val="ctr"/>
        <c:lblOffset val="100"/>
        <c:noMultiLvlLbl val="0"/>
      </c:catAx>
      <c:valAx>
        <c:axId val="16478284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55773568"/>
        <c:crosses val="autoZero"/>
        <c:crossBetween val="between"/>
      </c:valAx>
      <c:catAx>
        <c:axId val="164785152"/>
        <c:scaling>
          <c:orientation val="minMax"/>
        </c:scaling>
        <c:delete val="1"/>
        <c:axPos val="b"/>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433920"/>
        <c:crosses val="autoZero"/>
        <c:auto val="1"/>
        <c:lblAlgn val="ctr"/>
        <c:lblOffset val="100"/>
        <c:noMultiLvlLbl val="0"/>
      </c:catAx>
      <c:valAx>
        <c:axId val="166433920"/>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6478515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04debae0-f749-4d16-a194-74a61289e7ed}"/>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'[XLS 工作表.xls]Sheet1'!$C$53</c:f>
              <c:strCache>
                <c:ptCount val="1"/>
                <c:pt idx="0">
                  <c:v>全市（%）</c:v>
                </c:pt>
              </c:strCache>
            </c:strRef>
          </c:tx>
          <c:spPr>
            <a:ln w="28575" cap="rnd" cmpd="dbl" algn="ctr">
              <a:solidFill>
                <a:srgbClr val="4F81BD"/>
              </a:solidFill>
              <a:prstDash val="sysDash"/>
              <a:round/>
            </a:ln>
            <a:effectLst/>
          </c:spPr>
          <c:marker>
            <c:symbol val="circle"/>
            <c:size val="5"/>
            <c:spPr>
              <a:solidFill>
                <a:srgbClr val="4F81BD"/>
              </a:solidFill>
              <a:ln w="9525" cap="flat" cmpd="sng" algn="ctr">
                <a:solidFill>
                  <a:srgbClr val="4F81BD"/>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404040">
                        <a:lumMod val="75000"/>
                        <a:lumOff val="2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工作表.xls]Sheet1'!$D$52:$N$52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'[XLS 工作表.xls]Sheet1'!$D$53:$N$53</c:f>
              <c:numCache>
                <c:formatCode>General</c:formatCode>
                <c:ptCount val="11"/>
                <c:pt idx="0">
                  <c:v>6.5</c:v>
                </c:pt>
                <c:pt idx="1">
                  <c:v>6</c:v>
                </c:pt>
                <c:pt idx="2">
                  <c:v>1.9</c:v>
                </c:pt>
                <c:pt idx="3">
                  <c:v>2.8</c:v>
                </c:pt>
                <c:pt idx="4">
                  <c:v>3.5</c:v>
                </c:pt>
                <c:pt idx="5">
                  <c:v>4.2</c:v>
                </c:pt>
                <c:pt idx="6">
                  <c:v>6.3</c:v>
                </c:pt>
                <c:pt idx="7">
                  <c:v>5.7</c:v>
                </c:pt>
                <c:pt idx="8">
                  <c:v>5.5</c:v>
                </c:pt>
                <c:pt idx="9">
                  <c:v>5.5</c:v>
                </c:pt>
                <c:pt idx="10">
                  <c:v>5.5</c:v>
                </c:pt>
              </c:numCache>
            </c:numRef>
          </c:val>
          <c:smooth val="0"/>
        </c:ser>
        <c:ser>
          <c:idx val="1"/>
          <c:order val="1"/>
          <c:tx>
            <c:strRef>
              <c:f>'[XLS 工作表.xls]Sheet1'!$C$54</c:f>
              <c:strCache>
                <c:ptCount val="1"/>
                <c:pt idx="0">
                  <c:v>全县（%）</c:v>
                </c:pt>
              </c:strCache>
            </c:strRef>
          </c:tx>
          <c:spPr>
            <a:ln w="28575" cap="rnd" cmpd="sng" algn="ctr">
              <a:solidFill>
                <a:srgbClr val="C0504D"/>
              </a:solidFill>
              <a:prstDash val="solid"/>
              <a:round/>
            </a:ln>
            <a:effectLst/>
          </c:spPr>
          <c:marker>
            <c:symbol val="circle"/>
            <c:size val="5"/>
            <c:spPr>
              <a:solidFill>
                <a:srgbClr val="C0504D"/>
              </a:solidFill>
              <a:ln w="9525" cap="flat" cmpd="sng" algn="ctr">
                <a:solidFill>
                  <a:srgbClr val="C0504D"/>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404040">
                        <a:lumMod val="75000"/>
                        <a:lumOff val="2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工作表.xls]Sheet1'!$D$52:$N$52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'[XLS 工作表.xls]Sheet1'!$D$54:$N$54</c:f>
              <c:numCache>
                <c:formatCode>General</c:formatCode>
                <c:ptCount val="11"/>
                <c:pt idx="0">
                  <c:v>9.5</c:v>
                </c:pt>
                <c:pt idx="1">
                  <c:v>11</c:v>
                </c:pt>
                <c:pt idx="2">
                  <c:v>10.8</c:v>
                </c:pt>
                <c:pt idx="3">
                  <c:v>9.6</c:v>
                </c:pt>
                <c:pt idx="4">
                  <c:v>10.9</c:v>
                </c:pt>
                <c:pt idx="5">
                  <c:v>11.7</c:v>
                </c:pt>
                <c:pt idx="6">
                  <c:v>16.3</c:v>
                </c:pt>
                <c:pt idx="7">
                  <c:v>16.6</c:v>
                </c:pt>
                <c:pt idx="8">
                  <c:v>15.6</c:v>
                </c:pt>
                <c:pt idx="9">
                  <c:v>16</c:v>
                </c:pt>
                <c:pt idx="10">
                  <c:v>15.1</c:v>
                </c:pt>
              </c:numCache>
            </c:numRef>
          </c:val>
          <c:smooth val="0"/>
        </c:ser>
        <c:dLbls>
          <c:showLegendKey val="0"/>
          <c:showVal val="1"/>
          <c:showCatName val="0"/>
          <c:showSerName val="0"/>
          <c:showPercent val="0"/>
          <c:showBubbleSize val="0"/>
        </c:dLbls>
        <c:marker val="1"/>
        <c:smooth val="0"/>
        <c:axId val="170883712"/>
        <c:axId val="174982272"/>
      </c:lineChart>
      <c:catAx>
        <c:axId val="170883712"/>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4982272"/>
        <c:crosses val="autoZero"/>
        <c:auto val="1"/>
        <c:lblAlgn val="ctr"/>
        <c:lblOffset val="100"/>
        <c:noMultiLvlLbl val="0"/>
      </c:catAx>
      <c:valAx>
        <c:axId val="17498227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08837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d86d7043-38bc-42d5-89a0-2c0aa4684bbc}"/>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10278</Words>
  <Characters>10879</Characters>
  <Lines>20</Lines>
  <Paragraphs>53</Paragraphs>
  <TotalTime>23</TotalTime>
  <ScaleCrop>false</ScaleCrop>
  <LinksUpToDate>false</LinksUpToDate>
  <CharactersWithSpaces>10952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2014-12-29T16:18:00Z</dcterms:created>
  <dc:creator>微软用户</dc:creator>
  <cp:lastModifiedBy>梁青青</cp:lastModifiedBy>
  <cp:lastPrinted>2024-02-22T23:26:00Z</cp:lastPrinted>
  <dcterms:modified xsi:type="dcterms:W3CDTF">2025-05-07T08:51:03Z</dcterms:modified>
  <dc:title>城口县旅游局</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3A1E62C36A3843B6ABCC94D4CC8CAA2B_12</vt:lpwstr>
  </property>
  <property fmtid="{D5CDD505-2E9C-101B-9397-08002B2CF9AE}" pid="4" name="KSOTemplateDocerSaveRecord">
    <vt:lpwstr>eyJoZGlkIjoiMWRiNjhjMzQxNzAzZTNhZjNlYzcwNDAxZDM4M2FiZDgiLCJ1c2VySWQiOiIxNjYyOTMxNjc4In0=</vt:lpwstr>
  </property>
</Properties>
</file>