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verflowPunct w:val="0"/>
        <w:spacing w:line="520" w:lineRule="exact"/>
        <w:jc w:val="center"/>
        <w:rPr>
          <w:rFonts w:ascii="Times New Roman" w:hAnsi="Times New Roman" w:eastAsia="方正小标宋_GBK"/>
          <w:color w:val="000000"/>
          <w:kern w:val="0"/>
          <w:sz w:val="44"/>
          <w:szCs w:val="44"/>
        </w:rPr>
      </w:pPr>
    </w:p>
    <w:p>
      <w:pPr>
        <w:widowControl/>
        <w:overflowPunct w:val="0"/>
        <w:spacing w:line="520" w:lineRule="exact"/>
        <w:jc w:val="center"/>
        <w:rPr>
          <w:rFonts w:ascii="Times New Roman" w:hAnsi="Times New Roman" w:eastAsia="方正小标宋_GBK"/>
          <w:color w:val="000000"/>
          <w:kern w:val="0"/>
          <w:sz w:val="44"/>
          <w:szCs w:val="44"/>
        </w:rPr>
      </w:pPr>
    </w:p>
    <w:p>
      <w:pPr>
        <w:rPr>
          <w:rFonts w:ascii="Times New Roman" w:hAnsi="Times New Roman"/>
          <w:szCs w:val="32"/>
        </w:rPr>
      </w:pPr>
    </w:p>
    <w:p>
      <w:pPr>
        <w:jc w:val="center"/>
        <w:rPr>
          <w:rFonts w:ascii="Times New Roman" w:hAnsi="Times New Roman" w:eastAsia="方正仿宋_GBK"/>
          <w:sz w:val="32"/>
          <w:szCs w:val="32"/>
        </w:rPr>
      </w:pPr>
      <w:r>
        <w:rPr>
          <w:rFonts w:ascii="Times New Roman" w:hAnsi="Times New Roman" w:eastAsia="方正仿宋_GBK"/>
          <w:sz w:val="32"/>
          <w:szCs w:val="32"/>
        </w:rPr>
        <w:t>城府发〔2021〕4号</w:t>
      </w:r>
    </w:p>
    <w:p>
      <w:pPr>
        <w:widowControl/>
        <w:overflowPunct w:val="0"/>
        <w:spacing w:line="560" w:lineRule="exact"/>
        <w:jc w:val="center"/>
        <w:rPr>
          <w:rFonts w:ascii="Times New Roman" w:hAnsi="Times New Roman" w:eastAsia="方正小标宋_GBK"/>
          <w:color w:val="000000"/>
          <w:kern w:val="0"/>
          <w:sz w:val="44"/>
          <w:szCs w:val="44"/>
        </w:rPr>
      </w:pPr>
    </w:p>
    <w:p>
      <w:pPr>
        <w:pStyle w:val="2"/>
      </w:pPr>
    </w:p>
    <w:p>
      <w:pPr>
        <w:widowControl/>
        <w:overflowPunct w:val="0"/>
        <w:spacing w:line="520" w:lineRule="exact"/>
        <w:jc w:val="center"/>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城口县人民政府</w:t>
      </w:r>
    </w:p>
    <w:p>
      <w:pPr>
        <w:widowControl/>
        <w:overflowPunct w:val="0"/>
        <w:spacing w:line="520" w:lineRule="exact"/>
        <w:jc w:val="center"/>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关于印发《城口县国民经济和社会发展</w:t>
      </w:r>
    </w:p>
    <w:p>
      <w:pPr>
        <w:widowControl/>
        <w:overflowPunct w:val="0"/>
        <w:spacing w:line="520" w:lineRule="exact"/>
        <w:jc w:val="center"/>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第十四个五年规划和二〇三五年</w:t>
      </w:r>
    </w:p>
    <w:p>
      <w:pPr>
        <w:widowControl/>
        <w:overflowPunct w:val="0"/>
        <w:spacing w:line="520" w:lineRule="exact"/>
        <w:jc w:val="center"/>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远景目标纲要》的通知</w:t>
      </w:r>
    </w:p>
    <w:p>
      <w:pPr>
        <w:widowControl/>
        <w:overflowPunct w:val="0"/>
        <w:spacing w:line="520" w:lineRule="exact"/>
        <w:jc w:val="center"/>
        <w:rPr>
          <w:rFonts w:ascii="Times New Roman" w:hAnsi="Times New Roman" w:eastAsia="方正小标宋_GBK"/>
          <w:color w:val="000000"/>
          <w:kern w:val="0"/>
          <w:sz w:val="44"/>
          <w:szCs w:val="44"/>
        </w:rPr>
      </w:pPr>
    </w:p>
    <w:p>
      <w:pPr>
        <w:widowControl/>
        <w:overflowPunct w:val="0"/>
        <w:spacing w:line="520" w:lineRule="exact"/>
        <w:jc w:val="left"/>
        <w:rPr>
          <w:rFonts w:ascii="Times New Roman" w:hAnsi="Times New Roman" w:eastAsia="方正仿宋_GBK"/>
          <w:sz w:val="32"/>
          <w:szCs w:val="32"/>
        </w:rPr>
      </w:pPr>
      <w:r>
        <w:rPr>
          <w:rFonts w:ascii="Times New Roman" w:hAnsi="Times New Roman" w:eastAsia="方正仿宋_GBK"/>
          <w:color w:val="000000"/>
          <w:kern w:val="0"/>
          <w:sz w:val="32"/>
          <w:szCs w:val="32"/>
        </w:rPr>
        <w:t>各乡镇人民政府（街道办事处），县政府各部门，有关单位：</w:t>
      </w:r>
    </w:p>
    <w:p>
      <w:pPr>
        <w:widowControl/>
        <w:overflowPunct w:val="0"/>
        <w:spacing w:line="520" w:lineRule="exact"/>
        <w:ind w:firstLine="640" w:firstLineChars="200"/>
        <w:jc w:val="lef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《城口县</w:t>
      </w:r>
      <w:r>
        <w:rPr>
          <w:rFonts w:ascii="Times New Roman" w:hAnsi="Times New Roman" w:eastAsia="方正仿宋_GBK"/>
          <w:color w:val="000000"/>
          <w:sz w:val="32"/>
          <w:szCs w:val="32"/>
        </w:rPr>
        <w:t>国民经济和社会发展第十四个五年规划和二〇三五年远景目标纲要</w:t>
      </w:r>
      <w:r>
        <w:rPr>
          <w:rFonts w:ascii="Times New Roman" w:hAnsi="Times New Roman" w:eastAsia="方正仿宋_GBK"/>
          <w:color w:val="000000"/>
          <w:kern w:val="0"/>
          <w:sz w:val="32"/>
          <w:szCs w:val="32"/>
        </w:rPr>
        <w:t>》已经县</w:t>
      </w:r>
      <w:r>
        <w:rPr>
          <w:rFonts w:ascii="Times New Roman" w:hAnsi="Times New Roman" w:eastAsia="方正仿宋_GBK"/>
          <w:sz w:val="32"/>
          <w:szCs w:val="32"/>
        </w:rPr>
        <w:t>第十七届人民代表大会第五次会议批准，现印发给你们，请认真贯彻执行。</w:t>
      </w:r>
    </w:p>
    <w:p>
      <w:pPr>
        <w:widowControl/>
        <w:overflowPunct w:val="0"/>
        <w:spacing w:line="520" w:lineRule="exact"/>
        <w:jc w:val="left"/>
        <w:rPr>
          <w:rFonts w:ascii="Times New Roman" w:hAnsi="Times New Roman" w:eastAsia="方正仿宋_GBK"/>
          <w:color w:val="000000"/>
          <w:kern w:val="0"/>
          <w:sz w:val="32"/>
          <w:szCs w:val="32"/>
        </w:rPr>
      </w:pPr>
    </w:p>
    <w:p>
      <w:pPr>
        <w:pStyle w:val="2"/>
        <w:spacing w:line="520" w:lineRule="exact"/>
        <w:rPr>
          <w:rFonts w:ascii="Times New Roman" w:hAnsi="Times New Roman" w:cs="Times New Roman"/>
        </w:rPr>
      </w:pPr>
    </w:p>
    <w:p>
      <w:pPr>
        <w:widowControl/>
        <w:overflowPunct w:val="0"/>
        <w:spacing w:line="520" w:lineRule="exact"/>
        <w:ind w:firstLine="5120" w:firstLineChars="1600"/>
        <w:jc w:val="left"/>
        <w:rPr>
          <w:rFonts w:ascii="Times New Roman" w:hAnsi="Times New Roman" w:eastAsia="方正仿宋_GBK"/>
          <w:sz w:val="32"/>
          <w:szCs w:val="32"/>
        </w:rPr>
      </w:pPr>
      <w:r>
        <w:rPr>
          <w:rFonts w:ascii="Times New Roman" w:hAnsi="Times New Roman" w:eastAsia="方正仿宋_GBK"/>
          <w:color w:val="000000"/>
          <w:kern w:val="0"/>
          <w:sz w:val="32"/>
          <w:szCs w:val="32"/>
        </w:rPr>
        <w:t>城口县人民政府</w:t>
      </w:r>
    </w:p>
    <w:p>
      <w:pPr>
        <w:widowControl/>
        <w:overflowPunct w:val="0"/>
        <w:spacing w:line="520" w:lineRule="exact"/>
        <w:ind w:firstLine="4960" w:firstLineChars="1550"/>
        <w:jc w:val="left"/>
        <w:rPr>
          <w:rFonts w:ascii="Times New Roman" w:hAnsi="Times New Roman" w:eastAsia="方正仿宋_GBK"/>
          <w:sz w:val="32"/>
          <w:szCs w:val="32"/>
        </w:rPr>
      </w:pPr>
      <w:r>
        <w:rPr>
          <w:rFonts w:ascii="Times New Roman" w:hAnsi="Times New Roman" w:eastAsia="方正仿宋_GBK"/>
          <w:color w:val="000000"/>
          <w:kern w:val="0"/>
          <w:sz w:val="32"/>
          <w:szCs w:val="32"/>
        </w:rPr>
        <w:t>2021年4月16日</w:t>
      </w:r>
    </w:p>
    <w:p>
      <w:pPr>
        <w:pStyle w:val="25"/>
        <w:overflowPunct w:val="0"/>
        <w:adjustRightInd w:val="0"/>
        <w:snapToGrid w:val="0"/>
        <w:spacing w:after="0" w:line="520" w:lineRule="exact"/>
        <w:ind w:firstLine="320"/>
        <w:rPr>
          <w:rFonts w:ascii="Times New Roman" w:hAnsi="Times New Roman"/>
          <w:sz w:val="32"/>
          <w:szCs w:val="32"/>
        </w:rPr>
      </w:pPr>
    </w:p>
    <w:p>
      <w:pPr>
        <w:pStyle w:val="25"/>
        <w:overflowPunct w:val="0"/>
        <w:adjustRightInd w:val="0"/>
        <w:snapToGrid w:val="0"/>
        <w:spacing w:after="0" w:line="560" w:lineRule="exact"/>
        <w:ind w:firstLine="320"/>
        <w:rPr>
          <w:rFonts w:ascii="Times New Roman" w:hAnsi="Times New Roman"/>
          <w:sz w:val="32"/>
          <w:szCs w:val="32"/>
        </w:rPr>
      </w:pPr>
    </w:p>
    <w:p>
      <w:pPr>
        <w:pStyle w:val="25"/>
        <w:overflowPunct w:val="0"/>
        <w:adjustRightInd w:val="0"/>
        <w:snapToGrid w:val="0"/>
        <w:spacing w:after="0" w:line="560" w:lineRule="exact"/>
        <w:ind w:firstLine="0" w:firstLineChars="0"/>
        <w:rPr>
          <w:rFonts w:ascii="Times New Roman" w:hAnsi="Times New Roman"/>
          <w:sz w:val="32"/>
          <w:szCs w:val="32"/>
        </w:rPr>
      </w:pPr>
    </w:p>
    <w:p>
      <w:pPr>
        <w:pStyle w:val="25"/>
        <w:overflowPunct w:val="0"/>
        <w:adjustRightInd w:val="0"/>
        <w:snapToGrid w:val="0"/>
        <w:spacing w:after="0" w:line="560" w:lineRule="exact"/>
        <w:ind w:firstLine="0" w:firstLineChars="0"/>
        <w:rPr>
          <w:rFonts w:ascii="Times New Roman" w:hAnsi="Times New Roman"/>
          <w:sz w:val="32"/>
          <w:szCs w:val="32"/>
        </w:rPr>
      </w:pPr>
    </w:p>
    <w:p>
      <w:pPr>
        <w:overflowPunct w:val="0"/>
        <w:adjustRightInd w:val="0"/>
        <w:snapToGrid w:val="0"/>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城口县国民经济和社会发展</w:t>
      </w:r>
    </w:p>
    <w:p>
      <w:pPr>
        <w:overflowPunct w:val="0"/>
        <w:adjustRightInd w:val="0"/>
        <w:snapToGrid w:val="0"/>
        <w:spacing w:line="560" w:lineRule="exact"/>
        <w:jc w:val="center"/>
        <w:rPr>
          <w:rFonts w:ascii="Times New Roman" w:hAnsi="Times New Roman" w:eastAsia="方正小标宋_GBK"/>
          <w:sz w:val="32"/>
          <w:szCs w:val="32"/>
        </w:rPr>
      </w:pPr>
      <w:r>
        <w:rPr>
          <w:rFonts w:ascii="Times New Roman" w:hAnsi="Times New Roman" w:eastAsia="方正小标宋_GBK"/>
          <w:sz w:val="44"/>
          <w:szCs w:val="44"/>
        </w:rPr>
        <w:t>第十四个五年规划和二〇三五年远景目标纲要</w:t>
      </w:r>
    </w:p>
    <w:p>
      <w:pPr>
        <w:overflowPunct w:val="0"/>
        <w:adjustRightInd w:val="0"/>
        <w:snapToGrid w:val="0"/>
        <w:spacing w:line="560" w:lineRule="exact"/>
        <w:jc w:val="center"/>
        <w:rPr>
          <w:rFonts w:ascii="Times New Roman" w:hAnsi="Times New Roman" w:eastAsia="方正楷体_GBK"/>
          <w:sz w:val="32"/>
          <w:szCs w:val="32"/>
        </w:rPr>
      </w:pPr>
    </w:p>
    <w:p>
      <w:pPr>
        <w:overflowPunct w:val="0"/>
        <w:adjustRightInd w:val="0"/>
        <w:snapToGrid w:val="0"/>
        <w:spacing w:line="560" w:lineRule="exact"/>
        <w:jc w:val="center"/>
        <w:rPr>
          <w:rFonts w:ascii="Times New Roman" w:hAnsi="Times New Roman" w:eastAsia="方正楷体_GBK"/>
          <w:sz w:val="32"/>
          <w:szCs w:val="32"/>
        </w:rPr>
      </w:pPr>
    </w:p>
    <w:p>
      <w:pPr>
        <w:overflowPunct w:val="0"/>
        <w:adjustRightInd w:val="0"/>
        <w:snapToGrid w:val="0"/>
        <w:spacing w:line="560" w:lineRule="exact"/>
        <w:jc w:val="center"/>
        <w:rPr>
          <w:rFonts w:ascii="Times New Roman" w:hAnsi="Times New Roman" w:eastAsia="方正楷体_GBK"/>
          <w:sz w:val="32"/>
          <w:szCs w:val="32"/>
        </w:rPr>
      </w:pPr>
    </w:p>
    <w:p>
      <w:pPr>
        <w:overflowPunct w:val="0"/>
        <w:adjustRightInd w:val="0"/>
        <w:snapToGrid w:val="0"/>
        <w:spacing w:line="560" w:lineRule="exact"/>
        <w:jc w:val="center"/>
        <w:rPr>
          <w:rFonts w:ascii="Times New Roman" w:hAnsi="Times New Roman" w:eastAsia="方正楷体_GBK"/>
          <w:sz w:val="32"/>
          <w:szCs w:val="32"/>
        </w:rPr>
      </w:pPr>
    </w:p>
    <w:p>
      <w:pPr>
        <w:overflowPunct w:val="0"/>
        <w:adjustRightInd w:val="0"/>
        <w:snapToGrid w:val="0"/>
        <w:spacing w:line="560" w:lineRule="exact"/>
        <w:jc w:val="center"/>
        <w:rPr>
          <w:rFonts w:ascii="Times New Roman" w:hAnsi="Times New Roman" w:eastAsia="方正楷体_GBK"/>
          <w:sz w:val="32"/>
          <w:szCs w:val="32"/>
        </w:rPr>
      </w:pPr>
    </w:p>
    <w:p>
      <w:pPr>
        <w:overflowPunct w:val="0"/>
        <w:adjustRightInd w:val="0"/>
        <w:snapToGrid w:val="0"/>
        <w:spacing w:line="560" w:lineRule="exact"/>
        <w:jc w:val="center"/>
        <w:rPr>
          <w:rFonts w:ascii="Times New Roman" w:hAnsi="Times New Roman" w:eastAsia="方正楷体_GBK"/>
          <w:sz w:val="32"/>
          <w:szCs w:val="32"/>
        </w:rPr>
      </w:pPr>
    </w:p>
    <w:p>
      <w:pPr>
        <w:overflowPunct w:val="0"/>
        <w:adjustRightInd w:val="0"/>
        <w:snapToGrid w:val="0"/>
        <w:spacing w:line="560" w:lineRule="exact"/>
        <w:jc w:val="center"/>
        <w:rPr>
          <w:rFonts w:ascii="Times New Roman" w:hAnsi="Times New Roman" w:eastAsia="方正楷体_GBK"/>
          <w:sz w:val="32"/>
          <w:szCs w:val="32"/>
        </w:rPr>
      </w:pPr>
    </w:p>
    <w:p>
      <w:pPr>
        <w:overflowPunct w:val="0"/>
        <w:adjustRightInd w:val="0"/>
        <w:snapToGrid w:val="0"/>
        <w:spacing w:line="560" w:lineRule="exact"/>
        <w:jc w:val="center"/>
        <w:rPr>
          <w:rFonts w:ascii="Times New Roman" w:hAnsi="Times New Roman" w:eastAsia="方正楷体_GBK"/>
          <w:sz w:val="32"/>
          <w:szCs w:val="32"/>
        </w:rPr>
      </w:pPr>
    </w:p>
    <w:p>
      <w:pPr>
        <w:overflowPunct w:val="0"/>
        <w:adjustRightInd w:val="0"/>
        <w:snapToGrid w:val="0"/>
        <w:spacing w:line="560" w:lineRule="exact"/>
        <w:jc w:val="center"/>
        <w:rPr>
          <w:rFonts w:ascii="Times New Roman" w:hAnsi="Times New Roman" w:eastAsia="方正楷体_GBK"/>
          <w:sz w:val="32"/>
          <w:szCs w:val="32"/>
        </w:rPr>
      </w:pPr>
    </w:p>
    <w:p>
      <w:pPr>
        <w:overflowPunct w:val="0"/>
        <w:adjustRightInd w:val="0"/>
        <w:snapToGrid w:val="0"/>
        <w:spacing w:line="560" w:lineRule="exact"/>
        <w:jc w:val="center"/>
        <w:rPr>
          <w:rFonts w:ascii="Times New Roman" w:hAnsi="Times New Roman" w:eastAsia="方正楷体_GBK"/>
          <w:sz w:val="32"/>
          <w:szCs w:val="32"/>
        </w:rPr>
      </w:pPr>
    </w:p>
    <w:p>
      <w:pPr>
        <w:overflowPunct w:val="0"/>
        <w:adjustRightInd w:val="0"/>
        <w:snapToGrid w:val="0"/>
        <w:spacing w:line="560" w:lineRule="exact"/>
        <w:jc w:val="center"/>
        <w:rPr>
          <w:rFonts w:ascii="Times New Roman" w:hAnsi="Times New Roman" w:eastAsia="方正楷体_GBK"/>
          <w:sz w:val="32"/>
          <w:szCs w:val="32"/>
        </w:rPr>
      </w:pPr>
    </w:p>
    <w:p>
      <w:pPr>
        <w:pStyle w:val="2"/>
        <w:overflowPunct w:val="0"/>
        <w:rPr>
          <w:rFonts w:ascii="Times New Roman" w:hAnsi="Times New Roman" w:eastAsia="方正楷体_GBK" w:cs="Times New Roman"/>
        </w:rPr>
      </w:pPr>
    </w:p>
    <w:p>
      <w:pPr>
        <w:pStyle w:val="2"/>
        <w:overflowPunct w:val="0"/>
        <w:rPr>
          <w:rFonts w:ascii="Times New Roman" w:hAnsi="Times New Roman" w:cs="Times New Roman"/>
        </w:rPr>
      </w:pPr>
    </w:p>
    <w:p>
      <w:pPr>
        <w:overflowPunct w:val="0"/>
        <w:adjustRightInd w:val="0"/>
        <w:snapToGrid w:val="0"/>
        <w:spacing w:line="560" w:lineRule="exact"/>
        <w:jc w:val="center"/>
        <w:rPr>
          <w:rFonts w:ascii="Times New Roman" w:hAnsi="Times New Roman" w:eastAsia="方正楷体_GBK"/>
          <w:sz w:val="32"/>
          <w:szCs w:val="32"/>
        </w:rPr>
      </w:pPr>
    </w:p>
    <w:p>
      <w:pPr>
        <w:overflowPunct w:val="0"/>
        <w:adjustRightInd w:val="0"/>
        <w:snapToGrid w:val="0"/>
        <w:spacing w:line="560" w:lineRule="exact"/>
        <w:jc w:val="center"/>
        <w:rPr>
          <w:rFonts w:ascii="Times New Roman" w:hAnsi="Times New Roman" w:eastAsia="方正楷体_GBK"/>
          <w:sz w:val="44"/>
          <w:szCs w:val="44"/>
        </w:rPr>
      </w:pPr>
      <w:r>
        <w:rPr>
          <w:rFonts w:ascii="Times New Roman" w:hAnsi="Times New Roman" w:eastAsia="方正楷体_GBK"/>
          <w:sz w:val="44"/>
          <w:szCs w:val="44"/>
        </w:rPr>
        <w:t>2021年4月</w:t>
      </w:r>
    </w:p>
    <w:p>
      <w:pPr>
        <w:widowControl/>
        <w:jc w:val="left"/>
        <w:rPr>
          <w:rFonts w:ascii="Times New Roman" w:hAnsi="Times New Roman" w:eastAsia="方正楷体_GBK"/>
          <w:sz w:val="44"/>
          <w:szCs w:val="44"/>
        </w:rPr>
        <w:sectPr>
          <w:footerReference r:id="rId3" w:type="default"/>
          <w:footerReference r:id="rId4" w:type="even"/>
          <w:pgSz w:w="11906" w:h="16838"/>
          <w:pgMar w:top="2098" w:right="1474" w:bottom="1984" w:left="1587" w:header="851" w:footer="992" w:gutter="0"/>
          <w:cols w:space="720" w:num="1"/>
          <w:docGrid w:type="lines" w:linePitch="312" w:charSpace="0"/>
        </w:sectPr>
      </w:pPr>
    </w:p>
    <w:p>
      <w:pPr>
        <w:overflowPunct w:val="0"/>
        <w:jc w:val="center"/>
        <w:rPr>
          <w:rFonts w:ascii="Times New Roman" w:hAnsi="Times New Roman" w:eastAsia="方正仿宋_GBK"/>
          <w:sz w:val="28"/>
          <w:szCs w:val="28"/>
        </w:rPr>
      </w:pPr>
      <w:bookmarkStart w:id="0" w:name="_Toc22973"/>
      <w:bookmarkStart w:id="1" w:name="_Toc7770"/>
      <w:bookmarkStart w:id="2" w:name="_Toc20805"/>
      <w:bookmarkStart w:id="3" w:name="_Toc11938"/>
      <w:bookmarkStart w:id="4" w:name="_Toc11298"/>
      <w:bookmarkStart w:id="5" w:name="_Toc13640"/>
      <w:bookmarkStart w:id="6" w:name="_Toc28196"/>
      <w:bookmarkStart w:id="7" w:name="_Toc1061"/>
      <w:bookmarkStart w:id="8" w:name="_Toc24979"/>
      <w:bookmarkStart w:id="9" w:name="_Toc20675"/>
      <w:bookmarkStart w:id="10" w:name="_Toc59949171"/>
      <w:bookmarkStart w:id="11" w:name="_Toc31671"/>
      <w:bookmarkStart w:id="12" w:name="_Toc4879"/>
      <w:bookmarkStart w:id="13" w:name="_Toc16881"/>
      <w:bookmarkStart w:id="14" w:name="_Toc7155"/>
      <w:bookmarkStart w:id="15" w:name="_Toc2568"/>
      <w:bookmarkStart w:id="16" w:name="_Toc27143"/>
      <w:bookmarkStart w:id="17" w:name="_Toc59885268"/>
      <w:bookmarkStart w:id="18" w:name="_Toc5841"/>
      <w:bookmarkStart w:id="19" w:name="_Toc30482"/>
      <w:bookmarkStart w:id="20" w:name="_Toc29252"/>
      <w:bookmarkStart w:id="21" w:name="_Toc30156"/>
      <w:bookmarkStart w:id="22" w:name="_Toc21104"/>
      <w:r>
        <w:rPr>
          <w:rFonts w:ascii="Times New Roman" w:hAnsi="Times New Roman" w:eastAsia="方正小标宋_GBK"/>
          <w:sz w:val="44"/>
          <w:szCs w:val="44"/>
        </w:rPr>
        <w:t>目  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18"/>
        <w:tabs>
          <w:tab w:val="right" w:leader="dot" w:pos="8306"/>
        </w:tabs>
        <w:overflowPunct w:val="0"/>
        <w:rPr>
          <w:rFonts w:ascii="Times New Roman" w:hAnsi="Times New Roman" w:eastAsia="方正仿宋_GBK"/>
          <w:sz w:val="28"/>
          <w:szCs w:val="28"/>
        </w:rPr>
      </w:pPr>
    </w:p>
    <w:p>
      <w:pPr>
        <w:pStyle w:val="18"/>
        <w:tabs>
          <w:tab w:val="right" w:leader="dot" w:pos="8306"/>
        </w:tabs>
        <w:overflowPunct w:val="0"/>
        <w:rPr>
          <w:rFonts w:ascii="Times New Roman" w:hAnsi="Times New Roman" w:eastAsia="方正仿宋_GBK"/>
          <w:sz w:val="32"/>
          <w:szCs w:val="32"/>
        </w:rPr>
      </w:pP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TOC \o "1-3" \h \z \u </w:instrText>
      </w:r>
      <w:r>
        <w:rPr>
          <w:rFonts w:ascii="Times New Roman" w:hAnsi="Times New Roman" w:eastAsia="方正仿宋_GBK"/>
          <w:sz w:val="28"/>
          <w:szCs w:val="28"/>
        </w:rPr>
        <w:fldChar w:fldCharType="separate"/>
      </w:r>
      <w:r>
        <w:fldChar w:fldCharType="begin"/>
      </w:r>
      <w:r>
        <w:instrText xml:space="preserve"> HYPERLINK "file:///C:\\Users\\Administrator\\Documents\\My%20RTX%20Files\\xuexx\\城府发〔2021〕4号关于印发《城口县国民经济和社会发展第十四个五年规划和二〇三五年远景目标纲要》的通知.doc" \l "_Toc6529" </w:instrText>
      </w:r>
      <w:r>
        <w:fldChar w:fldCharType="separate"/>
      </w:r>
      <w:r>
        <w:rPr>
          <w:rStyle w:val="32"/>
          <w:rFonts w:ascii="Times New Roman" w:hAnsi="Times New Roman" w:eastAsia="方正黑体_GBK"/>
          <w:bCs/>
          <w:kern w:val="44"/>
          <w:sz w:val="32"/>
          <w:szCs w:val="32"/>
        </w:rPr>
        <w:t>第一篇  开启社会主义现代化新征程</w:t>
      </w:r>
      <w:r>
        <w:rPr>
          <w:rStyle w:val="32"/>
          <w:rFonts w:ascii="Times New Roman" w:hAnsi="Times New Roman" w:eastAsia="方正黑体_GBK"/>
          <w:sz w:val="32"/>
          <w:szCs w:val="32"/>
        </w:rPr>
        <w:tab/>
      </w:r>
      <w:r>
        <w:rPr>
          <w:rStyle w:val="32"/>
          <w:rFonts w:ascii="Times New Roman" w:hAnsi="Times New Roman" w:eastAsia="方正黑体_GBK"/>
          <w:sz w:val="32"/>
          <w:szCs w:val="32"/>
        </w:rPr>
        <w:fldChar w:fldCharType="begin"/>
      </w:r>
      <w:r>
        <w:rPr>
          <w:rStyle w:val="32"/>
          <w:rFonts w:ascii="Times New Roman" w:hAnsi="Times New Roman" w:eastAsia="方正黑体_GBK"/>
          <w:sz w:val="32"/>
          <w:szCs w:val="32"/>
        </w:rPr>
        <w:instrText xml:space="preserve"> PAGEREF _Toc6529 \h </w:instrText>
      </w:r>
      <w:r>
        <w:rPr>
          <w:rStyle w:val="32"/>
          <w:rFonts w:ascii="Times New Roman" w:hAnsi="Times New Roman" w:eastAsia="方正黑体_GBK"/>
          <w:sz w:val="32"/>
          <w:szCs w:val="32"/>
        </w:rPr>
        <w:fldChar w:fldCharType="separate"/>
      </w:r>
      <w:r>
        <w:rPr>
          <w:rStyle w:val="32"/>
          <w:rFonts w:ascii="Times New Roman" w:hAnsi="Times New Roman" w:eastAsia="方正黑体_GBK"/>
          <w:sz w:val="32"/>
          <w:szCs w:val="32"/>
        </w:rPr>
        <w:t>10</w:t>
      </w:r>
      <w:r>
        <w:rPr>
          <w:rStyle w:val="32"/>
          <w:rFonts w:ascii="Times New Roman" w:hAnsi="Times New Roman" w:eastAsia="方正黑体_GBK"/>
          <w:sz w:val="32"/>
          <w:szCs w:val="32"/>
        </w:rPr>
        <w:fldChar w:fldCharType="end"/>
      </w:r>
      <w:r>
        <w:rPr>
          <w:rStyle w:val="32"/>
          <w:rFonts w:ascii="Times New Roman" w:hAnsi="Times New Roman" w:eastAsia="方正黑体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"_Toc30019" </w:instrText>
      </w:r>
      <w:r>
        <w:fldChar w:fldCharType="separate"/>
      </w:r>
      <w:r>
        <w:rPr>
          <w:rStyle w:val="32"/>
          <w:rFonts w:ascii="Times New Roman" w:hAnsi="Times New Roman" w:eastAsia="方正楷体_GBK"/>
          <w:bCs/>
          <w:kern w:val="44"/>
          <w:sz w:val="32"/>
          <w:szCs w:val="32"/>
        </w:rPr>
        <w:t>第一章  发展环境</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_Toc30019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10</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"_Toc4466" </w:instrText>
      </w:r>
      <w:r>
        <w:fldChar w:fldCharType="separate"/>
      </w:r>
      <w:r>
        <w:rPr>
          <w:rStyle w:val="32"/>
          <w:rFonts w:ascii="Times New Roman" w:hAnsi="Times New Roman" w:eastAsia="方正仿宋_GBK"/>
          <w:sz w:val="32"/>
          <w:szCs w:val="32"/>
        </w:rPr>
        <w:t>第一节  决胜全面建成小康社会取得决定性成就</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_Toc4466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"_Toc15027" </w:instrText>
      </w:r>
      <w:r>
        <w:fldChar w:fldCharType="separate"/>
      </w:r>
      <w:r>
        <w:rPr>
          <w:rStyle w:val="32"/>
          <w:rFonts w:ascii="Times New Roman" w:hAnsi="Times New Roman" w:eastAsia="方正仿宋_GBK"/>
          <w:sz w:val="32"/>
          <w:szCs w:val="32"/>
        </w:rPr>
        <w:t>第二节  机遇和挑战</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_Toc15027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14</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"_Toc24815" </w:instrText>
      </w:r>
      <w:r>
        <w:fldChar w:fldCharType="separate"/>
      </w:r>
      <w:r>
        <w:rPr>
          <w:rStyle w:val="32"/>
          <w:rFonts w:ascii="Times New Roman" w:hAnsi="Times New Roman" w:eastAsia="方正楷体_GBK"/>
          <w:bCs/>
          <w:kern w:val="44"/>
          <w:sz w:val="32"/>
          <w:szCs w:val="32"/>
        </w:rPr>
        <w:t>第二章  指导方针</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_Toc24815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"_Toc30189" </w:instrText>
      </w:r>
      <w:r>
        <w:fldChar w:fldCharType="separate"/>
      </w:r>
      <w:r>
        <w:rPr>
          <w:rStyle w:val="32"/>
          <w:rFonts w:ascii="Times New Roman" w:hAnsi="Times New Roman" w:eastAsia="方正仿宋_GBK"/>
          <w:sz w:val="32"/>
          <w:szCs w:val="32"/>
        </w:rPr>
        <w:t>第一节指导思想</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_Toc30189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"_Toc5842" </w:instrText>
      </w:r>
      <w:r>
        <w:fldChar w:fldCharType="separate"/>
      </w:r>
      <w:r>
        <w:rPr>
          <w:rStyle w:val="32"/>
          <w:rFonts w:ascii="Times New Roman" w:hAnsi="Times New Roman" w:eastAsia="方正仿宋_GBK"/>
          <w:sz w:val="32"/>
          <w:szCs w:val="32"/>
        </w:rPr>
        <w:t>第二节  基本原则</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_Toc5842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17</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"_Toc28604" </w:instrText>
      </w:r>
      <w:r>
        <w:fldChar w:fldCharType="separate"/>
      </w:r>
      <w:r>
        <w:rPr>
          <w:rStyle w:val="32"/>
          <w:rFonts w:ascii="Times New Roman" w:hAnsi="Times New Roman" w:eastAsia="方正楷体_GBK"/>
          <w:bCs/>
          <w:kern w:val="44"/>
          <w:sz w:val="32"/>
          <w:szCs w:val="32"/>
        </w:rPr>
        <w:t>第三章发展目标</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_Toc28604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18</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960" w:firstLineChars="300"/>
        <w:rPr>
          <w:rFonts w:ascii="Times New Roman" w:hAnsi="Times New Roman" w:eastAsia="方正仿宋_GBK"/>
          <w:sz w:val="32"/>
          <w:szCs w:val="32"/>
        </w:rPr>
      </w:pPr>
      <w:r>
        <w:rPr>
          <w:rFonts w:ascii="Times New Roman" w:hAnsi="Times New Roman" w:eastAsia="方正仿宋_GBK"/>
          <w:sz w:val="32"/>
          <w:szCs w:val="32"/>
        </w:rPr>
        <w:t>第一节  “十四五”发展主要目标</w:t>
      </w:r>
      <w:r>
        <w:rPr>
          <w:rFonts w:ascii="Times New Roman" w:hAnsi="Times New Roman" w:eastAsia="方正仿宋_GBK"/>
          <w:sz w:val="32"/>
          <w:szCs w:val="32"/>
        </w:rPr>
        <w:tab/>
      </w:r>
      <w:r>
        <w:rPr>
          <w:rFonts w:ascii="Times New Roman" w:hAnsi="Times New Roman" w:eastAsia="方正仿宋_GBK"/>
          <w:sz w:val="32"/>
          <w:szCs w:val="32"/>
        </w:rPr>
        <w:t>-10-</w:t>
      </w:r>
    </w:p>
    <w:p>
      <w:pPr>
        <w:pStyle w:val="21"/>
        <w:tabs>
          <w:tab w:val="right" w:leader="dot" w:pos="8306"/>
        </w:tabs>
        <w:overflowPunct w:val="0"/>
        <w:ind w:firstLine="960" w:firstLineChars="300"/>
        <w:rPr>
          <w:rFonts w:ascii="Times New Roman" w:hAnsi="Times New Roman" w:eastAsia="仿宋"/>
          <w:b/>
          <w:sz w:val="32"/>
          <w:szCs w:val="32"/>
        </w:rPr>
      </w:pPr>
      <w:r>
        <w:rPr>
          <w:rFonts w:ascii="Times New Roman" w:hAnsi="Times New Roman" w:eastAsia="方正仿宋_GBK"/>
          <w:sz w:val="32"/>
          <w:szCs w:val="32"/>
        </w:rPr>
        <w:t>第二节  二〇三五年远景目标</w:t>
      </w:r>
      <w:r>
        <w:rPr>
          <w:rFonts w:ascii="Times New Roman" w:hAnsi="Times New Roman" w:eastAsia="方正仿宋_GBK"/>
          <w:sz w:val="32"/>
          <w:szCs w:val="32"/>
        </w:rPr>
        <w:tab/>
      </w:r>
      <w:r>
        <w:rPr>
          <w:rFonts w:ascii="Times New Roman" w:hAnsi="Times New Roman" w:eastAsia="方正仿宋_GBK"/>
          <w:sz w:val="32"/>
          <w:szCs w:val="32"/>
        </w:rPr>
        <w:t>-14-</w:t>
      </w:r>
    </w:p>
    <w:p>
      <w:pPr>
        <w:pStyle w:val="18"/>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"_Toc24739" </w:instrText>
      </w:r>
      <w:r>
        <w:fldChar w:fldCharType="separate"/>
      </w:r>
      <w:r>
        <w:rPr>
          <w:rStyle w:val="32"/>
          <w:rFonts w:ascii="Times New Roman" w:hAnsi="Times New Roman" w:eastAsia="方正黑体_GBK"/>
          <w:sz w:val="32"/>
          <w:szCs w:val="32"/>
        </w:rPr>
        <w:t>第二篇  坚持生态优先绿色发展  加快建设山清水秀美丽之地</w:t>
      </w:r>
      <w:r>
        <w:rPr>
          <w:rStyle w:val="32"/>
          <w:rFonts w:ascii="Times New Roman" w:hAnsi="Times New Roman" w:eastAsia="方正黑体_GBK"/>
          <w:sz w:val="32"/>
          <w:szCs w:val="32"/>
        </w:rPr>
        <w:tab/>
      </w:r>
      <w:r>
        <w:rPr>
          <w:rStyle w:val="32"/>
          <w:rFonts w:ascii="Times New Roman" w:hAnsi="Times New Roman" w:eastAsia="方正黑体_GBK"/>
          <w:sz w:val="32"/>
          <w:szCs w:val="32"/>
        </w:rPr>
        <w:fldChar w:fldCharType="begin"/>
      </w:r>
      <w:r>
        <w:rPr>
          <w:rStyle w:val="32"/>
          <w:rFonts w:ascii="Times New Roman" w:hAnsi="Times New Roman" w:eastAsia="方正黑体_GBK"/>
          <w:sz w:val="32"/>
          <w:szCs w:val="32"/>
        </w:rPr>
        <w:instrText xml:space="preserve"> PAGEREF _Toc24739 \h </w:instrText>
      </w:r>
      <w:r>
        <w:rPr>
          <w:rStyle w:val="32"/>
          <w:rFonts w:ascii="Times New Roman" w:hAnsi="Times New Roman" w:eastAsia="方正黑体_GBK"/>
          <w:sz w:val="32"/>
          <w:szCs w:val="32"/>
        </w:rPr>
        <w:fldChar w:fldCharType="separate"/>
      </w:r>
      <w:r>
        <w:rPr>
          <w:rStyle w:val="32"/>
          <w:rFonts w:ascii="Times New Roman" w:hAnsi="Times New Roman" w:eastAsia="方正黑体_GBK"/>
          <w:sz w:val="32"/>
          <w:szCs w:val="32"/>
        </w:rPr>
        <w:t>25</w:t>
      </w:r>
      <w:r>
        <w:rPr>
          <w:rStyle w:val="32"/>
          <w:rFonts w:ascii="Times New Roman" w:hAnsi="Times New Roman" w:eastAsia="方正黑体_GBK"/>
          <w:sz w:val="32"/>
          <w:szCs w:val="32"/>
        </w:rPr>
        <w:fldChar w:fldCharType="end"/>
      </w:r>
      <w:r>
        <w:rPr>
          <w:rStyle w:val="32"/>
          <w:rFonts w:ascii="Times New Roman" w:hAnsi="Times New Roman" w:eastAsia="方正黑体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"_Toc20396" </w:instrText>
      </w:r>
      <w:r>
        <w:fldChar w:fldCharType="separate"/>
      </w:r>
      <w:r>
        <w:rPr>
          <w:rStyle w:val="32"/>
          <w:rFonts w:ascii="Times New Roman" w:hAnsi="Times New Roman" w:eastAsia="方正楷体_GBK"/>
          <w:bCs/>
          <w:kern w:val="44"/>
          <w:sz w:val="32"/>
          <w:szCs w:val="32"/>
        </w:rPr>
        <w:t>第四章  筑牢长江上游和大巴山重要生态屏障</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_Toc20396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25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"_Toc24386" </w:instrText>
      </w:r>
      <w:r>
        <w:fldChar w:fldCharType="separate"/>
      </w:r>
      <w:r>
        <w:rPr>
          <w:rStyle w:val="32"/>
          <w:rFonts w:ascii="Times New Roman" w:hAnsi="Times New Roman" w:eastAsia="方正仿宋_GBK"/>
          <w:sz w:val="32"/>
          <w:szCs w:val="32"/>
        </w:rPr>
        <w:t>第一节  优化生态安全格局</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_Toc24386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25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"_Toc29854" </w:instrText>
      </w:r>
      <w:r>
        <w:fldChar w:fldCharType="separate"/>
      </w:r>
      <w:r>
        <w:rPr>
          <w:rStyle w:val="32"/>
          <w:rFonts w:ascii="Times New Roman" w:hAnsi="Times New Roman" w:eastAsia="方正仿宋_GBK"/>
          <w:sz w:val="32"/>
          <w:szCs w:val="32"/>
        </w:rPr>
        <w:t>第二节  加强生态系统整体保护</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_Toc29854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26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"_Toc6561" </w:instrText>
      </w:r>
      <w:r>
        <w:fldChar w:fldCharType="separate"/>
      </w:r>
      <w:r>
        <w:rPr>
          <w:rStyle w:val="32"/>
          <w:rFonts w:ascii="Times New Roman" w:hAnsi="Times New Roman" w:eastAsia="方正仿宋_GBK"/>
          <w:sz w:val="32"/>
          <w:szCs w:val="32"/>
        </w:rPr>
        <w:t>第三节  推进生态系统修复</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_Toc6561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26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"_Toc9987" </w:instrText>
      </w:r>
      <w:r>
        <w:fldChar w:fldCharType="separate"/>
      </w:r>
      <w:r>
        <w:rPr>
          <w:rStyle w:val="32"/>
          <w:rFonts w:ascii="Times New Roman" w:hAnsi="Times New Roman" w:eastAsia="方正楷体_GBK"/>
          <w:bCs/>
          <w:kern w:val="44"/>
          <w:sz w:val="32"/>
          <w:szCs w:val="32"/>
        </w:rPr>
        <w:t>第五章  持续改善生态环境质量</w:t>
      </w:r>
      <w:r>
        <w:rPr>
          <w:rStyle w:val="32"/>
          <w:rFonts w:ascii="Times New Roman" w:hAnsi="Times New Roman" w:eastAsia="方正楷体_GBK"/>
          <w:bCs/>
          <w:kern w:val="44"/>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_Toc9987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27</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"_Toc18061" </w:instrText>
      </w:r>
      <w:r>
        <w:fldChar w:fldCharType="separate"/>
      </w:r>
      <w:r>
        <w:rPr>
          <w:rStyle w:val="32"/>
          <w:rFonts w:ascii="Times New Roman" w:hAnsi="Times New Roman" w:eastAsia="方正仿宋_GBK"/>
          <w:sz w:val="32"/>
          <w:szCs w:val="32"/>
        </w:rPr>
        <w:t>第一节  深入打好污染防治攻坚战</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_Toc18061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27</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"_Toc6670" </w:instrText>
      </w:r>
      <w:r>
        <w:fldChar w:fldCharType="separate"/>
      </w:r>
      <w:r>
        <w:rPr>
          <w:rStyle w:val="32"/>
          <w:rFonts w:ascii="Times New Roman" w:hAnsi="Times New Roman" w:eastAsia="方正仿宋_GBK"/>
          <w:sz w:val="32"/>
          <w:szCs w:val="32"/>
        </w:rPr>
        <w:t>第二节  严密防控环境风险</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_Toc6670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29</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"_Toc11680" </w:instrText>
      </w:r>
      <w:r>
        <w:fldChar w:fldCharType="separate"/>
      </w:r>
      <w:r>
        <w:rPr>
          <w:rStyle w:val="32"/>
          <w:rFonts w:ascii="Times New Roman" w:hAnsi="Times New Roman" w:eastAsia="方正仿宋_GBK"/>
          <w:sz w:val="32"/>
          <w:szCs w:val="32"/>
        </w:rPr>
        <w:t>第三节  健全环境治理机制</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_Toc11680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29</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"_Toc7002" </w:instrText>
      </w:r>
      <w:r>
        <w:fldChar w:fldCharType="separate"/>
      </w:r>
      <w:r>
        <w:rPr>
          <w:rStyle w:val="32"/>
          <w:rFonts w:ascii="Times New Roman" w:hAnsi="Times New Roman" w:eastAsia="方正楷体_GBK"/>
          <w:bCs/>
          <w:kern w:val="44"/>
          <w:sz w:val="32"/>
          <w:szCs w:val="32"/>
        </w:rPr>
        <w:t>第六章  加快推动绿色低碳发展</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_Toc7002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"_Toc8394" </w:instrText>
      </w:r>
      <w:r>
        <w:fldChar w:fldCharType="separate"/>
      </w:r>
      <w:r>
        <w:rPr>
          <w:rStyle w:val="32"/>
          <w:rFonts w:ascii="Times New Roman" w:hAnsi="Times New Roman" w:eastAsia="方正仿宋_GBK"/>
          <w:sz w:val="32"/>
          <w:szCs w:val="32"/>
        </w:rPr>
        <w:t>第一节  构建绿色低碳产业体系</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_Toc8394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"_Toc3285" </w:instrText>
      </w:r>
      <w:r>
        <w:fldChar w:fldCharType="separate"/>
      </w:r>
      <w:r>
        <w:rPr>
          <w:rStyle w:val="32"/>
          <w:rFonts w:ascii="Times New Roman" w:hAnsi="Times New Roman" w:eastAsia="方正仿宋_GBK"/>
          <w:sz w:val="32"/>
          <w:szCs w:val="32"/>
        </w:rPr>
        <w:t>第二节  积极应对气候变化</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_Toc3285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32</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"_Toc23313" </w:instrText>
      </w:r>
      <w:r>
        <w:fldChar w:fldCharType="separate"/>
      </w:r>
      <w:r>
        <w:rPr>
          <w:rStyle w:val="32"/>
          <w:rFonts w:ascii="Times New Roman" w:hAnsi="Times New Roman" w:eastAsia="方正仿宋_GBK"/>
          <w:sz w:val="32"/>
          <w:szCs w:val="32"/>
        </w:rPr>
        <w:t>第三节  提升生态文明素养</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_Toc23313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32</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"_Toc13952" </w:instrText>
      </w:r>
      <w:r>
        <w:fldChar w:fldCharType="separate"/>
      </w:r>
      <w:r>
        <w:rPr>
          <w:rStyle w:val="32"/>
          <w:rFonts w:ascii="Times New Roman" w:hAnsi="Times New Roman" w:eastAsia="方正仿宋_GBK"/>
          <w:sz w:val="32"/>
          <w:szCs w:val="32"/>
        </w:rPr>
        <w:t>第四节  倡导绿色生活方式</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_Toc13952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"_Toc29036" </w:instrText>
      </w:r>
      <w:r>
        <w:fldChar w:fldCharType="separate"/>
      </w:r>
      <w:r>
        <w:rPr>
          <w:rStyle w:val="32"/>
          <w:rFonts w:ascii="Times New Roman" w:hAnsi="Times New Roman" w:eastAsia="方正楷体_GBK"/>
          <w:bCs/>
          <w:kern w:val="44"/>
          <w:sz w:val="32"/>
          <w:szCs w:val="32"/>
        </w:rPr>
        <w:t>第七章  推进生态资源价值转换</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_Toc29036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"_Toc25375" </w:instrText>
      </w:r>
      <w:r>
        <w:fldChar w:fldCharType="separate"/>
      </w:r>
      <w:r>
        <w:rPr>
          <w:rStyle w:val="32"/>
          <w:rFonts w:ascii="Times New Roman" w:hAnsi="Times New Roman" w:eastAsia="方正仿宋_GBK"/>
          <w:sz w:val="32"/>
          <w:szCs w:val="32"/>
        </w:rPr>
        <w:t>第一节  建立生态产品价值实现机制</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_Toc25375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"_Toc19470" </w:instrText>
      </w:r>
      <w:r>
        <w:fldChar w:fldCharType="separate"/>
      </w:r>
      <w:r>
        <w:rPr>
          <w:rStyle w:val="32"/>
          <w:rFonts w:ascii="Times New Roman" w:hAnsi="Times New Roman" w:eastAsia="方正仿宋_GBK"/>
          <w:sz w:val="32"/>
          <w:szCs w:val="32"/>
        </w:rPr>
        <w:t>第二节  推动生态产品价值实现</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_Toc19470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34</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"_Toc24010" </w:instrText>
      </w:r>
      <w:r>
        <w:fldChar w:fldCharType="separate"/>
      </w:r>
      <w:r>
        <w:rPr>
          <w:rStyle w:val="32"/>
          <w:rFonts w:ascii="Times New Roman" w:hAnsi="Times New Roman" w:eastAsia="方正仿宋_GBK"/>
          <w:sz w:val="32"/>
          <w:szCs w:val="32"/>
        </w:rPr>
        <w:t>第三节  创新发展绿色金融</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_Toc24010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"_Toc24685" </w:instrText>
      </w:r>
      <w:r>
        <w:fldChar w:fldCharType="separate"/>
      </w:r>
      <w:r>
        <w:rPr>
          <w:rStyle w:val="32"/>
          <w:rFonts w:ascii="Times New Roman" w:hAnsi="Times New Roman" w:eastAsia="方正楷体_GBK"/>
          <w:bCs/>
          <w:kern w:val="44"/>
          <w:sz w:val="32"/>
          <w:szCs w:val="32"/>
        </w:rPr>
        <w:t>第八章  全面提高资源利用效率</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_Toc24685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"_Toc6322" </w:instrText>
      </w:r>
      <w:r>
        <w:fldChar w:fldCharType="separate"/>
      </w:r>
      <w:r>
        <w:rPr>
          <w:rStyle w:val="32"/>
          <w:rFonts w:ascii="Times New Roman" w:hAnsi="Times New Roman" w:eastAsia="方正仿宋_GBK"/>
          <w:sz w:val="32"/>
          <w:szCs w:val="32"/>
        </w:rPr>
        <w:t>第一节  强化土地节约集约利用</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_Toc6322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"_Toc9594" </w:instrText>
      </w:r>
      <w:r>
        <w:fldChar w:fldCharType="separate"/>
      </w:r>
      <w:r>
        <w:rPr>
          <w:rStyle w:val="32"/>
          <w:rFonts w:ascii="Times New Roman" w:hAnsi="Times New Roman" w:eastAsia="方正仿宋_GBK"/>
          <w:sz w:val="32"/>
          <w:szCs w:val="32"/>
        </w:rPr>
        <w:t>第二节  提高水资源利用效率</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_Toc9594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"_Toc19055" </w:instrText>
      </w:r>
      <w:r>
        <w:fldChar w:fldCharType="separate"/>
      </w:r>
      <w:r>
        <w:rPr>
          <w:rStyle w:val="32"/>
          <w:rFonts w:ascii="Times New Roman" w:hAnsi="Times New Roman" w:eastAsia="方正仿宋_GBK"/>
          <w:sz w:val="32"/>
          <w:szCs w:val="32"/>
        </w:rPr>
        <w:t>第三节  提升能源利用效率</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_Toc19055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"_Toc25780" </w:instrText>
      </w:r>
      <w:r>
        <w:fldChar w:fldCharType="separate"/>
      </w:r>
      <w:r>
        <w:rPr>
          <w:rStyle w:val="32"/>
          <w:rFonts w:ascii="Times New Roman" w:hAnsi="Times New Roman" w:eastAsia="方正仿宋_GBK"/>
          <w:sz w:val="32"/>
          <w:szCs w:val="32"/>
        </w:rPr>
        <w:t>第四节  完善循环经济体系</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_Toc25780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8"/>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"_Toc20073" </w:instrText>
      </w:r>
      <w:r>
        <w:fldChar w:fldCharType="separate"/>
      </w:r>
      <w:r>
        <w:rPr>
          <w:rStyle w:val="32"/>
          <w:rFonts w:ascii="Times New Roman" w:hAnsi="Times New Roman" w:eastAsia="方正黑体_GBK"/>
          <w:sz w:val="32"/>
          <w:szCs w:val="32"/>
        </w:rPr>
        <w:t>第三篇  抢抓战略新机遇  主动深度融入新发展格局</w:t>
      </w:r>
      <w:r>
        <w:rPr>
          <w:rStyle w:val="32"/>
          <w:rFonts w:ascii="Times New Roman" w:hAnsi="Times New Roman" w:eastAsia="方正黑体_GBK"/>
          <w:sz w:val="32"/>
          <w:szCs w:val="32"/>
        </w:rPr>
        <w:tab/>
      </w:r>
      <w:r>
        <w:rPr>
          <w:rStyle w:val="32"/>
          <w:rFonts w:ascii="Times New Roman" w:hAnsi="Times New Roman" w:eastAsia="方正黑体_GBK"/>
          <w:sz w:val="32"/>
          <w:szCs w:val="32"/>
        </w:rPr>
        <w:fldChar w:fldCharType="begin"/>
      </w:r>
      <w:r>
        <w:rPr>
          <w:rStyle w:val="32"/>
          <w:rFonts w:ascii="Times New Roman" w:hAnsi="Times New Roman" w:eastAsia="方正黑体_GBK"/>
          <w:sz w:val="32"/>
          <w:szCs w:val="32"/>
        </w:rPr>
        <w:instrText xml:space="preserve"> PAGEREF _Toc20073 \h </w:instrText>
      </w:r>
      <w:r>
        <w:rPr>
          <w:rStyle w:val="32"/>
          <w:rFonts w:ascii="Times New Roman" w:hAnsi="Times New Roman" w:eastAsia="方正黑体_GBK"/>
          <w:sz w:val="32"/>
          <w:szCs w:val="32"/>
        </w:rPr>
        <w:fldChar w:fldCharType="separate"/>
      </w:r>
      <w:r>
        <w:rPr>
          <w:rStyle w:val="32"/>
          <w:rFonts w:ascii="Times New Roman" w:hAnsi="Times New Roman" w:eastAsia="方正黑体_GBK"/>
          <w:sz w:val="32"/>
          <w:szCs w:val="32"/>
        </w:rPr>
        <w:t>37</w:t>
      </w:r>
      <w:r>
        <w:rPr>
          <w:rStyle w:val="32"/>
          <w:rFonts w:ascii="Times New Roman" w:hAnsi="Times New Roman" w:eastAsia="方正黑体_GBK"/>
          <w:sz w:val="32"/>
          <w:szCs w:val="32"/>
        </w:rPr>
        <w:fldChar w:fldCharType="end"/>
      </w:r>
      <w:r>
        <w:rPr>
          <w:rStyle w:val="32"/>
          <w:rFonts w:ascii="Times New Roman" w:hAnsi="Times New Roman" w:eastAsia="方正黑体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"_Toc11248" </w:instrText>
      </w:r>
      <w:r>
        <w:fldChar w:fldCharType="separate"/>
      </w:r>
      <w:r>
        <w:rPr>
          <w:rStyle w:val="32"/>
          <w:rFonts w:ascii="Times New Roman" w:hAnsi="Times New Roman" w:eastAsia="方正楷体_GBK"/>
          <w:bCs/>
          <w:kern w:val="44"/>
          <w:sz w:val="32"/>
          <w:szCs w:val="32"/>
        </w:rPr>
        <w:t>第九章  积极融入国内国际双循环</w:t>
      </w:r>
      <w:r>
        <w:rPr>
          <w:rStyle w:val="32"/>
          <w:rFonts w:ascii="Times New Roman" w:hAnsi="Times New Roman" w:eastAsia="方正楷体_GBK"/>
          <w:bCs/>
          <w:kern w:val="44"/>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_Toc11248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37</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"_Toc14039" </w:instrText>
      </w:r>
      <w:r>
        <w:fldChar w:fldCharType="separate"/>
      </w:r>
      <w:r>
        <w:rPr>
          <w:rStyle w:val="32"/>
          <w:rFonts w:ascii="Times New Roman" w:hAnsi="Times New Roman" w:eastAsia="方正仿宋_GBK"/>
          <w:sz w:val="32"/>
          <w:szCs w:val="32"/>
        </w:rPr>
        <w:t>第一节  用好国内国际市场与资源</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_Toc14039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37</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"_Toc4441" </w:instrText>
      </w:r>
      <w:r>
        <w:fldChar w:fldCharType="separate"/>
      </w:r>
      <w:r>
        <w:rPr>
          <w:rStyle w:val="32"/>
          <w:rFonts w:ascii="Times New Roman" w:hAnsi="Times New Roman" w:eastAsia="方正仿宋_GBK"/>
          <w:sz w:val="32"/>
          <w:szCs w:val="32"/>
        </w:rPr>
        <w:t>第二节  拓展投资空间</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_Toc4441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38</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"_Toc7967" </w:instrText>
      </w:r>
      <w:r>
        <w:fldChar w:fldCharType="separate"/>
      </w:r>
      <w:r>
        <w:rPr>
          <w:rStyle w:val="32"/>
          <w:rFonts w:ascii="Times New Roman" w:hAnsi="Times New Roman" w:eastAsia="方正仿宋_GBK"/>
          <w:sz w:val="32"/>
          <w:szCs w:val="32"/>
        </w:rPr>
        <w:t>第三节  全面促进消费</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_Toc7967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39</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"_Toc12573" </w:instrText>
      </w:r>
      <w:r>
        <w:fldChar w:fldCharType="separate"/>
      </w:r>
      <w:r>
        <w:rPr>
          <w:rStyle w:val="32"/>
          <w:rFonts w:ascii="Times New Roman" w:hAnsi="Times New Roman" w:eastAsia="方正楷体_GBK"/>
          <w:bCs/>
          <w:kern w:val="44"/>
          <w:sz w:val="32"/>
          <w:szCs w:val="32"/>
        </w:rPr>
        <w:t>第十章  推进成渝地区双城经济圈和渝东北三峡库区城镇群建设</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_Toc12573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40</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"_Toc20389" </w:instrText>
      </w:r>
      <w:r>
        <w:fldChar w:fldCharType="separate"/>
      </w:r>
      <w:r>
        <w:rPr>
          <w:rStyle w:val="32"/>
          <w:rFonts w:ascii="Times New Roman" w:hAnsi="Times New Roman" w:eastAsia="方正仿宋_GBK"/>
          <w:sz w:val="32"/>
          <w:szCs w:val="32"/>
        </w:rPr>
        <w:t>第一节  合力推进基础设施建设</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_Toc20389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40</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"_Toc9011" </w:instrText>
      </w:r>
      <w:r>
        <w:fldChar w:fldCharType="separate"/>
      </w:r>
      <w:r>
        <w:rPr>
          <w:rStyle w:val="32"/>
          <w:rFonts w:ascii="Times New Roman" w:hAnsi="Times New Roman" w:eastAsia="方正仿宋_GBK"/>
          <w:sz w:val="32"/>
          <w:szCs w:val="32"/>
        </w:rPr>
        <w:t>第二节  合力推进产业互融互补</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_Toc9011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40</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"_Toc19521" </w:instrText>
      </w:r>
      <w:r>
        <w:fldChar w:fldCharType="separate"/>
      </w:r>
      <w:r>
        <w:rPr>
          <w:rStyle w:val="32"/>
          <w:rFonts w:ascii="Times New Roman" w:hAnsi="Times New Roman" w:eastAsia="方正仿宋_GBK"/>
          <w:sz w:val="32"/>
          <w:szCs w:val="32"/>
        </w:rPr>
        <w:t>第三节  合力推进生态环境共建共保</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_Toc19521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"_Toc18918" </w:instrText>
      </w:r>
      <w:r>
        <w:fldChar w:fldCharType="separate"/>
      </w:r>
      <w:r>
        <w:rPr>
          <w:rStyle w:val="32"/>
          <w:rFonts w:ascii="Times New Roman" w:hAnsi="Times New Roman" w:eastAsia="方正仿宋_GBK"/>
          <w:sz w:val="32"/>
          <w:szCs w:val="32"/>
        </w:rPr>
        <w:t>第四节  合力推进公共服务共建共享</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_Toc18918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"_Toc19111" </w:instrText>
      </w:r>
      <w:r>
        <w:fldChar w:fldCharType="separate"/>
      </w:r>
      <w:r>
        <w:rPr>
          <w:rStyle w:val="32"/>
          <w:rFonts w:ascii="Times New Roman" w:hAnsi="Times New Roman" w:eastAsia="方正仿宋_GBK"/>
          <w:sz w:val="32"/>
          <w:szCs w:val="32"/>
        </w:rPr>
        <w:t>第五节  合力深化战略合作机制</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_Toc19111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42</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"_Toc12356" </w:instrText>
      </w:r>
      <w:r>
        <w:fldChar w:fldCharType="separate"/>
      </w:r>
      <w:r>
        <w:rPr>
          <w:rStyle w:val="32"/>
          <w:rFonts w:ascii="Times New Roman" w:hAnsi="Times New Roman" w:eastAsia="方正楷体_GBK"/>
          <w:bCs/>
          <w:kern w:val="44"/>
          <w:sz w:val="32"/>
          <w:szCs w:val="32"/>
        </w:rPr>
        <w:t>第十一章  实施更高水平开放</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_Toc12356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"_Toc2305" </w:instrText>
      </w:r>
      <w:r>
        <w:fldChar w:fldCharType="separate"/>
      </w:r>
      <w:r>
        <w:rPr>
          <w:rStyle w:val="32"/>
          <w:rFonts w:ascii="Times New Roman" w:hAnsi="Times New Roman" w:eastAsia="方正仿宋_GBK"/>
          <w:sz w:val="32"/>
          <w:szCs w:val="32"/>
        </w:rPr>
        <w:t>第一节  加快开放通道建设</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_Toc2305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"_Toc24190" </w:instrText>
      </w:r>
      <w:r>
        <w:fldChar w:fldCharType="separate"/>
      </w:r>
      <w:r>
        <w:rPr>
          <w:rStyle w:val="32"/>
          <w:rFonts w:ascii="Times New Roman" w:hAnsi="Times New Roman" w:eastAsia="方正仿宋_GBK"/>
          <w:sz w:val="32"/>
          <w:szCs w:val="32"/>
        </w:rPr>
        <w:t>第二节  加快开放平台建设</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_Toc24190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"_Toc2462" </w:instrText>
      </w:r>
      <w:r>
        <w:fldChar w:fldCharType="separate"/>
      </w:r>
      <w:r>
        <w:rPr>
          <w:rStyle w:val="32"/>
          <w:rFonts w:ascii="Times New Roman" w:hAnsi="Times New Roman" w:eastAsia="方正仿宋_GBK"/>
          <w:sz w:val="32"/>
          <w:szCs w:val="32"/>
        </w:rPr>
        <w:t>第三节  提升开放型经济发展水平</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_Toc2462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44</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8"/>
        <w:tabs>
          <w:tab w:val="right" w:leader="dot" w:pos="8306"/>
        </w:tabs>
        <w:overflowPunct w:val="0"/>
        <w:rPr>
          <w:rFonts w:ascii="Times New Roman" w:hAnsi="Times New Roman" w:eastAsia="方正黑体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"_Toc23225" </w:instrText>
      </w:r>
      <w:r>
        <w:fldChar w:fldCharType="separate"/>
      </w:r>
      <w:r>
        <w:rPr>
          <w:rStyle w:val="32"/>
          <w:rFonts w:ascii="Times New Roman" w:hAnsi="Times New Roman" w:eastAsia="方正黑体_GBK"/>
          <w:sz w:val="32"/>
          <w:szCs w:val="32"/>
        </w:rPr>
        <w:t>第四篇  全力推进基础设施建设 夯实高质量发展基础</w:t>
      </w:r>
      <w:r>
        <w:rPr>
          <w:rStyle w:val="32"/>
          <w:rFonts w:ascii="Times New Roman" w:hAnsi="Times New Roman" w:eastAsia="方正黑体_GBK"/>
          <w:sz w:val="32"/>
          <w:szCs w:val="32"/>
        </w:rPr>
        <w:tab/>
      </w:r>
      <w:r>
        <w:rPr>
          <w:rStyle w:val="32"/>
          <w:rFonts w:ascii="Times New Roman" w:hAnsi="Times New Roman" w:eastAsia="方正黑体_GBK"/>
          <w:sz w:val="32"/>
          <w:szCs w:val="32"/>
        </w:rPr>
        <w:fldChar w:fldCharType="begin"/>
      </w:r>
      <w:r>
        <w:rPr>
          <w:rStyle w:val="32"/>
          <w:rFonts w:ascii="Times New Roman" w:hAnsi="Times New Roman" w:eastAsia="方正黑体_GBK"/>
          <w:sz w:val="32"/>
          <w:szCs w:val="32"/>
        </w:rPr>
        <w:instrText xml:space="preserve"> PAGEREF _Toc23225 \h </w:instrText>
      </w:r>
      <w:r>
        <w:rPr>
          <w:rStyle w:val="32"/>
          <w:rFonts w:ascii="Times New Roman" w:hAnsi="Times New Roman" w:eastAsia="方正黑体_GBK"/>
          <w:sz w:val="32"/>
          <w:szCs w:val="32"/>
        </w:rPr>
        <w:fldChar w:fldCharType="separate"/>
      </w:r>
      <w:r>
        <w:rPr>
          <w:rStyle w:val="32"/>
          <w:rFonts w:ascii="Times New Roman" w:hAnsi="Times New Roman" w:eastAsia="方正黑体_GBK"/>
          <w:sz w:val="32"/>
          <w:szCs w:val="32"/>
        </w:rPr>
        <w:t>45</w:t>
      </w:r>
      <w:r>
        <w:rPr>
          <w:rStyle w:val="32"/>
          <w:rFonts w:ascii="Times New Roman" w:hAnsi="Times New Roman" w:eastAsia="方正黑体_GBK"/>
          <w:sz w:val="32"/>
          <w:szCs w:val="32"/>
        </w:rPr>
        <w:fldChar w:fldCharType="end"/>
      </w:r>
      <w:r>
        <w:rPr>
          <w:rStyle w:val="32"/>
          <w:rFonts w:ascii="Times New Roman" w:hAnsi="Times New Roman" w:eastAsia="方正黑体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"_Toc16420" </w:instrText>
      </w:r>
      <w:r>
        <w:fldChar w:fldCharType="separate"/>
      </w:r>
      <w:r>
        <w:rPr>
          <w:rStyle w:val="32"/>
          <w:rFonts w:ascii="Times New Roman" w:hAnsi="Times New Roman" w:eastAsia="方正楷体_GBK"/>
          <w:bCs/>
          <w:kern w:val="44"/>
          <w:sz w:val="32"/>
          <w:szCs w:val="32"/>
        </w:rPr>
        <w:t>第十二章  建设渝川陕毗邻区县综合交通枢纽</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_Toc16420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"_Toc24956" </w:instrText>
      </w:r>
      <w:r>
        <w:fldChar w:fldCharType="separate"/>
      </w:r>
      <w:r>
        <w:rPr>
          <w:rStyle w:val="32"/>
          <w:rFonts w:ascii="Times New Roman" w:hAnsi="Times New Roman" w:eastAsia="方正仿宋_GBK"/>
          <w:sz w:val="32"/>
          <w:szCs w:val="32"/>
        </w:rPr>
        <w:t>第一节  加快畅通对外通道</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_Toc24956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"_Toc25494" </w:instrText>
      </w:r>
      <w:r>
        <w:fldChar w:fldCharType="separate"/>
      </w:r>
      <w:r>
        <w:rPr>
          <w:rStyle w:val="32"/>
          <w:rFonts w:ascii="Times New Roman" w:hAnsi="Times New Roman" w:eastAsia="方正仿宋_GBK"/>
          <w:sz w:val="32"/>
          <w:szCs w:val="32"/>
        </w:rPr>
        <w:t>第二节  加快完善内部网络</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_Toc25494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"_Toc23059" </w:instrText>
      </w:r>
      <w:r>
        <w:fldChar w:fldCharType="separate"/>
      </w:r>
      <w:r>
        <w:rPr>
          <w:rStyle w:val="32"/>
          <w:rFonts w:ascii="Times New Roman" w:hAnsi="Times New Roman" w:eastAsia="方正仿宋_GBK"/>
          <w:sz w:val="32"/>
          <w:szCs w:val="32"/>
        </w:rPr>
        <w:t>第三节  强化运输服务能力</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_Toc23059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"_Toc12974" </w:instrText>
      </w:r>
      <w:r>
        <w:fldChar w:fldCharType="separate"/>
      </w:r>
      <w:r>
        <w:rPr>
          <w:rStyle w:val="32"/>
          <w:rFonts w:ascii="Times New Roman" w:hAnsi="Times New Roman" w:eastAsia="方正仿宋_GBK"/>
          <w:sz w:val="32"/>
          <w:szCs w:val="32"/>
        </w:rPr>
        <w:t>第四节  提升养护管理水平</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_Toc12974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47</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"_Toc7510" </w:instrText>
      </w:r>
      <w:r>
        <w:fldChar w:fldCharType="separate"/>
      </w:r>
      <w:r>
        <w:rPr>
          <w:rStyle w:val="32"/>
          <w:rFonts w:ascii="Times New Roman" w:hAnsi="Times New Roman" w:eastAsia="方正楷体_GBK"/>
          <w:bCs/>
          <w:kern w:val="44"/>
          <w:sz w:val="32"/>
          <w:szCs w:val="32"/>
        </w:rPr>
        <w:t>第十三章  提升水安全保障能力</w:t>
      </w:r>
      <w:r>
        <w:rPr>
          <w:rStyle w:val="32"/>
          <w:rFonts w:ascii="Times New Roman" w:hAnsi="Times New Roman" w:eastAsia="方正楷体_GBK"/>
          <w:bCs/>
          <w:kern w:val="44"/>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_Toc7510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48</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"_Toc17892" </w:instrText>
      </w:r>
      <w:r>
        <w:fldChar w:fldCharType="separate"/>
      </w:r>
      <w:r>
        <w:rPr>
          <w:rStyle w:val="32"/>
          <w:rFonts w:ascii="Times New Roman" w:hAnsi="Times New Roman" w:eastAsia="方正仿宋_GBK"/>
          <w:sz w:val="32"/>
          <w:szCs w:val="32"/>
        </w:rPr>
        <w:t>第一节  优化水资源配置</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_Toc17892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48</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"_Toc217" </w:instrText>
      </w:r>
      <w:r>
        <w:fldChar w:fldCharType="separate"/>
      </w:r>
      <w:r>
        <w:rPr>
          <w:rStyle w:val="32"/>
          <w:rFonts w:ascii="Times New Roman" w:hAnsi="Times New Roman" w:eastAsia="方正仿宋_GBK"/>
          <w:sz w:val="32"/>
          <w:szCs w:val="32"/>
        </w:rPr>
        <w:t>第二节  提升监督管理能力</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_Toc217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48</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楷体_GBK"/>
          <w:bCs/>
          <w:kern w:val="44"/>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"_Toc10127" </w:instrText>
      </w:r>
      <w:r>
        <w:fldChar w:fldCharType="separate"/>
      </w:r>
      <w:r>
        <w:rPr>
          <w:rStyle w:val="32"/>
          <w:rFonts w:ascii="Times New Roman" w:hAnsi="Times New Roman" w:eastAsia="方正楷体_GBK"/>
          <w:bCs/>
          <w:kern w:val="44"/>
          <w:sz w:val="32"/>
          <w:szCs w:val="32"/>
        </w:rPr>
        <w:t>第十四章  构建能源保障体系</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_Toc10127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49</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"_Toc3168" </w:instrText>
      </w:r>
      <w:r>
        <w:fldChar w:fldCharType="separate"/>
      </w:r>
      <w:r>
        <w:rPr>
          <w:rStyle w:val="32"/>
          <w:rFonts w:ascii="Times New Roman" w:hAnsi="Times New Roman" w:eastAsia="方正楷体_GBK"/>
          <w:bCs/>
          <w:kern w:val="44"/>
          <w:sz w:val="32"/>
          <w:szCs w:val="32"/>
        </w:rPr>
        <w:t>第十五章  加快布局新型基础设施</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_Toc3168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50</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8"/>
        <w:tabs>
          <w:tab w:val="right" w:leader="dot" w:pos="8306"/>
        </w:tabs>
        <w:overflowPunct w:val="0"/>
        <w:rPr>
          <w:rFonts w:ascii="Times New Roman" w:hAnsi="Times New Roman" w:eastAsia="方正黑体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"_Toc29699" </w:instrText>
      </w:r>
      <w:r>
        <w:fldChar w:fldCharType="separate"/>
      </w:r>
      <w:r>
        <w:rPr>
          <w:rStyle w:val="32"/>
          <w:rFonts w:ascii="Times New Roman" w:hAnsi="Times New Roman" w:eastAsia="方正黑体_GBK"/>
          <w:sz w:val="32"/>
          <w:szCs w:val="32"/>
        </w:rPr>
        <w:t>第五篇  发展现代产业体系  推动经济体系优化升级</w:t>
      </w:r>
      <w:r>
        <w:rPr>
          <w:rStyle w:val="32"/>
          <w:rFonts w:ascii="Times New Roman" w:hAnsi="Times New Roman" w:eastAsia="方正黑体_GBK"/>
          <w:sz w:val="32"/>
          <w:szCs w:val="32"/>
        </w:rPr>
        <w:tab/>
      </w:r>
      <w:r>
        <w:rPr>
          <w:rStyle w:val="32"/>
          <w:rFonts w:ascii="Times New Roman" w:hAnsi="Times New Roman" w:eastAsia="方正黑体_GBK"/>
          <w:sz w:val="32"/>
          <w:szCs w:val="32"/>
        </w:rPr>
        <w:fldChar w:fldCharType="begin"/>
      </w:r>
      <w:r>
        <w:rPr>
          <w:rStyle w:val="32"/>
          <w:rFonts w:ascii="Times New Roman" w:hAnsi="Times New Roman" w:eastAsia="方正黑体_GBK"/>
          <w:sz w:val="32"/>
          <w:szCs w:val="32"/>
        </w:rPr>
        <w:instrText xml:space="preserve"> PAGEREF _Toc29699 \h </w:instrText>
      </w:r>
      <w:r>
        <w:rPr>
          <w:rStyle w:val="32"/>
          <w:rFonts w:ascii="Times New Roman" w:hAnsi="Times New Roman" w:eastAsia="方正黑体_GBK"/>
          <w:sz w:val="32"/>
          <w:szCs w:val="32"/>
        </w:rPr>
        <w:fldChar w:fldCharType="separate"/>
      </w:r>
      <w:r>
        <w:rPr>
          <w:rStyle w:val="32"/>
          <w:rFonts w:ascii="Times New Roman" w:hAnsi="Times New Roman" w:eastAsia="方正黑体_GBK"/>
          <w:sz w:val="32"/>
          <w:szCs w:val="32"/>
        </w:rPr>
        <w:t>50</w:t>
      </w:r>
      <w:r>
        <w:rPr>
          <w:rStyle w:val="32"/>
          <w:rFonts w:ascii="Times New Roman" w:hAnsi="Times New Roman" w:eastAsia="方正黑体_GBK"/>
          <w:sz w:val="32"/>
          <w:szCs w:val="32"/>
        </w:rPr>
        <w:fldChar w:fldCharType="end"/>
      </w:r>
      <w:r>
        <w:rPr>
          <w:rStyle w:val="32"/>
          <w:rFonts w:ascii="Times New Roman" w:hAnsi="Times New Roman" w:eastAsia="方正黑体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"_Toc22535" </w:instrText>
      </w:r>
      <w:r>
        <w:fldChar w:fldCharType="separate"/>
      </w:r>
      <w:r>
        <w:rPr>
          <w:rStyle w:val="32"/>
          <w:rFonts w:ascii="Times New Roman" w:hAnsi="Times New Roman" w:eastAsia="方正楷体_GBK"/>
          <w:bCs/>
          <w:kern w:val="44"/>
          <w:sz w:val="32"/>
          <w:szCs w:val="32"/>
        </w:rPr>
        <w:t>第十六章  推动农文旅深度融合发展</w:t>
      </w:r>
      <w:r>
        <w:rPr>
          <w:rStyle w:val="32"/>
          <w:rFonts w:ascii="Times New Roman" w:hAnsi="Times New Roman" w:eastAsia="方正楷体_GBK"/>
          <w:bCs/>
          <w:kern w:val="44"/>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_Toc22535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51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"_Toc926" </w:instrText>
      </w:r>
      <w:r>
        <w:fldChar w:fldCharType="separate"/>
      </w:r>
      <w:r>
        <w:rPr>
          <w:rStyle w:val="32"/>
          <w:rFonts w:ascii="Times New Roman" w:hAnsi="Times New Roman" w:eastAsia="方正仿宋_GBK"/>
          <w:sz w:val="32"/>
          <w:szCs w:val="32"/>
        </w:rPr>
        <w:t>第一节  农文旅融合引领产业发展</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_Toc926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51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"_Toc16548" </w:instrText>
      </w:r>
      <w:r>
        <w:fldChar w:fldCharType="separate"/>
      </w:r>
      <w:r>
        <w:rPr>
          <w:rStyle w:val="32"/>
          <w:rFonts w:ascii="Times New Roman" w:hAnsi="Times New Roman" w:eastAsia="方正仿宋_GBK"/>
          <w:sz w:val="32"/>
          <w:szCs w:val="32"/>
        </w:rPr>
        <w:t>第二节  优化农文旅融合总体布局</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_Toc16548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53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"_Toc19493" </w:instrText>
      </w:r>
      <w:r>
        <w:fldChar w:fldCharType="separate"/>
      </w:r>
      <w:r>
        <w:rPr>
          <w:rStyle w:val="32"/>
          <w:rFonts w:ascii="Times New Roman" w:hAnsi="Times New Roman" w:eastAsia="方正仿宋_GBK"/>
          <w:sz w:val="32"/>
          <w:szCs w:val="32"/>
        </w:rPr>
        <w:t>第三节  健全农文旅融合支撑体系</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_Toc19493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54</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"_Toc29209" </w:instrText>
      </w:r>
      <w:r>
        <w:fldChar w:fldCharType="separate"/>
      </w:r>
      <w:r>
        <w:rPr>
          <w:rStyle w:val="32"/>
          <w:rFonts w:ascii="Times New Roman" w:hAnsi="Times New Roman" w:eastAsia="方正仿宋_GBK"/>
          <w:sz w:val="32"/>
          <w:szCs w:val="32"/>
        </w:rPr>
        <w:t>第四节  培育发展“农文旅+”</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_Toc29209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55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"_Toc9722" </w:instrText>
      </w:r>
      <w:r>
        <w:fldChar w:fldCharType="separate"/>
      </w:r>
      <w:r>
        <w:rPr>
          <w:rStyle w:val="32"/>
          <w:rFonts w:ascii="Times New Roman" w:hAnsi="Times New Roman" w:eastAsia="方正仿宋_GBK"/>
          <w:sz w:val="32"/>
          <w:szCs w:val="32"/>
        </w:rPr>
        <w:t>第五节  加大农文旅品牌宣传推广</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_Toc9722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56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"_Toc16399" </w:instrText>
      </w:r>
      <w:r>
        <w:fldChar w:fldCharType="separate"/>
      </w:r>
      <w:r>
        <w:rPr>
          <w:rStyle w:val="32"/>
          <w:rFonts w:ascii="Times New Roman" w:hAnsi="Times New Roman" w:eastAsia="方正楷体_GBK"/>
          <w:bCs/>
          <w:kern w:val="44"/>
          <w:sz w:val="32"/>
          <w:szCs w:val="32"/>
        </w:rPr>
        <w:t>第十七章  提质发展现代山地特色生态农业</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_Toc16399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58</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"_Toc7123" </w:instrText>
      </w:r>
      <w:r>
        <w:fldChar w:fldCharType="separate"/>
      </w:r>
      <w:r>
        <w:rPr>
          <w:rStyle w:val="32"/>
          <w:rFonts w:ascii="Times New Roman" w:hAnsi="Times New Roman" w:eastAsia="方正仿宋_GBK"/>
          <w:sz w:val="32"/>
          <w:szCs w:val="32"/>
        </w:rPr>
        <w:t>第一节  优化乡村产业布局</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_Toc7123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58</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"_Toc26857" </w:instrText>
      </w:r>
      <w:r>
        <w:fldChar w:fldCharType="separate"/>
      </w:r>
      <w:r>
        <w:rPr>
          <w:rStyle w:val="32"/>
          <w:rFonts w:ascii="Times New Roman" w:hAnsi="Times New Roman" w:eastAsia="方正仿宋_GBK"/>
          <w:sz w:val="32"/>
          <w:szCs w:val="32"/>
        </w:rPr>
        <w:t>第二节  推动农业品牌建设</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_Toc26857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59</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"_Toc1332" </w:instrText>
      </w:r>
      <w:r>
        <w:fldChar w:fldCharType="separate"/>
      </w:r>
      <w:r>
        <w:rPr>
          <w:rStyle w:val="32"/>
          <w:rFonts w:ascii="Times New Roman" w:hAnsi="Times New Roman" w:eastAsia="方正楷体_GBK"/>
          <w:bCs/>
          <w:kern w:val="44"/>
          <w:sz w:val="32"/>
          <w:szCs w:val="32"/>
        </w:rPr>
        <w:t>第十八章  大力发展绿色工业</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_Toc1332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60</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"_Toc5286" </w:instrText>
      </w:r>
      <w:r>
        <w:fldChar w:fldCharType="separate"/>
      </w:r>
      <w:r>
        <w:rPr>
          <w:rStyle w:val="32"/>
          <w:rFonts w:ascii="Times New Roman" w:hAnsi="Times New Roman" w:eastAsia="方正仿宋_GBK"/>
          <w:sz w:val="32"/>
          <w:szCs w:val="32"/>
        </w:rPr>
        <w:t>第一节  推动锰钡产业转型升级</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_Toc5286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60</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"_Toc16935" </w:instrText>
      </w:r>
      <w:r>
        <w:fldChar w:fldCharType="separate"/>
      </w:r>
      <w:r>
        <w:rPr>
          <w:rStyle w:val="32"/>
          <w:rFonts w:ascii="Times New Roman" w:hAnsi="Times New Roman" w:eastAsia="方正仿宋_GBK"/>
          <w:sz w:val="32"/>
          <w:szCs w:val="32"/>
        </w:rPr>
        <w:t>第二节  加快发展新型绿色建筑材料产业</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_Toc16935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61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"_Toc18329" </w:instrText>
      </w:r>
      <w:r>
        <w:fldChar w:fldCharType="separate"/>
      </w:r>
      <w:r>
        <w:rPr>
          <w:rStyle w:val="32"/>
          <w:rFonts w:ascii="Times New Roman" w:hAnsi="Times New Roman" w:eastAsia="方正仿宋_GBK"/>
          <w:sz w:val="32"/>
          <w:szCs w:val="32"/>
        </w:rPr>
        <w:t>第三节  大力发展消费品工业</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_Toc18329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61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"_Toc4658" </w:instrText>
      </w:r>
      <w:r>
        <w:fldChar w:fldCharType="separate"/>
      </w:r>
      <w:r>
        <w:rPr>
          <w:rStyle w:val="32"/>
          <w:rFonts w:ascii="Times New Roman" w:hAnsi="Times New Roman" w:eastAsia="方正楷体_GBK"/>
          <w:bCs/>
          <w:kern w:val="44"/>
          <w:sz w:val="32"/>
          <w:szCs w:val="32"/>
        </w:rPr>
        <w:t>第十九章  加快发展现代服务业</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_Toc4658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62</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"_Toc3808" </w:instrText>
      </w:r>
      <w:r>
        <w:fldChar w:fldCharType="separate"/>
      </w:r>
      <w:r>
        <w:rPr>
          <w:rStyle w:val="32"/>
          <w:rFonts w:ascii="Times New Roman" w:hAnsi="Times New Roman" w:eastAsia="方正仿宋_GBK"/>
          <w:sz w:val="32"/>
          <w:szCs w:val="32"/>
        </w:rPr>
        <w:t>第一节  大力发展康养服务业</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_Toc3808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63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"_Toc3733" </w:instrText>
      </w:r>
      <w:r>
        <w:fldChar w:fldCharType="separate"/>
      </w:r>
      <w:r>
        <w:rPr>
          <w:rStyle w:val="32"/>
          <w:rFonts w:ascii="Times New Roman" w:hAnsi="Times New Roman" w:eastAsia="方正仿宋_GBK"/>
          <w:sz w:val="32"/>
          <w:szCs w:val="32"/>
        </w:rPr>
        <w:t>第二节  大力发展现代边贸物流</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_Toc3733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63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"_Toc9774" </w:instrText>
      </w:r>
      <w:r>
        <w:fldChar w:fldCharType="separate"/>
      </w:r>
      <w:r>
        <w:rPr>
          <w:rStyle w:val="32"/>
          <w:rFonts w:ascii="Times New Roman" w:hAnsi="Times New Roman" w:eastAsia="方正仿宋_GBK"/>
          <w:sz w:val="32"/>
          <w:szCs w:val="32"/>
        </w:rPr>
        <w:t>第三节  大力发展专业服务业</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_Toc9774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64</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"_Toc29544" </w:instrText>
      </w:r>
      <w:r>
        <w:fldChar w:fldCharType="separate"/>
      </w:r>
      <w:r>
        <w:rPr>
          <w:rStyle w:val="32"/>
          <w:rFonts w:ascii="Times New Roman" w:hAnsi="Times New Roman" w:eastAsia="方正仿宋_GBK"/>
          <w:sz w:val="32"/>
          <w:szCs w:val="32"/>
        </w:rPr>
        <w:t>第四节  升级发展生活性服务业</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_Toc29544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64</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8"/>
        <w:tabs>
          <w:tab w:val="right" w:leader="dot" w:pos="8306"/>
        </w:tabs>
        <w:overflowPunct w:val="0"/>
        <w:rPr>
          <w:rStyle w:val="32"/>
          <w:rFonts w:ascii="Times New Roman" w:hAnsi="Times New Roman" w:eastAsia="方正黑体_GBK"/>
          <w:color w:val="auto"/>
          <w:u w:val="none"/>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"_Toc1813" </w:instrText>
      </w:r>
      <w:r>
        <w:fldChar w:fldCharType="separate"/>
      </w:r>
      <w:r>
        <w:rPr>
          <w:rStyle w:val="32"/>
          <w:rFonts w:ascii="Times New Roman" w:hAnsi="Times New Roman" w:eastAsia="方正黑体_GBK"/>
          <w:sz w:val="32"/>
          <w:szCs w:val="32"/>
        </w:rPr>
        <w:t>第六篇  统筹乡村振兴和城市提升 全力推进城乡融合发展</w:t>
      </w:r>
      <w:r>
        <w:rPr>
          <w:rStyle w:val="32"/>
          <w:rFonts w:ascii="Times New Roman" w:hAnsi="Times New Roman" w:eastAsia="方正黑体_GBK"/>
          <w:sz w:val="32"/>
          <w:szCs w:val="32"/>
        </w:rPr>
        <w:fldChar w:fldCharType="end"/>
      </w:r>
    </w:p>
    <w:p>
      <w:pPr>
        <w:pStyle w:val="18"/>
        <w:tabs>
          <w:tab w:val="right" w:leader="dot" w:pos="8306"/>
        </w:tabs>
        <w:overflowPunct w:val="0"/>
        <w:rPr>
          <w:rFonts w:ascii="Times New Roman" w:hAnsi="Times New Roman"/>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"_Toc1813" </w:instrText>
      </w:r>
      <w:r>
        <w:fldChar w:fldCharType="separate"/>
      </w:r>
      <w:r>
        <w:rPr>
          <w:rStyle w:val="32"/>
          <w:rFonts w:ascii="Times New Roman" w:hAnsi="Times New Roman" w:eastAsia="方正黑体_GBK"/>
          <w:sz w:val="32"/>
          <w:szCs w:val="32"/>
        </w:rPr>
        <w:tab/>
      </w:r>
      <w:r>
        <w:rPr>
          <w:rStyle w:val="32"/>
          <w:rFonts w:ascii="Times New Roman" w:hAnsi="Times New Roman" w:eastAsia="方正黑体_GBK"/>
          <w:sz w:val="32"/>
          <w:szCs w:val="32"/>
        </w:rPr>
        <w:fldChar w:fldCharType="begin"/>
      </w:r>
      <w:r>
        <w:rPr>
          <w:rStyle w:val="32"/>
          <w:rFonts w:ascii="Times New Roman" w:hAnsi="Times New Roman" w:eastAsia="方正黑体_GBK"/>
          <w:sz w:val="32"/>
          <w:szCs w:val="32"/>
        </w:rPr>
        <w:instrText xml:space="preserve"> PAGEREF _Toc1813 \h </w:instrText>
      </w:r>
      <w:r>
        <w:rPr>
          <w:rStyle w:val="32"/>
          <w:rFonts w:ascii="Times New Roman" w:hAnsi="Times New Roman" w:eastAsia="方正黑体_GBK"/>
          <w:sz w:val="32"/>
          <w:szCs w:val="32"/>
        </w:rPr>
        <w:fldChar w:fldCharType="separate"/>
      </w:r>
      <w:r>
        <w:rPr>
          <w:rStyle w:val="32"/>
          <w:rFonts w:ascii="Times New Roman" w:hAnsi="Times New Roman" w:eastAsia="方正黑体_GBK"/>
          <w:sz w:val="32"/>
          <w:szCs w:val="32"/>
        </w:rPr>
        <w:t>65</w:t>
      </w:r>
      <w:r>
        <w:rPr>
          <w:rStyle w:val="32"/>
          <w:rFonts w:ascii="Times New Roman" w:hAnsi="Times New Roman" w:eastAsia="方正黑体_GBK"/>
          <w:sz w:val="32"/>
          <w:szCs w:val="32"/>
        </w:rPr>
        <w:fldChar w:fldCharType="end"/>
      </w:r>
      <w:r>
        <w:rPr>
          <w:rStyle w:val="32"/>
          <w:rFonts w:ascii="Times New Roman" w:hAnsi="Times New Roman" w:eastAsia="方正黑体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"_Toc29614" </w:instrText>
      </w:r>
      <w:r>
        <w:fldChar w:fldCharType="separate"/>
      </w:r>
      <w:r>
        <w:rPr>
          <w:rStyle w:val="32"/>
          <w:rFonts w:ascii="Times New Roman" w:hAnsi="Times New Roman" w:eastAsia="方正楷体_GBK"/>
          <w:bCs/>
          <w:kern w:val="44"/>
          <w:sz w:val="32"/>
          <w:szCs w:val="32"/>
        </w:rPr>
        <w:t>第二十章 优化城乡发展格局</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_Toc29614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65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"_Toc10740" </w:instrText>
      </w:r>
      <w:r>
        <w:fldChar w:fldCharType="separate"/>
      </w:r>
      <w:r>
        <w:rPr>
          <w:rStyle w:val="32"/>
          <w:rFonts w:ascii="Times New Roman" w:hAnsi="Times New Roman" w:eastAsia="方正楷体_GBK"/>
          <w:bCs/>
          <w:kern w:val="44"/>
          <w:sz w:val="32"/>
          <w:szCs w:val="32"/>
        </w:rPr>
        <w:t>第二十一章  全面推进乡村振兴</w:t>
      </w:r>
      <w:r>
        <w:rPr>
          <w:rStyle w:val="32"/>
          <w:rFonts w:ascii="Times New Roman" w:hAnsi="Times New Roman" w:eastAsia="方正楷体_GBK"/>
          <w:bCs/>
          <w:kern w:val="44"/>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_Toc10740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66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"_Toc15110" </w:instrText>
      </w:r>
      <w:r>
        <w:fldChar w:fldCharType="separate"/>
      </w:r>
      <w:r>
        <w:rPr>
          <w:rStyle w:val="32"/>
          <w:rFonts w:ascii="Times New Roman" w:hAnsi="Times New Roman" w:eastAsia="方正仿宋_GBK"/>
          <w:sz w:val="32"/>
          <w:szCs w:val="32"/>
        </w:rPr>
        <w:t>第一节  提高农业质量效益</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_Toc15110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66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"_Toc1210" </w:instrText>
      </w:r>
      <w:r>
        <w:fldChar w:fldCharType="separate"/>
      </w:r>
      <w:r>
        <w:rPr>
          <w:rStyle w:val="32"/>
          <w:rFonts w:ascii="Times New Roman" w:hAnsi="Times New Roman" w:eastAsia="方正仿宋_GBK"/>
          <w:sz w:val="32"/>
          <w:szCs w:val="32"/>
        </w:rPr>
        <w:t>第二节  实施乡村建设行动</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_Toc1210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68</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Style w:val="32"/>
          <w:rFonts w:ascii="Times New Roman" w:hAnsi="Times New Roman"/>
          <w:color w:val="auto"/>
          <w:u w:val="none"/>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"_Toc24691" </w:instrText>
      </w:r>
      <w:r>
        <w:fldChar w:fldCharType="separate"/>
      </w:r>
      <w:r>
        <w:rPr>
          <w:rStyle w:val="32"/>
          <w:rFonts w:ascii="Times New Roman" w:hAnsi="Times New Roman" w:eastAsia="方正仿宋_GBK"/>
          <w:sz w:val="32"/>
          <w:szCs w:val="32"/>
        </w:rPr>
        <w:t>第三节  巩固拓展脱贫攻坚成果同乡村振兴有效衔接</w:t>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"_Toc24691" </w:instrText>
      </w:r>
      <w:r>
        <w:fldChar w:fldCharType="separate"/>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_Toc24691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69</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"_Toc20559" </w:instrText>
      </w:r>
      <w:r>
        <w:fldChar w:fldCharType="separate"/>
      </w:r>
      <w:r>
        <w:rPr>
          <w:rStyle w:val="32"/>
          <w:rFonts w:ascii="Times New Roman" w:hAnsi="Times New Roman" w:eastAsia="方正楷体_GBK"/>
          <w:bCs/>
          <w:kern w:val="44"/>
          <w:sz w:val="32"/>
          <w:szCs w:val="32"/>
        </w:rPr>
        <w:t>第二十二章  推进以人为核心的新型城镇化</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_Toc20559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71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"_Toc31542" </w:instrText>
      </w:r>
      <w:r>
        <w:fldChar w:fldCharType="separate"/>
      </w:r>
      <w:r>
        <w:rPr>
          <w:rStyle w:val="32"/>
          <w:rFonts w:ascii="Times New Roman" w:hAnsi="Times New Roman" w:eastAsia="方正仿宋_GBK"/>
          <w:sz w:val="32"/>
          <w:szCs w:val="32"/>
        </w:rPr>
        <w:t>第一节  推进以县城为载体的新型城镇化建设</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_Toc31542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71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"_Toc29543" </w:instrText>
      </w:r>
      <w:r>
        <w:fldChar w:fldCharType="separate"/>
      </w:r>
      <w:r>
        <w:rPr>
          <w:rStyle w:val="32"/>
          <w:rFonts w:ascii="Times New Roman" w:hAnsi="Times New Roman" w:eastAsia="方正仿宋_GBK"/>
          <w:sz w:val="32"/>
          <w:szCs w:val="32"/>
        </w:rPr>
        <w:t>第二节  高质量实施城市更新</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_Toc29543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72</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"_Toc5756" </w:instrText>
      </w:r>
      <w:r>
        <w:fldChar w:fldCharType="separate"/>
      </w:r>
      <w:r>
        <w:rPr>
          <w:rStyle w:val="32"/>
          <w:rFonts w:ascii="Times New Roman" w:hAnsi="Times New Roman" w:eastAsia="方正仿宋_GBK"/>
          <w:sz w:val="32"/>
          <w:szCs w:val="32"/>
        </w:rPr>
        <w:t>第三节  提升县城管理水平</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_Toc5756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73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"_Toc16486" </w:instrText>
      </w:r>
      <w:r>
        <w:fldChar w:fldCharType="separate"/>
      </w:r>
      <w:r>
        <w:rPr>
          <w:rStyle w:val="32"/>
          <w:rFonts w:ascii="Times New Roman" w:hAnsi="Times New Roman" w:eastAsia="方正仿宋_GBK"/>
          <w:sz w:val="32"/>
          <w:szCs w:val="32"/>
        </w:rPr>
        <w:t>第四节  推动农业转移人口在城镇稳业安居</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_Toc16486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73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"_Toc21497" </w:instrText>
      </w:r>
      <w:r>
        <w:fldChar w:fldCharType="separate"/>
      </w:r>
      <w:r>
        <w:rPr>
          <w:rStyle w:val="32"/>
          <w:rFonts w:ascii="Times New Roman" w:hAnsi="Times New Roman" w:eastAsia="方正楷体_GBK"/>
          <w:bCs/>
          <w:kern w:val="44"/>
          <w:sz w:val="32"/>
          <w:szCs w:val="32"/>
        </w:rPr>
        <w:t>第二十三章  构建城乡融合发展新机制</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_Toc21497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74</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"_Toc2235" </w:instrText>
      </w:r>
      <w:r>
        <w:fldChar w:fldCharType="separate"/>
      </w:r>
      <w:r>
        <w:rPr>
          <w:rStyle w:val="32"/>
          <w:rFonts w:ascii="Times New Roman" w:hAnsi="Times New Roman" w:eastAsia="方正仿宋_GBK"/>
          <w:sz w:val="32"/>
          <w:szCs w:val="32"/>
        </w:rPr>
        <w:t>第一节  全面深化农业农村改革</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_Toc2235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75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"_Toc29110" </w:instrText>
      </w:r>
      <w:r>
        <w:fldChar w:fldCharType="separate"/>
      </w:r>
      <w:r>
        <w:rPr>
          <w:rStyle w:val="32"/>
          <w:rFonts w:ascii="Times New Roman" w:hAnsi="Times New Roman" w:eastAsia="方正仿宋_GBK"/>
          <w:sz w:val="32"/>
          <w:szCs w:val="32"/>
        </w:rPr>
        <w:t>第二节  加强农业农村发展要素保障</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_Toc29110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76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8"/>
        <w:tabs>
          <w:tab w:val="right" w:leader="dot" w:pos="8306"/>
        </w:tabs>
        <w:overflowPunct w:val="0"/>
        <w:rPr>
          <w:rFonts w:ascii="Times New Roman" w:hAnsi="Times New Roman" w:eastAsia="方正黑体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"_Toc24556" </w:instrText>
      </w:r>
      <w:r>
        <w:fldChar w:fldCharType="separate"/>
      </w:r>
      <w:r>
        <w:rPr>
          <w:rStyle w:val="32"/>
          <w:rFonts w:ascii="Times New Roman" w:hAnsi="Times New Roman" w:eastAsia="方正黑体_GBK"/>
          <w:sz w:val="32"/>
          <w:szCs w:val="32"/>
        </w:rPr>
        <w:t>第七篇  落实创新驱动发展战略  持续增强经济社会发展动力</w:t>
      </w:r>
      <w:r>
        <w:rPr>
          <w:rStyle w:val="32"/>
          <w:rFonts w:ascii="Times New Roman" w:hAnsi="Times New Roman" w:eastAsia="方正黑体_GBK"/>
          <w:sz w:val="32"/>
          <w:szCs w:val="32"/>
        </w:rPr>
        <w:tab/>
      </w:r>
      <w:r>
        <w:rPr>
          <w:rStyle w:val="32"/>
          <w:rFonts w:ascii="Times New Roman" w:hAnsi="Times New Roman" w:eastAsia="方正黑体_GBK"/>
          <w:sz w:val="32"/>
          <w:szCs w:val="32"/>
        </w:rPr>
        <w:fldChar w:fldCharType="begin"/>
      </w:r>
      <w:r>
        <w:rPr>
          <w:rStyle w:val="32"/>
          <w:rFonts w:ascii="Times New Roman" w:hAnsi="Times New Roman" w:eastAsia="方正黑体_GBK"/>
          <w:sz w:val="32"/>
          <w:szCs w:val="32"/>
        </w:rPr>
        <w:instrText xml:space="preserve"> PAGEREF _Toc24556 \h </w:instrText>
      </w:r>
      <w:r>
        <w:rPr>
          <w:rStyle w:val="32"/>
          <w:rFonts w:ascii="Times New Roman" w:hAnsi="Times New Roman" w:eastAsia="方正黑体_GBK"/>
          <w:sz w:val="32"/>
          <w:szCs w:val="32"/>
        </w:rPr>
        <w:fldChar w:fldCharType="separate"/>
      </w:r>
      <w:r>
        <w:rPr>
          <w:rStyle w:val="32"/>
          <w:rFonts w:ascii="Times New Roman" w:hAnsi="Times New Roman" w:eastAsia="方正黑体_GBK"/>
          <w:sz w:val="32"/>
          <w:szCs w:val="32"/>
        </w:rPr>
        <w:t>77</w:t>
      </w:r>
      <w:r>
        <w:rPr>
          <w:rStyle w:val="32"/>
          <w:rFonts w:ascii="Times New Roman" w:hAnsi="Times New Roman" w:eastAsia="方正黑体_GBK"/>
          <w:sz w:val="32"/>
          <w:szCs w:val="32"/>
        </w:rPr>
        <w:fldChar w:fldCharType="end"/>
      </w:r>
      <w:r>
        <w:rPr>
          <w:rStyle w:val="32"/>
          <w:rFonts w:ascii="Times New Roman" w:hAnsi="Times New Roman" w:eastAsia="方正黑体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"_Toc1271" </w:instrText>
      </w:r>
      <w:r>
        <w:fldChar w:fldCharType="separate"/>
      </w:r>
      <w:r>
        <w:rPr>
          <w:rStyle w:val="32"/>
          <w:rFonts w:ascii="Times New Roman" w:hAnsi="Times New Roman" w:eastAsia="方正楷体_GBK"/>
          <w:bCs/>
          <w:kern w:val="44"/>
          <w:sz w:val="32"/>
          <w:szCs w:val="32"/>
        </w:rPr>
        <w:t>第二十四章  加快培育创新力量</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_Toc1271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77</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"_Toc3093" </w:instrText>
      </w:r>
      <w:r>
        <w:fldChar w:fldCharType="separate"/>
      </w:r>
      <w:r>
        <w:rPr>
          <w:rStyle w:val="32"/>
          <w:rFonts w:ascii="Times New Roman" w:hAnsi="Times New Roman" w:eastAsia="方正仿宋_GBK"/>
          <w:sz w:val="32"/>
          <w:szCs w:val="32"/>
        </w:rPr>
        <w:t>第一节  强化企业创新主体地位</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_Toc3093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77</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"_Toc9174" </w:instrText>
      </w:r>
      <w:r>
        <w:fldChar w:fldCharType="separate"/>
      </w:r>
      <w:r>
        <w:rPr>
          <w:rStyle w:val="32"/>
          <w:rFonts w:ascii="Times New Roman" w:hAnsi="Times New Roman" w:eastAsia="方正仿宋_GBK"/>
          <w:sz w:val="32"/>
          <w:szCs w:val="32"/>
        </w:rPr>
        <w:t>第二节  加强产学研创新平台建设</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_Toc9174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78</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"_Toc22388" </w:instrText>
      </w:r>
      <w:r>
        <w:fldChar w:fldCharType="separate"/>
      </w:r>
      <w:r>
        <w:rPr>
          <w:rStyle w:val="32"/>
          <w:rFonts w:ascii="Times New Roman" w:hAnsi="Times New Roman" w:eastAsia="方正楷体_GBK"/>
          <w:bCs/>
          <w:kern w:val="44"/>
          <w:sz w:val="32"/>
          <w:szCs w:val="32"/>
        </w:rPr>
        <w:t>第二十五章  激发人才创新活力</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_Toc22388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79</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"_Toc1388" </w:instrText>
      </w:r>
      <w:r>
        <w:fldChar w:fldCharType="separate"/>
      </w:r>
      <w:r>
        <w:rPr>
          <w:rStyle w:val="32"/>
          <w:rFonts w:ascii="Times New Roman" w:hAnsi="Times New Roman" w:eastAsia="方正楷体_GBK"/>
          <w:bCs/>
          <w:kern w:val="44"/>
          <w:sz w:val="32"/>
          <w:szCs w:val="32"/>
        </w:rPr>
        <w:t>第二十六章  完善科技创新机制</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_Toc1388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81</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"_Toc13505" </w:instrText>
      </w:r>
      <w:r>
        <w:fldChar w:fldCharType="separate"/>
      </w:r>
      <w:r>
        <w:rPr>
          <w:rStyle w:val="32"/>
          <w:rFonts w:ascii="Times New Roman" w:hAnsi="Times New Roman" w:eastAsia="方正仿宋_GBK"/>
          <w:sz w:val="32"/>
          <w:szCs w:val="32"/>
        </w:rPr>
        <w:t>第一节  深化科技创新机制改革</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_Toc13505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81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"_Toc32764" </w:instrText>
      </w:r>
      <w:r>
        <w:fldChar w:fldCharType="separate"/>
      </w:r>
      <w:r>
        <w:rPr>
          <w:rStyle w:val="32"/>
          <w:rFonts w:ascii="Times New Roman" w:hAnsi="Times New Roman" w:eastAsia="方正仿宋_GBK"/>
          <w:sz w:val="32"/>
          <w:szCs w:val="32"/>
        </w:rPr>
        <w:t>第二节  完善协同创新机制</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_Toc32764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81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"_Toc17354" </w:instrText>
      </w:r>
      <w:r>
        <w:fldChar w:fldCharType="separate"/>
      </w:r>
      <w:r>
        <w:rPr>
          <w:rStyle w:val="32"/>
          <w:rFonts w:ascii="Times New Roman" w:hAnsi="Times New Roman" w:eastAsia="方正仿宋_GBK"/>
          <w:sz w:val="32"/>
          <w:szCs w:val="32"/>
        </w:rPr>
        <w:t>第三节  健全科技投融资体系</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_Toc17354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81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"_Toc13390" </w:instrText>
      </w:r>
      <w:r>
        <w:fldChar w:fldCharType="separate"/>
      </w:r>
      <w:r>
        <w:rPr>
          <w:rStyle w:val="32"/>
          <w:rFonts w:ascii="Times New Roman" w:hAnsi="Times New Roman" w:eastAsia="方正仿宋_GBK"/>
          <w:sz w:val="32"/>
          <w:szCs w:val="32"/>
        </w:rPr>
        <w:t>第四节  优化创新创业创造生态</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_Toc13390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82</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8"/>
        <w:tabs>
          <w:tab w:val="right" w:leader="dot" w:pos="8306"/>
        </w:tabs>
        <w:overflowPunct w:val="0"/>
        <w:rPr>
          <w:rFonts w:ascii="Times New Roman" w:hAnsi="Times New Roman" w:eastAsia="方正黑体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"_Toc27047" </w:instrText>
      </w:r>
      <w:r>
        <w:fldChar w:fldCharType="separate"/>
      </w:r>
      <w:r>
        <w:rPr>
          <w:rStyle w:val="32"/>
          <w:rFonts w:ascii="Times New Roman" w:hAnsi="Times New Roman" w:eastAsia="方正黑体_GBK"/>
          <w:sz w:val="32"/>
          <w:szCs w:val="32"/>
        </w:rPr>
        <w:t>第八篇 在更高起点推进全面深化改革  构建规范</w:t>
      </w:r>
      <w:r>
        <w:rPr>
          <w:rStyle w:val="32"/>
          <w:rFonts w:ascii="Times New Roman" w:hAnsi="Times New Roman" w:eastAsia="方正黑体_GBK"/>
          <w:sz w:val="32"/>
          <w:szCs w:val="32"/>
        </w:rPr>
        <w:tab/>
      </w:r>
      <w:r>
        <w:rPr>
          <w:rStyle w:val="32"/>
          <w:rFonts w:ascii="Times New Roman" w:hAnsi="Times New Roman" w:eastAsia="方正黑体_GBK"/>
          <w:sz w:val="32"/>
          <w:szCs w:val="32"/>
        </w:rPr>
        <w:fldChar w:fldCharType="begin"/>
      </w:r>
      <w:r>
        <w:rPr>
          <w:rStyle w:val="32"/>
          <w:rFonts w:ascii="Times New Roman" w:hAnsi="Times New Roman" w:eastAsia="方正黑体_GBK"/>
          <w:sz w:val="32"/>
          <w:szCs w:val="32"/>
        </w:rPr>
        <w:instrText xml:space="preserve"> PAGEREF _Toc27047 \h </w:instrText>
      </w:r>
      <w:r>
        <w:rPr>
          <w:rStyle w:val="32"/>
          <w:rFonts w:ascii="Times New Roman" w:hAnsi="Times New Roman" w:eastAsia="方正黑体_GBK"/>
          <w:sz w:val="32"/>
          <w:szCs w:val="32"/>
        </w:rPr>
        <w:fldChar w:fldCharType="separate"/>
      </w:r>
      <w:r>
        <w:rPr>
          <w:rStyle w:val="32"/>
          <w:rFonts w:ascii="Times New Roman" w:hAnsi="Times New Roman" w:eastAsia="方正黑体_GBK"/>
          <w:sz w:val="32"/>
          <w:szCs w:val="32"/>
        </w:rPr>
        <w:t>82</w:t>
      </w:r>
      <w:r>
        <w:rPr>
          <w:rStyle w:val="32"/>
          <w:rFonts w:ascii="Times New Roman" w:hAnsi="Times New Roman" w:eastAsia="方正黑体_GBK"/>
          <w:sz w:val="32"/>
          <w:szCs w:val="32"/>
        </w:rPr>
        <w:fldChar w:fldCharType="end"/>
      </w:r>
      <w:r>
        <w:rPr>
          <w:rStyle w:val="32"/>
          <w:rFonts w:ascii="Times New Roman" w:hAnsi="Times New Roman" w:eastAsia="方正黑体_GBK"/>
          <w:sz w:val="32"/>
          <w:szCs w:val="32"/>
        </w:rPr>
        <w:fldChar w:fldCharType="end"/>
      </w:r>
    </w:p>
    <w:p>
      <w:pPr>
        <w:pStyle w:val="18"/>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"_Toc17635" </w:instrText>
      </w:r>
      <w:r>
        <w:fldChar w:fldCharType="separate"/>
      </w:r>
      <w:r>
        <w:rPr>
          <w:rStyle w:val="32"/>
          <w:rFonts w:ascii="Times New Roman" w:hAnsi="Times New Roman" w:eastAsia="方正黑体_GBK"/>
          <w:bCs/>
          <w:kern w:val="44"/>
          <w:sz w:val="32"/>
          <w:szCs w:val="32"/>
        </w:rPr>
        <w:t>有序的社会主义市场经济体制</w:t>
      </w:r>
      <w:r>
        <w:rPr>
          <w:rStyle w:val="32"/>
          <w:rFonts w:ascii="Times New Roman" w:hAnsi="Times New Roman" w:eastAsia="方正黑体_GBK"/>
          <w:sz w:val="32"/>
          <w:szCs w:val="32"/>
        </w:rPr>
        <w:tab/>
      </w:r>
      <w:r>
        <w:rPr>
          <w:rStyle w:val="32"/>
          <w:rFonts w:ascii="Times New Roman" w:hAnsi="Times New Roman" w:eastAsia="方正黑体_GBK"/>
          <w:sz w:val="32"/>
          <w:szCs w:val="32"/>
        </w:rPr>
        <w:fldChar w:fldCharType="begin"/>
      </w:r>
      <w:r>
        <w:rPr>
          <w:rStyle w:val="32"/>
          <w:rFonts w:ascii="Times New Roman" w:hAnsi="Times New Roman" w:eastAsia="方正黑体_GBK"/>
          <w:sz w:val="32"/>
          <w:szCs w:val="32"/>
        </w:rPr>
        <w:instrText xml:space="preserve"> PAGEREF _Toc17635 \h </w:instrText>
      </w:r>
      <w:r>
        <w:rPr>
          <w:rStyle w:val="32"/>
          <w:rFonts w:ascii="Times New Roman" w:hAnsi="Times New Roman" w:eastAsia="方正黑体_GBK"/>
          <w:sz w:val="32"/>
          <w:szCs w:val="32"/>
        </w:rPr>
        <w:fldChar w:fldCharType="separate"/>
      </w:r>
      <w:r>
        <w:rPr>
          <w:rStyle w:val="32"/>
          <w:rFonts w:ascii="Times New Roman" w:hAnsi="Times New Roman" w:eastAsia="方正黑体_GBK"/>
          <w:sz w:val="32"/>
          <w:szCs w:val="32"/>
        </w:rPr>
        <w:t>82</w:t>
      </w:r>
      <w:r>
        <w:rPr>
          <w:rStyle w:val="32"/>
          <w:rFonts w:ascii="Times New Roman" w:hAnsi="Times New Roman" w:eastAsia="方正黑体_GBK"/>
          <w:sz w:val="32"/>
          <w:szCs w:val="32"/>
        </w:rPr>
        <w:fldChar w:fldCharType="end"/>
      </w:r>
      <w:r>
        <w:rPr>
          <w:rStyle w:val="32"/>
          <w:rFonts w:ascii="Times New Roman" w:hAnsi="Times New Roman" w:eastAsia="方正黑体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"_Toc20875" </w:instrText>
      </w:r>
      <w:r>
        <w:fldChar w:fldCharType="separate"/>
      </w:r>
      <w:r>
        <w:rPr>
          <w:rStyle w:val="32"/>
          <w:rFonts w:ascii="Times New Roman" w:hAnsi="Times New Roman" w:eastAsia="方正楷体_GBK"/>
          <w:bCs/>
          <w:kern w:val="44"/>
          <w:sz w:val="32"/>
          <w:szCs w:val="32"/>
        </w:rPr>
        <w:t>第二十七章  激发各类市场主体活力</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_Toc20875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83</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"_Toc10608" </w:instrText>
      </w:r>
      <w:r>
        <w:fldChar w:fldCharType="separate"/>
      </w:r>
      <w:r>
        <w:rPr>
          <w:rStyle w:val="32"/>
          <w:rFonts w:ascii="Times New Roman" w:hAnsi="Times New Roman" w:eastAsia="方正仿宋_GBK"/>
          <w:sz w:val="32"/>
          <w:szCs w:val="32"/>
        </w:rPr>
        <w:t>第一节  深化国资国企改革</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_Toc10608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83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"_Toc31201" </w:instrText>
      </w:r>
      <w:r>
        <w:fldChar w:fldCharType="separate"/>
      </w:r>
      <w:r>
        <w:rPr>
          <w:rStyle w:val="32"/>
          <w:rFonts w:ascii="Times New Roman" w:hAnsi="Times New Roman" w:eastAsia="方正仿宋_GBK"/>
          <w:sz w:val="32"/>
          <w:szCs w:val="32"/>
        </w:rPr>
        <w:t>第二节  推动民营经济加快发展</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_Toc31201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83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"_Toc8387" </w:instrText>
      </w:r>
      <w:r>
        <w:fldChar w:fldCharType="separate"/>
      </w:r>
      <w:r>
        <w:rPr>
          <w:rStyle w:val="32"/>
          <w:rFonts w:ascii="Times New Roman" w:hAnsi="Times New Roman" w:eastAsia="方正楷体_GBK"/>
          <w:bCs/>
          <w:kern w:val="44"/>
          <w:sz w:val="32"/>
          <w:szCs w:val="32"/>
        </w:rPr>
        <w:t>第二十八章  落实高质量发展政策体系</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_Toc8387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84</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"_Toc17901" </w:instrText>
      </w:r>
      <w:r>
        <w:fldChar w:fldCharType="separate"/>
      </w:r>
      <w:r>
        <w:rPr>
          <w:rStyle w:val="32"/>
          <w:rFonts w:ascii="Times New Roman" w:hAnsi="Times New Roman" w:eastAsia="方正楷体_GBK"/>
          <w:bCs/>
          <w:kern w:val="44"/>
          <w:sz w:val="32"/>
          <w:szCs w:val="32"/>
        </w:rPr>
        <w:t>第二十九章  落实现代财税金融体制</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_Toc17901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84</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"_Toc8627" </w:instrText>
      </w:r>
      <w:r>
        <w:fldChar w:fldCharType="separate"/>
      </w:r>
      <w:r>
        <w:rPr>
          <w:rStyle w:val="32"/>
          <w:rFonts w:ascii="Times New Roman" w:hAnsi="Times New Roman" w:eastAsia="方正楷体_GBK"/>
          <w:bCs/>
          <w:kern w:val="44"/>
          <w:sz w:val="32"/>
          <w:szCs w:val="32"/>
        </w:rPr>
        <w:t>第三十章  建设高标准市场体系</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_Toc8627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85</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"_Toc8834" </w:instrText>
      </w:r>
      <w:r>
        <w:fldChar w:fldCharType="separate"/>
      </w:r>
      <w:r>
        <w:rPr>
          <w:rStyle w:val="32"/>
          <w:rFonts w:ascii="Times New Roman" w:hAnsi="Times New Roman" w:eastAsia="方正仿宋_GBK"/>
          <w:sz w:val="32"/>
          <w:szCs w:val="32"/>
        </w:rPr>
        <w:t>第一节  夯实市场经济基础性制度</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_Toc8834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85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"_Toc16863" </w:instrText>
      </w:r>
      <w:r>
        <w:fldChar w:fldCharType="separate"/>
      </w:r>
      <w:r>
        <w:rPr>
          <w:rStyle w:val="32"/>
          <w:rFonts w:ascii="Times New Roman" w:hAnsi="Times New Roman" w:eastAsia="方正仿宋_GBK"/>
          <w:sz w:val="32"/>
          <w:szCs w:val="32"/>
        </w:rPr>
        <w:t>第二节  完善市场化要素配置机制</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_Toc16863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85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"_Toc9177" </w:instrText>
      </w:r>
      <w:r>
        <w:fldChar w:fldCharType="separate"/>
      </w:r>
      <w:r>
        <w:rPr>
          <w:rStyle w:val="32"/>
          <w:rFonts w:ascii="Times New Roman" w:hAnsi="Times New Roman" w:eastAsia="方正楷体_GBK"/>
          <w:bCs/>
          <w:kern w:val="44"/>
          <w:sz w:val="32"/>
          <w:szCs w:val="32"/>
        </w:rPr>
        <w:t>第三十一章  持续优化营商环境</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_Toc9177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86</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"_Toc3433" </w:instrText>
      </w:r>
      <w:r>
        <w:fldChar w:fldCharType="separate"/>
      </w:r>
      <w:r>
        <w:rPr>
          <w:rStyle w:val="32"/>
          <w:rFonts w:ascii="Times New Roman" w:hAnsi="Times New Roman" w:eastAsia="方正仿宋_GBK"/>
          <w:sz w:val="32"/>
          <w:szCs w:val="32"/>
        </w:rPr>
        <w:t>第一节  加快转变政府职能</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_Toc3433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86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"_Toc29483" </w:instrText>
      </w:r>
      <w:r>
        <w:fldChar w:fldCharType="separate"/>
      </w:r>
      <w:r>
        <w:rPr>
          <w:rStyle w:val="32"/>
          <w:rFonts w:ascii="Times New Roman" w:hAnsi="Times New Roman" w:eastAsia="方正仿宋_GBK"/>
          <w:sz w:val="32"/>
          <w:szCs w:val="32"/>
        </w:rPr>
        <w:t>第二节  优化涉企公共服务</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_Toc29483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87</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"_Toc10177" </w:instrText>
      </w:r>
      <w:r>
        <w:fldChar w:fldCharType="separate"/>
      </w:r>
      <w:r>
        <w:rPr>
          <w:rStyle w:val="32"/>
          <w:rFonts w:ascii="Times New Roman" w:hAnsi="Times New Roman" w:eastAsia="方正仿宋_GBK"/>
          <w:sz w:val="32"/>
          <w:szCs w:val="32"/>
        </w:rPr>
        <w:t>第三节  完善社会信用体系</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_Toc10177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87</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8"/>
        <w:tabs>
          <w:tab w:val="right" w:leader="dot" w:pos="8306"/>
        </w:tabs>
        <w:overflowPunct w:val="0"/>
        <w:rPr>
          <w:rFonts w:ascii="Times New Roman" w:hAnsi="Times New Roman" w:eastAsia="方正黑体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"_Toc12508" </w:instrText>
      </w:r>
      <w:r>
        <w:fldChar w:fldCharType="separate"/>
      </w:r>
      <w:r>
        <w:rPr>
          <w:rStyle w:val="32"/>
          <w:rFonts w:ascii="Times New Roman" w:hAnsi="Times New Roman" w:eastAsia="方正黑体_GBK"/>
          <w:sz w:val="32"/>
          <w:szCs w:val="32"/>
        </w:rPr>
        <w:t>第九篇  大力发展文化事业和文化产业  提高社会文明程度</w:t>
      </w:r>
      <w:r>
        <w:rPr>
          <w:rStyle w:val="32"/>
          <w:rFonts w:ascii="Times New Roman" w:hAnsi="Times New Roman" w:eastAsia="方正黑体_GBK"/>
          <w:sz w:val="32"/>
          <w:szCs w:val="32"/>
        </w:rPr>
        <w:tab/>
      </w:r>
      <w:r>
        <w:rPr>
          <w:rStyle w:val="32"/>
          <w:rFonts w:ascii="Times New Roman" w:hAnsi="Times New Roman" w:eastAsia="方正黑体_GBK"/>
          <w:sz w:val="32"/>
          <w:szCs w:val="32"/>
        </w:rPr>
        <w:fldChar w:fldCharType="begin"/>
      </w:r>
      <w:r>
        <w:rPr>
          <w:rStyle w:val="32"/>
          <w:rFonts w:ascii="Times New Roman" w:hAnsi="Times New Roman" w:eastAsia="方正黑体_GBK"/>
          <w:sz w:val="32"/>
          <w:szCs w:val="32"/>
        </w:rPr>
        <w:instrText xml:space="preserve"> PAGEREF _Toc12508 \h </w:instrText>
      </w:r>
      <w:r>
        <w:rPr>
          <w:rStyle w:val="32"/>
          <w:rFonts w:ascii="Times New Roman" w:hAnsi="Times New Roman" w:eastAsia="方正黑体_GBK"/>
          <w:sz w:val="32"/>
          <w:szCs w:val="32"/>
        </w:rPr>
        <w:fldChar w:fldCharType="separate"/>
      </w:r>
      <w:r>
        <w:rPr>
          <w:rStyle w:val="32"/>
          <w:rFonts w:ascii="Times New Roman" w:hAnsi="Times New Roman" w:eastAsia="方正黑体_GBK"/>
          <w:sz w:val="32"/>
          <w:szCs w:val="32"/>
        </w:rPr>
        <w:t>88</w:t>
      </w:r>
      <w:r>
        <w:rPr>
          <w:rStyle w:val="32"/>
          <w:rFonts w:ascii="Times New Roman" w:hAnsi="Times New Roman" w:eastAsia="方正黑体_GBK"/>
          <w:sz w:val="32"/>
          <w:szCs w:val="32"/>
        </w:rPr>
        <w:fldChar w:fldCharType="end"/>
      </w:r>
      <w:r>
        <w:rPr>
          <w:rStyle w:val="32"/>
          <w:rFonts w:ascii="Times New Roman" w:hAnsi="Times New Roman" w:eastAsia="方正黑体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"_Toc22434" </w:instrText>
      </w:r>
      <w:r>
        <w:fldChar w:fldCharType="separate"/>
      </w:r>
      <w:r>
        <w:rPr>
          <w:rStyle w:val="32"/>
          <w:rFonts w:ascii="Times New Roman" w:hAnsi="Times New Roman" w:eastAsia="方正楷体_GBK"/>
          <w:bCs/>
          <w:kern w:val="44"/>
          <w:sz w:val="32"/>
          <w:szCs w:val="32"/>
        </w:rPr>
        <w:t>第三十二章  提高社会文明程度</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_Toc22434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88</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"_Toc14589" </w:instrText>
      </w:r>
      <w:r>
        <w:fldChar w:fldCharType="separate"/>
      </w:r>
      <w:r>
        <w:rPr>
          <w:rStyle w:val="32"/>
          <w:rFonts w:ascii="Times New Roman" w:hAnsi="Times New Roman" w:eastAsia="方正仿宋_GBK"/>
          <w:sz w:val="32"/>
          <w:szCs w:val="32"/>
        </w:rPr>
        <w:t>第一节  践行社会主义核心价值观</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_Toc14589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88</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"_Toc20" </w:instrText>
      </w:r>
      <w:r>
        <w:fldChar w:fldCharType="separate"/>
      </w:r>
      <w:r>
        <w:rPr>
          <w:rStyle w:val="32"/>
          <w:rFonts w:ascii="Times New Roman" w:hAnsi="Times New Roman" w:eastAsia="方正仿宋_GBK"/>
          <w:sz w:val="32"/>
          <w:szCs w:val="32"/>
        </w:rPr>
        <w:t>第二节  加强社会主义精神文明建设</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89</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楷体_GBK"/>
          <w:bCs/>
          <w:kern w:val="44"/>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"_Toc25799" </w:instrText>
      </w:r>
      <w:r>
        <w:fldChar w:fldCharType="separate"/>
      </w:r>
      <w:r>
        <w:rPr>
          <w:rStyle w:val="32"/>
          <w:rFonts w:ascii="Times New Roman" w:hAnsi="Times New Roman" w:eastAsia="方正楷体_GBK"/>
          <w:bCs/>
          <w:kern w:val="44"/>
          <w:sz w:val="32"/>
          <w:szCs w:val="32"/>
        </w:rPr>
        <w:t>第三十三章  提升公共文化服务水平</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_Toc25799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90</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"_Toc22135" </w:instrText>
      </w:r>
      <w:r>
        <w:fldChar w:fldCharType="separate"/>
      </w:r>
      <w:r>
        <w:rPr>
          <w:rStyle w:val="32"/>
          <w:rFonts w:ascii="Times New Roman" w:hAnsi="Times New Roman" w:eastAsia="方正仿宋_GBK"/>
          <w:sz w:val="32"/>
          <w:szCs w:val="32"/>
        </w:rPr>
        <w:t>第一节  推进文艺事业繁荣发展</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_Toc22135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90</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"_Toc30972" </w:instrText>
      </w:r>
      <w:r>
        <w:fldChar w:fldCharType="separate"/>
      </w:r>
      <w:r>
        <w:rPr>
          <w:rStyle w:val="32"/>
          <w:rFonts w:ascii="Times New Roman" w:hAnsi="Times New Roman" w:eastAsia="方正仿宋_GBK"/>
          <w:sz w:val="32"/>
          <w:szCs w:val="32"/>
        </w:rPr>
        <w:t>第二节  推进公共文化服务体系建设</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_Toc30972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90</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"_Toc26077" </w:instrText>
      </w:r>
      <w:r>
        <w:fldChar w:fldCharType="separate"/>
      </w:r>
      <w:r>
        <w:rPr>
          <w:rStyle w:val="32"/>
          <w:rFonts w:ascii="Times New Roman" w:hAnsi="Times New Roman" w:eastAsia="方正仿宋_GBK"/>
          <w:sz w:val="32"/>
          <w:szCs w:val="32"/>
        </w:rPr>
        <w:t>第三节  加强优秀传统文化传承弘扬</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_Toc26077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91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"_Toc12376" </w:instrText>
      </w:r>
      <w:r>
        <w:fldChar w:fldCharType="separate"/>
      </w:r>
      <w:r>
        <w:rPr>
          <w:rStyle w:val="32"/>
          <w:rFonts w:ascii="Times New Roman" w:hAnsi="Times New Roman" w:eastAsia="方正仿宋_GBK"/>
          <w:sz w:val="32"/>
          <w:szCs w:val="32"/>
        </w:rPr>
        <w:t>第四节  建设长征国家文化公园</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_Toc12376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91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"_Toc12864" </w:instrText>
      </w:r>
      <w:r>
        <w:fldChar w:fldCharType="separate"/>
      </w:r>
      <w:r>
        <w:rPr>
          <w:rStyle w:val="32"/>
          <w:rFonts w:ascii="Times New Roman" w:hAnsi="Times New Roman" w:eastAsia="方正楷体_GBK"/>
          <w:bCs/>
          <w:kern w:val="44"/>
          <w:sz w:val="32"/>
          <w:szCs w:val="32"/>
        </w:rPr>
        <w:t>第三十四章  健全文化产业体系</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_Toc12864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93</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"_Toc2673" </w:instrText>
      </w:r>
      <w:r>
        <w:fldChar w:fldCharType="separate"/>
      </w:r>
      <w:r>
        <w:rPr>
          <w:rStyle w:val="32"/>
          <w:rFonts w:ascii="Times New Roman" w:hAnsi="Times New Roman" w:eastAsia="方正仿宋_GBK"/>
          <w:sz w:val="32"/>
          <w:szCs w:val="32"/>
        </w:rPr>
        <w:t>第一节  推动文化产业创新发展</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_Toc2673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93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"_Toc8787" </w:instrText>
      </w:r>
      <w:r>
        <w:fldChar w:fldCharType="separate"/>
      </w:r>
      <w:r>
        <w:rPr>
          <w:rStyle w:val="32"/>
          <w:rFonts w:ascii="Times New Roman" w:hAnsi="Times New Roman" w:eastAsia="方正仿宋_GBK"/>
          <w:sz w:val="32"/>
          <w:szCs w:val="32"/>
        </w:rPr>
        <w:t>第二节  推动文化产业集聚协同发展</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_Toc8787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93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"_Toc2747" </w:instrText>
      </w:r>
      <w:r>
        <w:fldChar w:fldCharType="separate"/>
      </w:r>
      <w:r>
        <w:rPr>
          <w:rStyle w:val="32"/>
          <w:rFonts w:ascii="Times New Roman" w:hAnsi="Times New Roman" w:eastAsia="方正仿宋_GBK"/>
          <w:sz w:val="32"/>
          <w:szCs w:val="32"/>
        </w:rPr>
        <w:t>第三节  大力打造文化品牌</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_Toc2747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94</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8"/>
        <w:tabs>
          <w:tab w:val="right" w:leader="dot" w:pos="8306"/>
        </w:tabs>
        <w:overflowPunct w:val="0"/>
        <w:rPr>
          <w:rFonts w:ascii="Times New Roman" w:hAnsi="Times New Roman" w:eastAsia="方正黑体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"_Toc19719" </w:instrText>
      </w:r>
      <w:r>
        <w:fldChar w:fldCharType="separate"/>
      </w:r>
      <w:r>
        <w:rPr>
          <w:rStyle w:val="32"/>
          <w:rFonts w:ascii="Times New Roman" w:hAnsi="Times New Roman" w:eastAsia="方正黑体_GBK"/>
          <w:sz w:val="32"/>
          <w:szCs w:val="32"/>
        </w:rPr>
        <w:t>第十篇  努力创造高品质生活，提高社会建设水平</w:t>
      </w:r>
      <w:r>
        <w:rPr>
          <w:rStyle w:val="32"/>
          <w:rFonts w:ascii="Times New Roman" w:hAnsi="Times New Roman" w:eastAsia="方正黑体_GBK"/>
          <w:sz w:val="32"/>
          <w:szCs w:val="32"/>
        </w:rPr>
        <w:tab/>
      </w:r>
      <w:r>
        <w:rPr>
          <w:rStyle w:val="32"/>
          <w:rFonts w:ascii="Times New Roman" w:hAnsi="Times New Roman" w:eastAsia="方正黑体_GBK"/>
          <w:sz w:val="32"/>
          <w:szCs w:val="32"/>
        </w:rPr>
        <w:fldChar w:fldCharType="begin"/>
      </w:r>
      <w:r>
        <w:rPr>
          <w:rStyle w:val="32"/>
          <w:rFonts w:ascii="Times New Roman" w:hAnsi="Times New Roman" w:eastAsia="方正黑体_GBK"/>
          <w:sz w:val="32"/>
          <w:szCs w:val="32"/>
        </w:rPr>
        <w:instrText xml:space="preserve"> PAGEREF _Toc19719 \h </w:instrText>
      </w:r>
      <w:r>
        <w:rPr>
          <w:rStyle w:val="32"/>
          <w:rFonts w:ascii="Times New Roman" w:hAnsi="Times New Roman" w:eastAsia="方正黑体_GBK"/>
          <w:sz w:val="32"/>
          <w:szCs w:val="32"/>
        </w:rPr>
        <w:fldChar w:fldCharType="separate"/>
      </w:r>
      <w:r>
        <w:rPr>
          <w:rStyle w:val="32"/>
          <w:rFonts w:ascii="Times New Roman" w:hAnsi="Times New Roman" w:eastAsia="方正黑体_GBK"/>
          <w:sz w:val="32"/>
          <w:szCs w:val="32"/>
        </w:rPr>
        <w:t>94</w:t>
      </w:r>
      <w:r>
        <w:rPr>
          <w:rStyle w:val="32"/>
          <w:rFonts w:ascii="Times New Roman" w:hAnsi="Times New Roman" w:eastAsia="方正黑体_GBK"/>
          <w:sz w:val="32"/>
          <w:szCs w:val="32"/>
        </w:rPr>
        <w:fldChar w:fldCharType="end"/>
      </w:r>
      <w:r>
        <w:rPr>
          <w:rStyle w:val="32"/>
          <w:rFonts w:ascii="Times New Roman" w:hAnsi="Times New Roman" w:eastAsia="方正黑体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"_Toc12429" </w:instrText>
      </w:r>
      <w:r>
        <w:fldChar w:fldCharType="separate"/>
      </w:r>
      <w:r>
        <w:rPr>
          <w:rStyle w:val="32"/>
          <w:rFonts w:ascii="Times New Roman" w:hAnsi="Times New Roman" w:eastAsia="方正楷体_GBK"/>
          <w:bCs/>
          <w:kern w:val="44"/>
          <w:sz w:val="32"/>
          <w:szCs w:val="32"/>
        </w:rPr>
        <w:t>第三十五章  提高人民收入水平</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_Toc12429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94</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"_Toc28657" </w:instrText>
      </w:r>
      <w:r>
        <w:fldChar w:fldCharType="separate"/>
      </w:r>
      <w:r>
        <w:rPr>
          <w:rStyle w:val="32"/>
          <w:rFonts w:ascii="Times New Roman" w:hAnsi="Times New Roman" w:eastAsia="方正楷体_GBK"/>
          <w:bCs/>
          <w:kern w:val="44"/>
          <w:sz w:val="32"/>
          <w:szCs w:val="32"/>
        </w:rPr>
        <w:t>第三十六章  促进更加充分更高质量就业</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_Toc28657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95</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"_Toc30800" </w:instrText>
      </w:r>
      <w:r>
        <w:fldChar w:fldCharType="separate"/>
      </w:r>
      <w:r>
        <w:rPr>
          <w:rStyle w:val="32"/>
          <w:rFonts w:ascii="Times New Roman" w:hAnsi="Times New Roman" w:eastAsia="方正仿宋_GBK"/>
          <w:sz w:val="32"/>
          <w:szCs w:val="32"/>
        </w:rPr>
        <w:t>第一节  健全就业创业服务体系</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_Toc30800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95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"_Toc15932" </w:instrText>
      </w:r>
      <w:r>
        <w:fldChar w:fldCharType="separate"/>
      </w:r>
      <w:r>
        <w:rPr>
          <w:rStyle w:val="32"/>
          <w:rFonts w:ascii="Times New Roman" w:hAnsi="Times New Roman" w:eastAsia="方正仿宋_GBK"/>
          <w:sz w:val="32"/>
          <w:szCs w:val="32"/>
        </w:rPr>
        <w:t>第二节  促进重点群体就业</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_Toc15932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95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"_Toc30542" </w:instrText>
      </w:r>
      <w:r>
        <w:fldChar w:fldCharType="separate"/>
      </w:r>
      <w:r>
        <w:rPr>
          <w:rStyle w:val="32"/>
          <w:rFonts w:ascii="Times New Roman" w:hAnsi="Times New Roman" w:eastAsia="方正楷体_GBK"/>
          <w:bCs/>
          <w:kern w:val="44"/>
          <w:sz w:val="32"/>
          <w:szCs w:val="32"/>
        </w:rPr>
        <w:t>第三十七章  优先发展教育事业</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_Toc30542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96</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"_Toc29641" </w:instrText>
      </w:r>
      <w:r>
        <w:fldChar w:fldCharType="separate"/>
      </w:r>
      <w:r>
        <w:rPr>
          <w:rStyle w:val="32"/>
          <w:rFonts w:ascii="Times New Roman" w:hAnsi="Times New Roman" w:eastAsia="方正仿宋_GBK"/>
          <w:sz w:val="32"/>
          <w:szCs w:val="32"/>
        </w:rPr>
        <w:t>第一节  推进基本公共教育优质发展</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_Toc29641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96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"_Toc13993" </w:instrText>
      </w:r>
      <w:r>
        <w:fldChar w:fldCharType="separate"/>
      </w:r>
      <w:r>
        <w:rPr>
          <w:rStyle w:val="32"/>
          <w:rFonts w:ascii="Times New Roman" w:hAnsi="Times New Roman" w:eastAsia="方正仿宋_GBK"/>
          <w:sz w:val="32"/>
          <w:szCs w:val="32"/>
        </w:rPr>
        <w:t>第二节 增强教育服务支撑高质量发展能力</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_Toc13993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97</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"_Toc22439" </w:instrText>
      </w:r>
      <w:r>
        <w:fldChar w:fldCharType="separate"/>
      </w:r>
      <w:r>
        <w:rPr>
          <w:rStyle w:val="32"/>
          <w:rFonts w:ascii="Times New Roman" w:hAnsi="Times New Roman" w:eastAsia="方正仿宋_GBK"/>
          <w:sz w:val="32"/>
          <w:szCs w:val="32"/>
        </w:rPr>
        <w:t>第三节  加快完善现代教育治理体系</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_Toc22439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97</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"_Toc24859" </w:instrText>
      </w:r>
      <w:r>
        <w:fldChar w:fldCharType="separate"/>
      </w:r>
      <w:r>
        <w:rPr>
          <w:rStyle w:val="32"/>
          <w:rFonts w:ascii="Times New Roman" w:hAnsi="Times New Roman" w:eastAsia="方正楷体_GBK"/>
          <w:bCs/>
          <w:kern w:val="44"/>
          <w:sz w:val="32"/>
          <w:szCs w:val="32"/>
        </w:rPr>
        <w:t>第三十八章  实施健康中国城口行动</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_Toc24859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98</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"_Toc14826" </w:instrText>
      </w:r>
      <w:r>
        <w:fldChar w:fldCharType="separate"/>
      </w:r>
      <w:r>
        <w:rPr>
          <w:rStyle w:val="32"/>
          <w:rFonts w:ascii="Times New Roman" w:hAnsi="Times New Roman" w:eastAsia="方正仿宋_GBK"/>
          <w:sz w:val="32"/>
          <w:szCs w:val="32"/>
        </w:rPr>
        <w:t>第一节  全面加强公共卫生服务体系建设</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_Toc14826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98</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"_Toc24745" </w:instrText>
      </w:r>
      <w:r>
        <w:fldChar w:fldCharType="separate"/>
      </w:r>
      <w:r>
        <w:rPr>
          <w:rStyle w:val="32"/>
          <w:rFonts w:ascii="Times New Roman" w:hAnsi="Times New Roman" w:eastAsia="方正仿宋_GBK"/>
          <w:sz w:val="32"/>
          <w:szCs w:val="32"/>
        </w:rPr>
        <w:t>第二节 全面提高医疗卫生服务水平</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_Toc24745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99</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"_Toc26331" </w:instrText>
      </w:r>
      <w:r>
        <w:fldChar w:fldCharType="separate"/>
      </w:r>
      <w:r>
        <w:rPr>
          <w:rStyle w:val="32"/>
          <w:rFonts w:ascii="Times New Roman" w:hAnsi="Times New Roman" w:eastAsia="方正仿宋_GBK"/>
          <w:sz w:val="32"/>
          <w:szCs w:val="32"/>
        </w:rPr>
        <w:t>第三节  加强全方位全生命周期健康保障</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_Toc26331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99</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"_Toc31526" </w:instrText>
      </w:r>
      <w:r>
        <w:fldChar w:fldCharType="separate"/>
      </w:r>
      <w:r>
        <w:rPr>
          <w:rStyle w:val="32"/>
          <w:rFonts w:ascii="Times New Roman" w:hAnsi="Times New Roman" w:eastAsia="方正仿宋_GBK"/>
          <w:sz w:val="32"/>
          <w:szCs w:val="32"/>
        </w:rPr>
        <w:t>第四节  促进中医药传承与创新</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_Toc31526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100</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"_Toc18194" </w:instrText>
      </w:r>
      <w:r>
        <w:fldChar w:fldCharType="separate"/>
      </w:r>
      <w:r>
        <w:rPr>
          <w:rStyle w:val="32"/>
          <w:rFonts w:ascii="Times New Roman" w:hAnsi="Times New Roman" w:eastAsia="方正仿宋_GBK"/>
          <w:sz w:val="32"/>
          <w:szCs w:val="32"/>
        </w:rPr>
        <w:t>第五节  推进体育事业发展</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_Toc18194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100</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"_Toc4245" </w:instrText>
      </w:r>
      <w:r>
        <w:fldChar w:fldCharType="separate"/>
      </w:r>
      <w:r>
        <w:rPr>
          <w:rStyle w:val="32"/>
          <w:rFonts w:ascii="Times New Roman" w:hAnsi="Times New Roman" w:eastAsia="方正楷体_GBK"/>
          <w:bCs/>
          <w:kern w:val="44"/>
          <w:sz w:val="32"/>
          <w:szCs w:val="32"/>
        </w:rPr>
        <w:t>第三十九章  加强社会保障体系建设</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_Toc4245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101</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"_Toc26942" </w:instrText>
      </w:r>
      <w:r>
        <w:fldChar w:fldCharType="separate"/>
      </w:r>
      <w:r>
        <w:rPr>
          <w:rStyle w:val="32"/>
          <w:rFonts w:ascii="Times New Roman" w:hAnsi="Times New Roman" w:eastAsia="方正仿宋_GBK"/>
          <w:sz w:val="32"/>
          <w:szCs w:val="32"/>
        </w:rPr>
        <w:t>第一节  完善社会保险和医疗保障体系</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_Toc26942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101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"_Toc30716" </w:instrText>
      </w:r>
      <w:r>
        <w:fldChar w:fldCharType="separate"/>
      </w:r>
      <w:r>
        <w:rPr>
          <w:rStyle w:val="32"/>
          <w:rFonts w:ascii="Times New Roman" w:hAnsi="Times New Roman" w:eastAsia="方正仿宋_GBK"/>
          <w:sz w:val="32"/>
          <w:szCs w:val="32"/>
        </w:rPr>
        <w:t>第二节  健全社会救助体系</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_Toc30716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102</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"_Toc22912" </w:instrText>
      </w:r>
      <w:r>
        <w:fldChar w:fldCharType="separate"/>
      </w:r>
      <w:r>
        <w:rPr>
          <w:rStyle w:val="32"/>
          <w:rFonts w:ascii="Times New Roman" w:hAnsi="Times New Roman" w:eastAsia="方正仿宋_GBK"/>
          <w:sz w:val="32"/>
          <w:szCs w:val="32"/>
        </w:rPr>
        <w:t>第三节  完善住房保障体系</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_Toc22912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102</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"_Toc16303" </w:instrText>
      </w:r>
      <w:r>
        <w:fldChar w:fldCharType="separate"/>
      </w:r>
      <w:r>
        <w:rPr>
          <w:rStyle w:val="32"/>
          <w:rFonts w:ascii="Times New Roman" w:hAnsi="Times New Roman" w:eastAsia="方正仿宋_GBK"/>
          <w:sz w:val="32"/>
          <w:szCs w:val="32"/>
        </w:rPr>
        <w:t>第四节  健全退役军人服务和保障体系</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_Toc16303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103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"_Toc4383" </w:instrText>
      </w:r>
      <w:r>
        <w:fldChar w:fldCharType="separate"/>
      </w:r>
      <w:r>
        <w:rPr>
          <w:rStyle w:val="32"/>
          <w:rFonts w:ascii="Times New Roman" w:hAnsi="Times New Roman" w:eastAsia="方正楷体_GBK"/>
          <w:bCs/>
          <w:kern w:val="44"/>
          <w:sz w:val="32"/>
          <w:szCs w:val="32"/>
        </w:rPr>
        <w:t>第四十章  落实积极应对人口老龄化国家战略</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_Toc4383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103</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"_Toc25668" </w:instrText>
      </w:r>
      <w:r>
        <w:fldChar w:fldCharType="separate"/>
      </w:r>
      <w:r>
        <w:rPr>
          <w:rStyle w:val="32"/>
          <w:rFonts w:ascii="Times New Roman" w:hAnsi="Times New Roman" w:eastAsia="方正仿宋_GBK"/>
          <w:sz w:val="32"/>
          <w:szCs w:val="32"/>
        </w:rPr>
        <w:t>第一节  提高生育托育服务水平</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_Toc25668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103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"_Toc23076" </w:instrText>
      </w:r>
      <w:r>
        <w:fldChar w:fldCharType="separate"/>
      </w:r>
      <w:r>
        <w:rPr>
          <w:rStyle w:val="32"/>
          <w:rFonts w:ascii="Times New Roman" w:hAnsi="Times New Roman" w:eastAsia="方正仿宋_GBK"/>
          <w:sz w:val="32"/>
          <w:szCs w:val="32"/>
        </w:rPr>
        <w:t>第二节  推动养老事业和养老产业协同发展</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_Toc23076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103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"_Toc6537" </w:instrText>
      </w:r>
      <w:r>
        <w:fldChar w:fldCharType="separate"/>
      </w:r>
      <w:r>
        <w:rPr>
          <w:rStyle w:val="32"/>
          <w:rFonts w:ascii="Times New Roman" w:hAnsi="Times New Roman" w:eastAsia="方正楷体_GBK"/>
          <w:bCs/>
          <w:kern w:val="44"/>
          <w:sz w:val="32"/>
          <w:szCs w:val="32"/>
        </w:rPr>
        <w:t>第四十一章  关心关爱重点群体发展</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_Toc6537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105</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"_Toc27521" </w:instrText>
      </w:r>
      <w:r>
        <w:fldChar w:fldCharType="separate"/>
      </w:r>
      <w:r>
        <w:rPr>
          <w:rStyle w:val="32"/>
          <w:rFonts w:ascii="Times New Roman" w:hAnsi="Times New Roman" w:eastAsia="方正仿宋_GBK"/>
          <w:sz w:val="32"/>
          <w:szCs w:val="32"/>
        </w:rPr>
        <w:t>第一节  促进妇女全面发展</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_Toc27521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105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"_Toc11155" </w:instrText>
      </w:r>
      <w:r>
        <w:fldChar w:fldCharType="separate"/>
      </w:r>
      <w:r>
        <w:rPr>
          <w:rStyle w:val="32"/>
          <w:rFonts w:ascii="Times New Roman" w:hAnsi="Times New Roman" w:eastAsia="方正仿宋_GBK"/>
          <w:sz w:val="32"/>
          <w:szCs w:val="32"/>
        </w:rPr>
        <w:t>第二节  保障儿童健康发展</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_Toc11155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105</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"_Toc22043" </w:instrText>
      </w:r>
      <w:r>
        <w:fldChar w:fldCharType="separate"/>
      </w:r>
      <w:r>
        <w:rPr>
          <w:rStyle w:val="32"/>
          <w:rFonts w:ascii="Times New Roman" w:hAnsi="Times New Roman" w:eastAsia="方正仿宋_GBK"/>
          <w:sz w:val="32"/>
          <w:szCs w:val="32"/>
        </w:rPr>
        <w:t>第三节  高质量推动青少年发展事业</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_Toc22043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106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rPr>
          <w:rFonts w:ascii="Times New Roman" w:hAnsi="Times New Roman" w:eastAsia="方正仿宋_GBK"/>
          <w:sz w:val="32"/>
          <w:szCs w:val="32"/>
        </w:rPr>
        <w:t>第四节  加强家庭建设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_Toc12345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106</w:t>
      </w:r>
      <w:r>
        <w:rPr>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"_Toc12345" </w:instrText>
      </w:r>
      <w:r>
        <w:fldChar w:fldCharType="separate"/>
      </w:r>
      <w:r>
        <w:rPr>
          <w:rStyle w:val="32"/>
          <w:rFonts w:ascii="Times New Roman" w:hAnsi="Times New Roman" w:eastAsia="方正仿宋_GBK"/>
          <w:sz w:val="32"/>
          <w:szCs w:val="32"/>
        </w:rPr>
        <w:t>第五节  提升残疾人服务保障水平</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_Toc12345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106</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"_Toc1773" </w:instrText>
      </w:r>
      <w:r>
        <w:fldChar w:fldCharType="separate"/>
      </w:r>
      <w:r>
        <w:rPr>
          <w:rStyle w:val="32"/>
          <w:rFonts w:ascii="Times New Roman" w:hAnsi="Times New Roman" w:eastAsia="方正楷体_GBK"/>
          <w:bCs/>
          <w:kern w:val="44"/>
          <w:sz w:val="32"/>
          <w:szCs w:val="32"/>
        </w:rPr>
        <w:t>第四十二章  加强和创新社会治理</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_Toc1773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107</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"_Toc15646" </w:instrText>
      </w:r>
      <w:r>
        <w:fldChar w:fldCharType="separate"/>
      </w:r>
      <w:r>
        <w:rPr>
          <w:rStyle w:val="32"/>
          <w:rFonts w:ascii="Times New Roman" w:hAnsi="Times New Roman" w:eastAsia="方正仿宋_GBK"/>
          <w:sz w:val="32"/>
          <w:szCs w:val="32"/>
        </w:rPr>
        <w:t>第一节  完善社会治理体系</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_Toc15646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107</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"_Toc28499" </w:instrText>
      </w:r>
      <w:r>
        <w:fldChar w:fldCharType="separate"/>
      </w:r>
      <w:r>
        <w:rPr>
          <w:rStyle w:val="32"/>
          <w:rFonts w:ascii="Times New Roman" w:hAnsi="Times New Roman" w:eastAsia="方正仿宋_GBK"/>
          <w:sz w:val="32"/>
          <w:szCs w:val="32"/>
        </w:rPr>
        <w:t>第二节  加强基层社会治理</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_Toc28499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108</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8"/>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"_Toc3915" </w:instrText>
      </w:r>
      <w:r>
        <w:fldChar w:fldCharType="separate"/>
      </w:r>
      <w:r>
        <w:rPr>
          <w:rStyle w:val="32"/>
          <w:rFonts w:ascii="Times New Roman" w:hAnsi="Times New Roman" w:eastAsia="方正黑体_GBK"/>
          <w:sz w:val="32"/>
          <w:szCs w:val="32"/>
        </w:rPr>
        <w:t>第十一篇  统筹发展和安全  守住安全发展底线</w:t>
      </w:r>
      <w:r>
        <w:rPr>
          <w:rStyle w:val="32"/>
          <w:rFonts w:ascii="Times New Roman" w:hAnsi="Times New Roman" w:eastAsia="方正黑体_GBK"/>
          <w:sz w:val="32"/>
          <w:szCs w:val="32"/>
        </w:rPr>
        <w:tab/>
      </w:r>
      <w:r>
        <w:rPr>
          <w:rStyle w:val="32"/>
          <w:rFonts w:ascii="Times New Roman" w:hAnsi="Times New Roman" w:eastAsia="方正黑体_GBK"/>
          <w:sz w:val="32"/>
          <w:szCs w:val="32"/>
        </w:rPr>
        <w:fldChar w:fldCharType="begin"/>
      </w:r>
      <w:r>
        <w:rPr>
          <w:rStyle w:val="32"/>
          <w:rFonts w:ascii="Times New Roman" w:hAnsi="Times New Roman" w:eastAsia="方正黑体_GBK"/>
          <w:sz w:val="32"/>
          <w:szCs w:val="32"/>
        </w:rPr>
        <w:instrText xml:space="preserve"> PAGEREF _Toc3915 \h </w:instrText>
      </w:r>
      <w:r>
        <w:rPr>
          <w:rStyle w:val="32"/>
          <w:rFonts w:ascii="Times New Roman" w:hAnsi="Times New Roman" w:eastAsia="方正黑体_GBK"/>
          <w:sz w:val="32"/>
          <w:szCs w:val="32"/>
        </w:rPr>
        <w:fldChar w:fldCharType="separate"/>
      </w:r>
      <w:r>
        <w:rPr>
          <w:rStyle w:val="32"/>
          <w:rFonts w:ascii="Times New Roman" w:hAnsi="Times New Roman" w:eastAsia="方正黑体_GBK"/>
          <w:sz w:val="32"/>
          <w:szCs w:val="32"/>
        </w:rPr>
        <w:t>109</w:t>
      </w:r>
      <w:r>
        <w:rPr>
          <w:rStyle w:val="32"/>
          <w:rFonts w:ascii="Times New Roman" w:hAnsi="Times New Roman" w:eastAsia="方正黑体_GBK"/>
          <w:sz w:val="32"/>
          <w:szCs w:val="32"/>
        </w:rPr>
        <w:fldChar w:fldCharType="end"/>
      </w:r>
      <w:r>
        <w:rPr>
          <w:rStyle w:val="32"/>
          <w:rFonts w:ascii="Times New Roman" w:hAnsi="Times New Roman" w:eastAsia="方正黑体_GBK"/>
          <w:sz w:val="32"/>
          <w:szCs w:val="32"/>
        </w:rPr>
        <w:fldChar w:fldCharType="end"/>
      </w:r>
    </w:p>
    <w:p>
      <w:pPr>
        <w:pStyle w:val="21"/>
        <w:tabs>
          <w:tab w:val="right" w:leader="dot" w:pos="8306"/>
        </w:tabs>
        <w:overflowPunct w:val="0"/>
        <w:ind w:firstLine="210" w:firstLineChars="100"/>
        <w:rPr>
          <w:rFonts w:ascii="Times New Roman" w:hAnsi="Times New Roman" w:eastAsia="方正楷体_GBK"/>
          <w:bCs/>
          <w:kern w:val="44"/>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"_Toc11470" </w:instrText>
      </w:r>
      <w:r>
        <w:fldChar w:fldCharType="separate"/>
      </w:r>
      <w:r>
        <w:rPr>
          <w:rStyle w:val="32"/>
          <w:rFonts w:ascii="Times New Roman" w:hAnsi="Times New Roman" w:eastAsia="方正楷体_GBK"/>
          <w:bCs/>
          <w:kern w:val="44"/>
          <w:sz w:val="32"/>
          <w:szCs w:val="32"/>
        </w:rPr>
        <w:t>第四十三章  全力维护国家安全</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_Toc11470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109</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21"/>
        <w:tabs>
          <w:tab w:val="right" w:leader="dot" w:pos="8306"/>
        </w:tabs>
        <w:overflowPunct w:val="0"/>
        <w:ind w:firstLine="210" w:firstLineChars="100"/>
        <w:rPr>
          <w:rFonts w:ascii="Times New Roman" w:hAnsi="Times New Roman" w:eastAsia="方正楷体_GBK"/>
          <w:bCs/>
          <w:kern w:val="44"/>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"_Toc14447" </w:instrText>
      </w:r>
      <w:r>
        <w:fldChar w:fldCharType="separate"/>
      </w:r>
      <w:r>
        <w:rPr>
          <w:rStyle w:val="32"/>
          <w:rFonts w:ascii="Times New Roman" w:hAnsi="Times New Roman" w:eastAsia="方正楷体_GBK"/>
          <w:bCs/>
          <w:kern w:val="44"/>
          <w:sz w:val="32"/>
          <w:szCs w:val="32"/>
        </w:rPr>
        <w:t>第四十四章  突出抓好经济安全</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_Toc14447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110</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"_Toc5052" </w:instrText>
      </w:r>
      <w:r>
        <w:fldChar w:fldCharType="separate"/>
      </w:r>
      <w:r>
        <w:rPr>
          <w:rStyle w:val="32"/>
          <w:rFonts w:ascii="Times New Roman" w:hAnsi="Times New Roman" w:eastAsia="方正楷体_GBK"/>
          <w:bCs/>
          <w:kern w:val="44"/>
          <w:sz w:val="32"/>
          <w:szCs w:val="32"/>
        </w:rPr>
        <w:t>第四十五章  切实保障公共安全</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_Toc5052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111</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"_Toc18233" </w:instrText>
      </w:r>
      <w:r>
        <w:fldChar w:fldCharType="separate"/>
      </w:r>
      <w:r>
        <w:rPr>
          <w:rStyle w:val="32"/>
          <w:rFonts w:ascii="Times New Roman" w:hAnsi="Times New Roman" w:eastAsia="方正仿宋_GBK"/>
          <w:sz w:val="32"/>
          <w:szCs w:val="32"/>
        </w:rPr>
        <w:t>第一节  全面提升安全生产水平</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_Toc18233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111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"_Toc23755" </w:instrText>
      </w:r>
      <w:r>
        <w:fldChar w:fldCharType="separate"/>
      </w:r>
      <w:r>
        <w:rPr>
          <w:rStyle w:val="32"/>
          <w:rFonts w:ascii="Times New Roman" w:hAnsi="Times New Roman" w:eastAsia="方正仿宋_GBK"/>
          <w:sz w:val="32"/>
          <w:szCs w:val="32"/>
        </w:rPr>
        <w:t>第二节  严格食品药品安全监管</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_Toc23755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111</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"_Toc19304" </w:instrText>
      </w:r>
      <w:r>
        <w:fldChar w:fldCharType="separate"/>
      </w:r>
      <w:r>
        <w:rPr>
          <w:rStyle w:val="32"/>
          <w:rFonts w:ascii="Times New Roman" w:hAnsi="Times New Roman" w:eastAsia="方正仿宋_GBK"/>
          <w:sz w:val="32"/>
          <w:szCs w:val="32"/>
        </w:rPr>
        <w:t>第三节  提高事故灾害防范应对能力</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_Toc19304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112</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"_Toc29507" </w:instrText>
      </w:r>
      <w:r>
        <w:fldChar w:fldCharType="separate"/>
      </w:r>
      <w:r>
        <w:rPr>
          <w:rStyle w:val="32"/>
          <w:rFonts w:ascii="Times New Roman" w:hAnsi="Times New Roman" w:eastAsia="方正楷体_GBK"/>
          <w:bCs/>
          <w:kern w:val="44"/>
          <w:sz w:val="32"/>
          <w:szCs w:val="32"/>
        </w:rPr>
        <w:t>第四十六章  维护社会稳定和安全</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_Toc29507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112</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"_Toc23436" </w:instrText>
      </w:r>
      <w:r>
        <w:fldChar w:fldCharType="separate"/>
      </w:r>
      <w:r>
        <w:rPr>
          <w:rStyle w:val="32"/>
          <w:rFonts w:ascii="Times New Roman" w:hAnsi="Times New Roman" w:eastAsia="方正仿宋_GBK"/>
          <w:sz w:val="32"/>
          <w:szCs w:val="32"/>
        </w:rPr>
        <w:t>第一节  防范化解社会矛盾风险</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_Toc23436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113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"_Toc4692" </w:instrText>
      </w:r>
      <w:r>
        <w:fldChar w:fldCharType="separate"/>
      </w:r>
      <w:r>
        <w:rPr>
          <w:rStyle w:val="32"/>
          <w:rFonts w:ascii="Times New Roman" w:hAnsi="Times New Roman" w:eastAsia="方正仿宋_GBK"/>
          <w:sz w:val="32"/>
          <w:szCs w:val="32"/>
        </w:rPr>
        <w:t>第二节  推进社会治安防控体系现代化</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_Toc4692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113</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8"/>
        <w:tabs>
          <w:tab w:val="right" w:leader="dot" w:pos="8306"/>
        </w:tabs>
        <w:overflowPunct w:val="0"/>
        <w:rPr>
          <w:rFonts w:ascii="Times New Roman" w:hAnsi="Times New Roman" w:eastAsia="方正黑体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"_Toc12677" </w:instrText>
      </w:r>
      <w:r>
        <w:fldChar w:fldCharType="separate"/>
      </w:r>
      <w:r>
        <w:rPr>
          <w:rStyle w:val="32"/>
          <w:rFonts w:ascii="Times New Roman" w:hAnsi="Times New Roman" w:eastAsia="方正黑体_GBK"/>
          <w:sz w:val="32"/>
          <w:szCs w:val="32"/>
        </w:rPr>
        <w:t>第十二篇  健全规划的领导和保障机制</w:t>
      </w:r>
      <w:r>
        <w:rPr>
          <w:rStyle w:val="32"/>
          <w:rFonts w:ascii="Times New Roman" w:hAnsi="Times New Roman" w:eastAsia="方正黑体_GBK"/>
          <w:sz w:val="32"/>
          <w:szCs w:val="32"/>
        </w:rPr>
        <w:tab/>
      </w:r>
      <w:r>
        <w:rPr>
          <w:rStyle w:val="32"/>
          <w:rFonts w:ascii="Times New Roman" w:hAnsi="Times New Roman" w:eastAsia="方正黑体_GBK"/>
          <w:sz w:val="32"/>
          <w:szCs w:val="32"/>
        </w:rPr>
        <w:fldChar w:fldCharType="begin"/>
      </w:r>
      <w:r>
        <w:rPr>
          <w:rStyle w:val="32"/>
          <w:rFonts w:ascii="Times New Roman" w:hAnsi="Times New Roman" w:eastAsia="方正黑体_GBK"/>
          <w:sz w:val="32"/>
          <w:szCs w:val="32"/>
        </w:rPr>
        <w:instrText xml:space="preserve"> PAGEREF _Toc12677 \h </w:instrText>
      </w:r>
      <w:r>
        <w:rPr>
          <w:rStyle w:val="32"/>
          <w:rFonts w:ascii="Times New Roman" w:hAnsi="Times New Roman" w:eastAsia="方正黑体_GBK"/>
          <w:sz w:val="32"/>
          <w:szCs w:val="32"/>
        </w:rPr>
        <w:fldChar w:fldCharType="separate"/>
      </w:r>
      <w:r>
        <w:rPr>
          <w:rStyle w:val="32"/>
          <w:rFonts w:ascii="Times New Roman" w:hAnsi="Times New Roman" w:eastAsia="方正黑体_GBK"/>
          <w:sz w:val="32"/>
          <w:szCs w:val="32"/>
        </w:rPr>
        <w:t>113</w:t>
      </w:r>
      <w:r>
        <w:rPr>
          <w:rStyle w:val="32"/>
          <w:rFonts w:ascii="Times New Roman" w:hAnsi="Times New Roman" w:eastAsia="方正黑体_GBK"/>
          <w:sz w:val="32"/>
          <w:szCs w:val="32"/>
        </w:rPr>
        <w:fldChar w:fldCharType="end"/>
      </w:r>
      <w:r>
        <w:rPr>
          <w:rStyle w:val="32"/>
          <w:rFonts w:ascii="Times New Roman" w:hAnsi="Times New Roman" w:eastAsia="方正黑体_GBK"/>
          <w:sz w:val="32"/>
          <w:szCs w:val="32"/>
        </w:rPr>
        <w:fldChar w:fldCharType="end"/>
      </w:r>
    </w:p>
    <w:p>
      <w:pPr>
        <w:pStyle w:val="21"/>
        <w:tabs>
          <w:tab w:val="right" w:leader="dot" w:pos="8306"/>
        </w:tabs>
        <w:overflowPunct w:val="0"/>
        <w:ind w:firstLine="210" w:firstLineChars="100"/>
        <w:rPr>
          <w:rFonts w:ascii="Times New Roman" w:hAnsi="Times New Roman" w:eastAsia="方正楷体_GBK"/>
          <w:bCs/>
          <w:kern w:val="44"/>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"_Toc4612" </w:instrText>
      </w:r>
      <w:r>
        <w:fldChar w:fldCharType="separate"/>
      </w:r>
      <w:r>
        <w:rPr>
          <w:rStyle w:val="32"/>
          <w:rFonts w:ascii="Times New Roman" w:hAnsi="Times New Roman" w:eastAsia="方正楷体_GBK"/>
          <w:bCs/>
          <w:kern w:val="44"/>
          <w:sz w:val="32"/>
          <w:szCs w:val="32"/>
        </w:rPr>
        <w:t>第四十七章  坚持党对经济社会发展的领导</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_Toc4612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114</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"_Toc2171" </w:instrText>
      </w:r>
      <w:r>
        <w:fldChar w:fldCharType="separate"/>
      </w:r>
      <w:r>
        <w:rPr>
          <w:rStyle w:val="32"/>
          <w:rFonts w:ascii="Times New Roman" w:hAnsi="Times New Roman" w:eastAsia="方正楷体_GBK"/>
          <w:bCs/>
          <w:kern w:val="44"/>
          <w:sz w:val="32"/>
          <w:szCs w:val="32"/>
        </w:rPr>
        <w:t>第四十八章  持续营造风清气正良好政治生态</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_Toc2171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114</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21"/>
        <w:tabs>
          <w:tab w:val="right" w:leader="dot" w:pos="8306"/>
        </w:tabs>
        <w:overflowPunct w:val="0"/>
        <w:ind w:firstLine="210" w:firstLineChars="100"/>
        <w:rPr>
          <w:rFonts w:ascii="Times New Roman" w:hAnsi="Times New Roman" w:eastAsia="方正楷体_GBK"/>
          <w:bCs/>
          <w:kern w:val="44"/>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"_Toc14433" </w:instrText>
      </w:r>
      <w:r>
        <w:fldChar w:fldCharType="separate"/>
      </w:r>
      <w:r>
        <w:rPr>
          <w:rStyle w:val="32"/>
          <w:rFonts w:ascii="Times New Roman" w:hAnsi="Times New Roman" w:eastAsia="方正楷体_GBK"/>
          <w:bCs/>
          <w:kern w:val="44"/>
          <w:sz w:val="32"/>
          <w:szCs w:val="32"/>
        </w:rPr>
        <w:t>第四十九章  建设高素质专业化干部队伍</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_Toc14433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115</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21"/>
        <w:tabs>
          <w:tab w:val="right" w:leader="dot" w:pos="8306"/>
        </w:tabs>
        <w:overflowPunct w:val="0"/>
        <w:ind w:firstLine="210" w:firstLineChars="100"/>
        <w:rPr>
          <w:rFonts w:ascii="Times New Roman" w:hAnsi="Times New Roman" w:eastAsia="方正楷体_GBK"/>
          <w:bCs/>
          <w:kern w:val="44"/>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"_Toc19131" </w:instrText>
      </w:r>
      <w:r>
        <w:fldChar w:fldCharType="separate"/>
      </w:r>
      <w:r>
        <w:rPr>
          <w:rStyle w:val="32"/>
          <w:rFonts w:ascii="Times New Roman" w:hAnsi="Times New Roman" w:eastAsia="方正楷体_GBK"/>
          <w:bCs/>
          <w:kern w:val="44"/>
          <w:sz w:val="32"/>
          <w:szCs w:val="32"/>
        </w:rPr>
        <w:t>第五十章  凝聚全社会力量共同奋斗</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_Toc19131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116</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"_Toc11898" </w:instrText>
      </w:r>
      <w:r>
        <w:fldChar w:fldCharType="separate"/>
      </w:r>
      <w:r>
        <w:rPr>
          <w:rStyle w:val="32"/>
          <w:rFonts w:ascii="Times New Roman" w:hAnsi="Times New Roman" w:eastAsia="方正楷体_GBK"/>
          <w:bCs/>
          <w:kern w:val="44"/>
          <w:sz w:val="32"/>
          <w:szCs w:val="32"/>
        </w:rPr>
        <w:t>第五十一章  推进全面依法治县</w:t>
      </w:r>
      <w:r>
        <w:rPr>
          <w:rStyle w:val="32"/>
          <w:rFonts w:ascii="Times New Roman" w:hAnsi="Times New Roman" w:eastAsia="方正楷体_GBK"/>
          <w:bCs/>
          <w:kern w:val="44"/>
          <w:sz w:val="32"/>
          <w:szCs w:val="32"/>
        </w:rPr>
        <w:tab/>
      </w:r>
      <w:r>
        <w:rPr>
          <w:rStyle w:val="32"/>
          <w:rFonts w:ascii="Times New Roman" w:hAnsi="Times New Roman" w:eastAsia="方正楷体_GBK"/>
          <w:bCs/>
          <w:kern w:val="44"/>
          <w:sz w:val="32"/>
          <w:szCs w:val="32"/>
        </w:rPr>
        <w:fldChar w:fldCharType="begin"/>
      </w:r>
      <w:r>
        <w:rPr>
          <w:rStyle w:val="32"/>
          <w:rFonts w:ascii="Times New Roman" w:hAnsi="Times New Roman" w:eastAsia="方正楷体_GBK"/>
          <w:bCs/>
          <w:kern w:val="44"/>
          <w:sz w:val="32"/>
          <w:szCs w:val="32"/>
        </w:rPr>
        <w:instrText xml:space="preserve"> PAGEREF _Toc11898 \h </w:instrText>
      </w:r>
      <w:r>
        <w:rPr>
          <w:rStyle w:val="32"/>
          <w:rFonts w:ascii="Times New Roman" w:hAnsi="Times New Roman" w:eastAsia="方正楷体_GBK"/>
          <w:bCs/>
          <w:kern w:val="44"/>
          <w:sz w:val="32"/>
          <w:szCs w:val="32"/>
        </w:rPr>
        <w:fldChar w:fldCharType="separate"/>
      </w:r>
      <w:r>
        <w:rPr>
          <w:rStyle w:val="32"/>
          <w:rFonts w:ascii="Times New Roman" w:hAnsi="Times New Roman" w:eastAsia="方正楷体_GBK"/>
          <w:bCs/>
          <w:kern w:val="44"/>
          <w:sz w:val="32"/>
          <w:szCs w:val="32"/>
        </w:rPr>
        <w:t>117</w:t>
      </w:r>
      <w:r>
        <w:rPr>
          <w:rStyle w:val="32"/>
          <w:rFonts w:ascii="Times New Roman" w:hAnsi="Times New Roman" w:eastAsia="方正楷体_GBK"/>
          <w:bCs/>
          <w:kern w:val="44"/>
          <w:sz w:val="32"/>
          <w:szCs w:val="32"/>
        </w:rPr>
        <w:fldChar w:fldCharType="end"/>
      </w:r>
      <w:r>
        <w:rPr>
          <w:rStyle w:val="32"/>
          <w:rFonts w:ascii="Times New Roman" w:hAnsi="Times New Roman" w:eastAsia="方正楷体_GBK"/>
          <w:bCs/>
          <w:kern w:val="44"/>
          <w:sz w:val="32"/>
          <w:szCs w:val="32"/>
        </w:rPr>
        <w:fldChar w:fldCharType="end"/>
      </w:r>
    </w:p>
    <w:p>
      <w:pPr>
        <w:pStyle w:val="21"/>
        <w:tabs>
          <w:tab w:val="right" w:leader="dot" w:pos="8306"/>
        </w:tabs>
        <w:overflowPunct w:val="0"/>
        <w:ind w:firstLine="210" w:firstLineChars="10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"_Toc28678" </w:instrText>
      </w:r>
      <w:r>
        <w:fldChar w:fldCharType="separate"/>
      </w:r>
      <w:r>
        <w:rPr>
          <w:rStyle w:val="32"/>
          <w:rFonts w:ascii="Times New Roman" w:hAnsi="Times New Roman" w:eastAsia="方正楷体_GBK"/>
          <w:bCs/>
          <w:kern w:val="44"/>
          <w:sz w:val="32"/>
          <w:szCs w:val="32"/>
        </w:rPr>
        <w:t>第五十二章  加强规划实施和管理</w:t>
      </w:r>
      <w:r>
        <w:rPr>
          <w:rStyle w:val="32"/>
          <w:rFonts w:ascii="Times New Roman" w:hAnsi="Times New Roman" w:eastAsia="方正楷体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_Toc28678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118</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"_Toc28028" </w:instrText>
      </w:r>
      <w:r>
        <w:fldChar w:fldCharType="separate"/>
      </w:r>
      <w:r>
        <w:rPr>
          <w:rStyle w:val="32"/>
          <w:rFonts w:ascii="Times New Roman" w:hAnsi="Times New Roman" w:eastAsia="方正仿宋_GBK"/>
          <w:sz w:val="32"/>
          <w:szCs w:val="32"/>
        </w:rPr>
        <w:t>第一节  建立统一规划体系</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_Toc28028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118</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"_Toc18500" </w:instrText>
      </w:r>
      <w:r>
        <w:fldChar w:fldCharType="separate"/>
      </w:r>
      <w:r>
        <w:rPr>
          <w:rStyle w:val="32"/>
          <w:rFonts w:ascii="Times New Roman" w:hAnsi="Times New Roman" w:eastAsia="方正仿宋_GBK"/>
          <w:sz w:val="32"/>
          <w:szCs w:val="32"/>
        </w:rPr>
        <w:t>第二节  落实规划实施主体责任</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_Toc18500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118</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sz w:val="32"/>
          <w:szCs w:val="32"/>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"_Toc19394" </w:instrText>
      </w:r>
      <w:r>
        <w:fldChar w:fldCharType="separate"/>
      </w:r>
      <w:r>
        <w:rPr>
          <w:rStyle w:val="32"/>
          <w:rFonts w:ascii="Times New Roman" w:hAnsi="Times New Roman" w:eastAsia="方正仿宋_GBK"/>
          <w:sz w:val="32"/>
          <w:szCs w:val="32"/>
        </w:rPr>
        <w:t>第三节 强化项目支撑</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_Toc19394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119</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pStyle w:val="13"/>
        <w:tabs>
          <w:tab w:val="right" w:leader="dot" w:pos="8306"/>
        </w:tabs>
        <w:overflowPunct w:val="0"/>
        <w:rPr>
          <w:rFonts w:ascii="Times New Roman" w:hAnsi="Times New Roman" w:eastAsia="方正仿宋_GBK"/>
        </w:rPr>
      </w:pPr>
      <w:r>
        <w:fldChar w:fldCharType="begin"/>
      </w:r>
      <w:r>
        <w:instrText xml:space="preserve"> HYPERLINK "file:///C:\\Users\\Administrator\\Documents\\My%20RTX%20Files\\xuexx\\城府发〔2021〕4号关于印发《城口县国民经济和社会发展第十四个五年规划和二〇三五年远景目标纲要》的通知.doc" \l "_Toc22843" </w:instrText>
      </w:r>
      <w:r>
        <w:fldChar w:fldCharType="separate"/>
      </w:r>
      <w:r>
        <w:rPr>
          <w:rStyle w:val="32"/>
          <w:rFonts w:ascii="Times New Roman" w:hAnsi="Times New Roman" w:eastAsia="方正仿宋_GBK"/>
          <w:sz w:val="32"/>
          <w:szCs w:val="32"/>
        </w:rPr>
        <w:t>第四节  完善规划评估监督机制</w:t>
      </w:r>
      <w:r>
        <w:rPr>
          <w:rStyle w:val="32"/>
          <w:rFonts w:ascii="Times New Roman" w:hAnsi="Times New Roman" w:eastAsia="方正仿宋_GBK"/>
          <w:sz w:val="32"/>
          <w:szCs w:val="32"/>
        </w:rPr>
        <w:tab/>
      </w:r>
      <w:r>
        <w:rPr>
          <w:rStyle w:val="32"/>
          <w:rFonts w:ascii="Times New Roman" w:hAnsi="Times New Roman" w:eastAsia="方正仿宋_GBK"/>
          <w:sz w:val="32"/>
          <w:szCs w:val="32"/>
        </w:rPr>
        <w:fldChar w:fldCharType="begin"/>
      </w:r>
      <w:r>
        <w:rPr>
          <w:rStyle w:val="32"/>
          <w:rFonts w:ascii="Times New Roman" w:hAnsi="Times New Roman" w:eastAsia="方正仿宋_GBK"/>
          <w:sz w:val="32"/>
          <w:szCs w:val="32"/>
        </w:rPr>
        <w:instrText xml:space="preserve"> PAGEREF _Toc22843 \h </w:instrText>
      </w:r>
      <w:r>
        <w:rPr>
          <w:rStyle w:val="32"/>
          <w:rFonts w:ascii="Times New Roman" w:hAnsi="Times New Roman" w:eastAsia="方正仿宋_GBK"/>
          <w:sz w:val="32"/>
          <w:szCs w:val="32"/>
        </w:rPr>
        <w:fldChar w:fldCharType="separate"/>
      </w:r>
      <w:r>
        <w:rPr>
          <w:rStyle w:val="32"/>
          <w:rFonts w:ascii="Times New Roman" w:hAnsi="Times New Roman" w:eastAsia="方正仿宋_GBK"/>
          <w:sz w:val="32"/>
          <w:szCs w:val="32"/>
        </w:rPr>
        <w:t>119</w:t>
      </w:r>
      <w:r>
        <w:rPr>
          <w:rStyle w:val="32"/>
          <w:rFonts w:ascii="Times New Roman" w:hAnsi="Times New Roman" w:eastAsia="方正仿宋_GBK"/>
          <w:sz w:val="32"/>
          <w:szCs w:val="32"/>
        </w:rPr>
        <w:fldChar w:fldCharType="end"/>
      </w:r>
      <w:r>
        <w:rPr>
          <w:rStyle w:val="32"/>
          <w:rFonts w:ascii="Times New Roman" w:hAnsi="Times New Roman" w:eastAsia="方正仿宋_GBK"/>
          <w:sz w:val="32"/>
          <w:szCs w:val="32"/>
        </w:rPr>
        <w:fldChar w:fldCharType="end"/>
      </w:r>
    </w:p>
    <w:p>
      <w:pPr>
        <w:overflowPunct w:val="0"/>
        <w:adjustRightInd w:val="0"/>
        <w:snapToGrid w:val="0"/>
        <w:spacing w:line="560" w:lineRule="exact"/>
        <w:rPr>
          <w:rFonts w:ascii="Times New Roman" w:hAnsi="Times New Roman"/>
          <w:sz w:val="28"/>
          <w:szCs w:val="28"/>
        </w:rPr>
      </w:pPr>
      <w:r>
        <w:rPr>
          <w:rFonts w:ascii="Times New Roman" w:hAnsi="Times New Roman" w:eastAsia="方正仿宋_GBK"/>
          <w:szCs w:val="28"/>
        </w:rPr>
        <w:fldChar w:fldCharType="end"/>
      </w:r>
    </w:p>
    <w:p>
      <w:pPr>
        <w:overflowPunct w:val="0"/>
        <w:adjustRightInd w:val="0"/>
        <w:snapToGrid w:val="0"/>
        <w:spacing w:line="560" w:lineRule="exact"/>
        <w:rPr>
          <w:rFonts w:ascii="Times New Roman" w:hAnsi="Times New Roman"/>
        </w:rPr>
      </w:pPr>
    </w:p>
    <w:p>
      <w:pPr>
        <w:overflowPunct w:val="0"/>
        <w:adjustRightInd w:val="0"/>
        <w:snapToGrid w:val="0"/>
        <w:spacing w:line="560" w:lineRule="exact"/>
        <w:rPr>
          <w:rFonts w:ascii="Times New Roman" w:hAnsi="Times New Roman"/>
        </w:rPr>
      </w:pPr>
    </w:p>
    <w:p>
      <w:pPr>
        <w:overflowPunct w:val="0"/>
        <w:adjustRightInd w:val="0"/>
        <w:snapToGrid w:val="0"/>
        <w:spacing w:line="560" w:lineRule="exact"/>
        <w:rPr>
          <w:rFonts w:ascii="Times New Roman" w:hAnsi="Times New Roman"/>
        </w:rPr>
      </w:pPr>
    </w:p>
    <w:p>
      <w:pPr>
        <w:overflowPunct w:val="0"/>
        <w:adjustRightInd w:val="0"/>
        <w:snapToGrid w:val="0"/>
        <w:spacing w:line="560" w:lineRule="exact"/>
        <w:rPr>
          <w:rFonts w:ascii="Times New Roman" w:hAnsi="Times New Roman"/>
        </w:rPr>
      </w:pPr>
    </w:p>
    <w:p>
      <w:pPr>
        <w:overflowPunct w:val="0"/>
        <w:adjustRightInd w:val="0"/>
        <w:snapToGrid w:val="0"/>
        <w:spacing w:line="560" w:lineRule="exact"/>
        <w:rPr>
          <w:rFonts w:ascii="Times New Roman" w:hAnsi="Times New Roman"/>
        </w:rPr>
      </w:pPr>
    </w:p>
    <w:p>
      <w:pPr>
        <w:overflowPunct w:val="0"/>
        <w:adjustRightInd w:val="0"/>
        <w:snapToGrid w:val="0"/>
        <w:spacing w:line="560" w:lineRule="exact"/>
        <w:rPr>
          <w:rFonts w:ascii="Times New Roman" w:hAnsi="Times New Roman"/>
        </w:rPr>
      </w:pPr>
    </w:p>
    <w:p>
      <w:pPr>
        <w:widowControl/>
        <w:spacing w:beforeAutospacing="1" w:afterAutospacing="1"/>
        <w:jc w:val="left"/>
        <w:rPr>
          <w:rFonts w:ascii="Times New Roman" w:hAnsi="Times New Roman"/>
        </w:rPr>
        <w:sectPr>
          <w:pgSz w:w="11906" w:h="16838"/>
          <w:pgMar w:top="1440" w:right="1800" w:bottom="1440" w:left="1800" w:header="851" w:footer="992" w:gutter="0"/>
          <w:pgNumType w:fmt="upperRoman" w:start="1"/>
          <w:cols w:space="720" w:num="1"/>
          <w:docGrid w:type="lines" w:linePitch="312" w:charSpace="0"/>
        </w:sectPr>
      </w:pPr>
    </w:p>
    <w:p>
      <w:pPr>
        <w:overflowPunct w:val="0"/>
        <w:adjustRightInd w:val="0"/>
        <w:snapToGrid w:val="0"/>
        <w:spacing w:line="560" w:lineRule="exact"/>
        <w:ind w:firstLine="960" w:firstLineChars="300"/>
        <w:rPr>
          <w:rFonts w:ascii="Times New Roman" w:hAnsi="Times New Roman" w:eastAsia="方正仿宋_GBK"/>
        </w:rPr>
      </w:pPr>
      <w:r>
        <w:rPr>
          <w:rFonts w:ascii="Times New Roman" w:hAnsi="Times New Roman" w:eastAsia="方正仿宋_GBK"/>
          <w:sz w:val="32"/>
          <w:szCs w:val="32"/>
        </w:rPr>
        <w:t>城口县国民经济和社会发展第十四个五年（2021—2025年）规划和二〇三五年远景目标纲要，深入贯彻《中共重庆市委关于制定重庆市国民经济和社会发展第十四个五年规划和二〇三五年远景目标的建议》和习近平总书记对重庆提出的系列重要指示要求，根据《中共城口县委关于制定城口县国民经济和社会发展第十四个五年规划和二〇三五年远景目标的建议》编制，主要阐明战略意图和工作重点、引导规范市场主体行为，是未来十五年全县经济社会发展的宏伟蓝图，是全县人民共同奋斗的行动路线，是履行经济调节、市场监管、社会治理、公共服务和环境保护职责的重要依据。</w:t>
      </w:r>
    </w:p>
    <w:p>
      <w:pPr>
        <w:overflowPunct w:val="0"/>
        <w:adjustRightInd w:val="0"/>
        <w:snapToGrid w:val="0"/>
        <w:spacing w:line="560" w:lineRule="exact"/>
        <w:jc w:val="center"/>
        <w:outlineLvl w:val="0"/>
        <w:rPr>
          <w:rFonts w:ascii="Times New Roman" w:hAnsi="Times New Roman" w:eastAsia="方正小标宋_GBK"/>
          <w:b/>
          <w:bCs/>
          <w:kern w:val="44"/>
          <w:sz w:val="36"/>
          <w:szCs w:val="36"/>
        </w:rPr>
      </w:pPr>
      <w:bookmarkStart w:id="23" w:name="_Toc2852"/>
      <w:bookmarkStart w:id="24" w:name="_Toc15508"/>
      <w:bookmarkStart w:id="25" w:name="_Toc2647"/>
      <w:bookmarkStart w:id="26" w:name="_Toc6052"/>
      <w:bookmarkStart w:id="27" w:name="_Toc17823"/>
      <w:bookmarkStart w:id="28" w:name="_Toc17265"/>
      <w:bookmarkStart w:id="29" w:name="_Toc11721"/>
      <w:bookmarkStart w:id="30" w:name="_Toc25280"/>
      <w:bookmarkStart w:id="31" w:name="_Toc294"/>
      <w:bookmarkStart w:id="32" w:name="_Toc22796"/>
      <w:bookmarkStart w:id="33" w:name="_Toc896"/>
      <w:bookmarkStart w:id="34" w:name="_Toc7939"/>
    </w:p>
    <w:p>
      <w:pPr>
        <w:overflowPunct w:val="0"/>
        <w:adjustRightInd w:val="0"/>
        <w:snapToGrid w:val="0"/>
        <w:spacing w:line="560" w:lineRule="exact"/>
        <w:jc w:val="center"/>
        <w:outlineLvl w:val="0"/>
        <w:rPr>
          <w:rFonts w:ascii="Times New Roman" w:hAnsi="Times New Roman" w:eastAsia="方正小标宋_GBK"/>
          <w:b/>
          <w:bCs/>
          <w:kern w:val="44"/>
          <w:sz w:val="36"/>
          <w:szCs w:val="36"/>
        </w:rPr>
      </w:pPr>
      <w:bookmarkStart w:id="35" w:name="_Toc30624"/>
      <w:bookmarkStart w:id="36" w:name="_Toc23189"/>
      <w:bookmarkStart w:id="37" w:name="_Toc32025"/>
      <w:bookmarkStart w:id="38" w:name="_Toc22149"/>
      <w:bookmarkStart w:id="39" w:name="_Toc6529"/>
      <w:bookmarkStart w:id="40" w:name="_Toc2117"/>
      <w:r>
        <w:rPr>
          <w:rFonts w:ascii="Times New Roman" w:hAnsi="Times New Roman" w:eastAsia="方正小标宋_GBK"/>
          <w:b/>
          <w:bCs/>
          <w:kern w:val="44"/>
          <w:sz w:val="36"/>
          <w:szCs w:val="36"/>
        </w:rPr>
        <w:t>第一篇  开启社会主义现代化新征程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overflowPunct w:val="0"/>
        <w:adjustRightInd w:val="0"/>
        <w:snapToGrid w:val="0"/>
        <w:spacing w:line="560" w:lineRule="exact"/>
        <w:ind w:firstLine="640" w:firstLineChars="200"/>
        <w:rPr>
          <w:rFonts w:ascii="Times New Roman" w:hAnsi="Times New Roman" w:eastAsia="方正仿宋_GBK"/>
          <w:sz w:val="32"/>
          <w:szCs w:val="32"/>
        </w:rPr>
      </w:pP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四五”时期是全县推动高质量发展、开启社会主义现代化建设新征程的关键时期，是固根基、夯基础、扬优势、增动力、抓重点、补短板、强弱项的攻坚时期，要深入贯彻习近平总书记对重庆作出的重要指示要求，全面落实市委市政府决策部署，着眼长远，把握大势，在战略上布好局，在关键处落好子，奋力谱写高质量发展新篇章。</w:t>
      </w:r>
    </w:p>
    <w:p>
      <w:pPr>
        <w:pStyle w:val="26"/>
        <w:overflowPunct w:val="0"/>
        <w:adjustRightInd w:val="0"/>
        <w:snapToGrid w:val="0"/>
        <w:spacing w:after="0" w:line="560" w:lineRule="exact"/>
        <w:ind w:leftChars="0"/>
        <w:rPr>
          <w:rFonts w:ascii="Times New Roman" w:hAnsi="Times New Roman"/>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41" w:name="_Toc23503"/>
      <w:bookmarkStart w:id="42" w:name="_Toc32608"/>
      <w:bookmarkStart w:id="43" w:name="_Toc1435"/>
      <w:bookmarkStart w:id="44" w:name="_Toc30950"/>
      <w:bookmarkStart w:id="45" w:name="_Toc22224"/>
      <w:bookmarkStart w:id="46" w:name="_Toc7430"/>
      <w:bookmarkStart w:id="47" w:name="_Toc2651"/>
      <w:bookmarkStart w:id="48" w:name="_Toc11282"/>
      <w:bookmarkStart w:id="49" w:name="_Toc24282"/>
      <w:bookmarkStart w:id="50" w:name="_Toc23200"/>
      <w:bookmarkStart w:id="51" w:name="_Toc27086"/>
      <w:bookmarkStart w:id="52" w:name="_Toc30019"/>
      <w:bookmarkStart w:id="53" w:name="_Toc15663"/>
      <w:bookmarkStart w:id="54" w:name="_Toc15854"/>
      <w:bookmarkStart w:id="55" w:name="_Toc1823"/>
      <w:bookmarkStart w:id="56" w:name="_Toc18560"/>
      <w:bookmarkStart w:id="57" w:name="_Toc28206"/>
      <w:bookmarkStart w:id="58" w:name="_Toc31771"/>
      <w:r>
        <w:rPr>
          <w:rFonts w:ascii="Times New Roman" w:hAnsi="Times New Roman" w:eastAsia="方正黑体_GBK"/>
          <w:b/>
          <w:bCs/>
          <w:kern w:val="44"/>
          <w:sz w:val="32"/>
          <w:szCs w:val="32"/>
        </w:rPr>
        <w:t>第一章  发展环境</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“十四五”时期，我县发展环境和条件都有新的深刻复杂变化，要立足全面建成小康社会的发展基础，在复杂多变的环境中找准前行方向，把握发展主动权。</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59" w:name="_Toc1898"/>
      <w:bookmarkStart w:id="60" w:name="_Toc3535"/>
      <w:bookmarkStart w:id="61" w:name="_Toc27355"/>
      <w:bookmarkStart w:id="62" w:name="_Toc12477"/>
      <w:bookmarkStart w:id="63" w:name="_Toc11777"/>
      <w:bookmarkStart w:id="64" w:name="_Toc11442"/>
      <w:bookmarkStart w:id="65" w:name="_Toc26520"/>
      <w:bookmarkStart w:id="66" w:name="_Toc12956"/>
      <w:bookmarkStart w:id="67" w:name="_Toc3002"/>
      <w:bookmarkStart w:id="68" w:name="_Toc22845"/>
      <w:bookmarkStart w:id="69" w:name="_Toc16006"/>
      <w:bookmarkStart w:id="70" w:name="_Toc22023"/>
      <w:bookmarkStart w:id="71" w:name="_Toc16249"/>
      <w:bookmarkStart w:id="72" w:name="_Toc4466"/>
      <w:bookmarkStart w:id="73" w:name="_Toc20523"/>
      <w:bookmarkStart w:id="74" w:name="_Toc27788"/>
      <w:bookmarkStart w:id="75" w:name="_Toc31492"/>
      <w:bookmarkStart w:id="76" w:name="_Toc16852"/>
      <w:r>
        <w:rPr>
          <w:rFonts w:ascii="Times New Roman" w:hAnsi="Times New Roman" w:eastAsia="方正楷体_GBK"/>
          <w:b/>
          <w:sz w:val="32"/>
          <w:szCs w:val="32"/>
        </w:rPr>
        <w:t>第一节  决胜全面建成小康社会取得决定性成就</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25"/>
        <w:overflowPunct w:val="0"/>
        <w:adjustRightInd w:val="0"/>
        <w:snapToGrid w:val="0"/>
        <w:spacing w:after="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“十三五”时期是我县发展进程中极不平凡的五年。</w:t>
      </w:r>
      <w:r>
        <w:rPr>
          <w:rFonts w:ascii="Times New Roman" w:hAnsi="Times New Roman" w:eastAsia="方正黑体_GBK"/>
          <w:bCs/>
          <w:kern w:val="44"/>
          <w:sz w:val="32"/>
          <w:szCs w:val="32"/>
        </w:rPr>
        <w:t>最具战略指引意义的是，</w:t>
      </w:r>
      <w:r>
        <w:rPr>
          <w:rFonts w:ascii="Times New Roman" w:hAnsi="Times New Roman" w:eastAsia="方正仿宋_GBK"/>
          <w:sz w:val="32"/>
          <w:szCs w:val="32"/>
        </w:rPr>
        <w:t>习近平总书记两次亲临重庆视察并对重庆提出系列重要指示要求，为我们指明了前进方向、注入了</w:t>
      </w:r>
      <w:r>
        <w:rPr>
          <w:rFonts w:ascii="Times New Roman" w:hAnsi="Times New Roman" w:eastAsia="方正仿宋_GBK"/>
          <w:kern w:val="0"/>
          <w:sz w:val="32"/>
          <w:szCs w:val="32"/>
        </w:rPr>
        <w:t>强大动力；</w:t>
      </w:r>
      <w:r>
        <w:rPr>
          <w:rFonts w:ascii="Times New Roman" w:hAnsi="Times New Roman" w:eastAsia="方正黑体_GBK"/>
          <w:bCs/>
          <w:kern w:val="44"/>
          <w:sz w:val="32"/>
          <w:szCs w:val="32"/>
        </w:rPr>
        <w:t>最具开创性意义的是，</w:t>
      </w:r>
      <w:r>
        <w:rPr>
          <w:rFonts w:ascii="Times New Roman" w:hAnsi="Times New Roman" w:eastAsia="方正仿宋_GBK"/>
          <w:kern w:val="0"/>
          <w:sz w:val="32"/>
          <w:szCs w:val="32"/>
        </w:rPr>
        <w:t>党中央作出推动成渝地区双城经济圈建设的重大决策部署和市委、市政府作出“一区两群”协调发展布局，为城口赋予了战略使命、带来了重大机遇；</w:t>
      </w:r>
      <w:r>
        <w:rPr>
          <w:rFonts w:ascii="Times New Roman" w:hAnsi="Times New Roman" w:eastAsia="方正黑体_GBK"/>
          <w:bCs/>
          <w:kern w:val="44"/>
          <w:sz w:val="32"/>
          <w:szCs w:val="32"/>
        </w:rPr>
        <w:t>最具里程碑意义的是，</w:t>
      </w:r>
      <w:r>
        <w:rPr>
          <w:rFonts w:ascii="Times New Roman" w:hAnsi="Times New Roman" w:eastAsia="方正仿宋_GBK"/>
          <w:kern w:val="0"/>
          <w:sz w:val="32"/>
          <w:szCs w:val="32"/>
        </w:rPr>
        <w:t>决战脱贫攻坚取得全面胜利，告别延续千年的绝对贫困；</w:t>
      </w:r>
      <w:r>
        <w:rPr>
          <w:rFonts w:ascii="Times New Roman" w:hAnsi="Times New Roman" w:eastAsia="方正黑体_GBK"/>
          <w:bCs/>
          <w:kern w:val="44"/>
          <w:sz w:val="32"/>
          <w:szCs w:val="32"/>
        </w:rPr>
        <w:t>最具划时代意义的是，</w:t>
      </w:r>
      <w:r>
        <w:rPr>
          <w:rFonts w:ascii="Times New Roman" w:hAnsi="Times New Roman" w:eastAsia="方正仿宋_GBK"/>
          <w:kern w:val="0"/>
          <w:sz w:val="32"/>
          <w:szCs w:val="32"/>
        </w:rPr>
        <w:t>高速公路加快建设，高速铁路即将开工，“困守大巴山、孤悬渝东北”的交通制约将得到根本突破；</w:t>
      </w:r>
      <w:r>
        <w:rPr>
          <w:rFonts w:ascii="Times New Roman" w:hAnsi="Times New Roman" w:eastAsia="方正黑体_GBK"/>
          <w:bCs/>
          <w:kern w:val="44"/>
          <w:sz w:val="32"/>
          <w:szCs w:val="32"/>
        </w:rPr>
        <w:t>最具根本性意义的是，</w:t>
      </w:r>
      <w:r>
        <w:rPr>
          <w:rFonts w:ascii="Times New Roman" w:hAnsi="Times New Roman" w:eastAsia="方正仿宋_GBK"/>
          <w:kern w:val="0"/>
          <w:sz w:val="32"/>
          <w:szCs w:val="32"/>
        </w:rPr>
        <w:t>城乡面貌发生显著变化，人民生活水平大幅提高，人民的自信心、自豪感空前激发，生态优先、绿色发展的动能不断积蓄。</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年来特别是党的十九大以来，面对严峻复杂的国际形势、艰巨繁重的改革发展稳定任务，在以习近平同志为核心的党中央坚强领导下，在市委、市政府的正确领导下，县委、县政府坚持以脱贫攻坚统揽经济社会发展全局，从全局谋划一域、以一域服务全局，统筹推进“五位一体”总体布局、协调推进“四个全面”战略布局，持续打好“五大攻坚战”，深入实施“八项行动计划”，扎实推进稳增长、促改革、调结构、惠民生、防风险、保稳定各项工作，坚决肃清孙政才恶劣影响和薄熙来、王立军流毒，推动经济社会发展各项事业迈上新台阶。</w:t>
      </w:r>
    </w:p>
    <w:p>
      <w:pPr>
        <w:pStyle w:val="25"/>
        <w:overflowPunct w:val="0"/>
        <w:adjustRightInd w:val="0"/>
        <w:snapToGrid w:val="0"/>
        <w:spacing w:after="0" w:line="56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脱贫攻坚取得历史性成就</w:t>
      </w:r>
      <w:r>
        <w:rPr>
          <w:rFonts w:ascii="Times New Roman" w:hAnsi="Times New Roman" w:eastAsia="方正仿宋_GBK"/>
          <w:sz w:val="32"/>
          <w:szCs w:val="32"/>
        </w:rPr>
        <w:t>，90个贫困村脱贫销号，11596户44719人全部脱贫，以攻坚之初贫困程度全市最深、决胜之时群众满意度全市最高的成效，实现高质量整体脱贫“摘帽”。</w:t>
      </w:r>
      <w:r>
        <w:rPr>
          <w:rFonts w:ascii="Times New Roman" w:hAnsi="Times New Roman" w:eastAsia="方正黑体_GBK"/>
          <w:sz w:val="32"/>
          <w:szCs w:val="32"/>
        </w:rPr>
        <w:t>城市攻坚取得决定性成果，</w:t>
      </w:r>
      <w:r>
        <w:rPr>
          <w:rFonts w:ascii="Times New Roman" w:hAnsi="Times New Roman" w:eastAsia="方正仿宋_GBK"/>
          <w:sz w:val="32"/>
          <w:szCs w:val="32"/>
        </w:rPr>
        <w:t>“一滨河一片区一环道”格局初步形成，滨河公园南北两岸初显新颜，土城老街成为网红打卡点，东北南大街改造如期完成，“清洁家园·美丽乡村”建设行动深入推进，城市与乡村各美其美、美美与共更加彰显。</w:t>
      </w:r>
      <w:r>
        <w:rPr>
          <w:rFonts w:ascii="Times New Roman" w:hAnsi="Times New Roman" w:eastAsia="方正黑体_GBK"/>
          <w:sz w:val="32"/>
          <w:szCs w:val="32"/>
        </w:rPr>
        <w:t>旅游攻坚取得突破性成效，</w:t>
      </w:r>
      <w:r>
        <w:rPr>
          <w:rFonts w:ascii="Times New Roman" w:hAnsi="Times New Roman" w:eastAsia="方正仿宋_GBK"/>
          <w:sz w:val="32"/>
          <w:szCs w:val="32"/>
        </w:rPr>
        <w:t>成功创建全国森林旅游示范县、亢谷国家4A级旅游景区，亢家寨5A级旅游景区和土城老街4A级景区加快建设，建成大巴山森林人家2000余家、集群片区3个，重点景区和集群片区互补发展的全域旅游格局正在形成。</w:t>
      </w:r>
      <w:r>
        <w:rPr>
          <w:rFonts w:ascii="Times New Roman" w:hAnsi="Times New Roman" w:eastAsia="方正黑体_GBK"/>
          <w:sz w:val="32"/>
          <w:szCs w:val="32"/>
        </w:rPr>
        <w:t>改善交通取得重大进展，</w:t>
      </w:r>
      <w:r>
        <w:rPr>
          <w:rFonts w:ascii="Times New Roman" w:hAnsi="Times New Roman" w:eastAsia="方正仿宋_GBK"/>
          <w:sz w:val="32"/>
          <w:szCs w:val="32"/>
        </w:rPr>
        <w:t>G69银百高速公路和渝西高铁成功落地城口，城开段高速公路加快建设，县内路网密度从2015年的94公里/百平方公里提高到2020年的136公里/百平方公里。</w:t>
      </w:r>
      <w:r>
        <w:rPr>
          <w:rFonts w:ascii="Times New Roman" w:hAnsi="Times New Roman" w:eastAsia="方正黑体_GBK"/>
          <w:sz w:val="32"/>
          <w:szCs w:val="32"/>
        </w:rPr>
        <w:t>生态优势全面巩固，</w:t>
      </w:r>
      <w:r>
        <w:rPr>
          <w:rFonts w:ascii="Times New Roman" w:hAnsi="Times New Roman" w:eastAsia="方正仿宋_GBK"/>
          <w:sz w:val="32"/>
          <w:szCs w:val="32"/>
        </w:rPr>
        <w:t>成功创建重庆市生态文明建设示范县，森林覆盖率居全市第一，生态环境质量指数连续位列全市10个生态功能重点县第一。</w:t>
      </w:r>
      <w:r>
        <w:rPr>
          <w:rFonts w:ascii="Times New Roman" w:hAnsi="Times New Roman" w:eastAsia="方正黑体_GBK"/>
          <w:sz w:val="32"/>
          <w:szCs w:val="32"/>
        </w:rPr>
        <w:t>产业结构不断优化，</w:t>
      </w:r>
      <w:r>
        <w:rPr>
          <w:rFonts w:ascii="Times New Roman" w:hAnsi="Times New Roman" w:eastAsia="方正仿宋_GBK"/>
          <w:sz w:val="32"/>
          <w:szCs w:val="32"/>
        </w:rPr>
        <w:t>农文旅融合潜力持续释放，生态资源价值转化步伐加快，“山上中药材、林下山地鸡、坡上核桃树、百花中蜂蜜、香菌巴掌田、杂粮鸡窝地、火炕老腊肉、冷水生态鱼”的生态产业格局基本形成。</w:t>
      </w:r>
      <w:r>
        <w:rPr>
          <w:rFonts w:ascii="Times New Roman" w:hAnsi="Times New Roman" w:eastAsia="方正黑体_GBK"/>
          <w:sz w:val="32"/>
          <w:szCs w:val="32"/>
        </w:rPr>
        <w:t>发展活力持续增强，</w:t>
      </w:r>
      <w:r>
        <w:rPr>
          <w:rFonts w:ascii="Times New Roman" w:hAnsi="Times New Roman" w:eastAsia="方正仿宋_GBK"/>
          <w:sz w:val="32"/>
          <w:szCs w:val="32"/>
        </w:rPr>
        <w:t>以大数据智能化为引领的创新驱动发展战略强力推进，重点领域改革扎实推进，营商环境大幅改善。</w:t>
      </w:r>
      <w:r>
        <w:rPr>
          <w:rFonts w:ascii="Times New Roman" w:hAnsi="Times New Roman" w:eastAsia="方正黑体_GBK"/>
          <w:sz w:val="32"/>
          <w:szCs w:val="32"/>
        </w:rPr>
        <w:t>社会事业全面发展，</w:t>
      </w:r>
      <w:r>
        <w:rPr>
          <w:rFonts w:ascii="Times New Roman" w:hAnsi="Times New Roman" w:eastAsia="方正仿宋_GBK"/>
          <w:sz w:val="32"/>
          <w:szCs w:val="32"/>
        </w:rPr>
        <w:t>建成重师大附属实验中学，县人民医院成功创“二甲”，就业、社保、养老等社会保障能力持续加强，统筹疫情防控和经济社会发展取得重大战略成果，人民生活水平显著提高，人民群众获得感幸福感安全感进一步增强。</w:t>
      </w:r>
      <w:r>
        <w:rPr>
          <w:rFonts w:ascii="Times New Roman" w:hAnsi="Times New Roman" w:eastAsia="方正黑体_GBK"/>
          <w:sz w:val="32"/>
          <w:szCs w:val="32"/>
        </w:rPr>
        <w:t>社会治理能力明显增强，</w:t>
      </w:r>
      <w:r>
        <w:rPr>
          <w:rFonts w:ascii="Times New Roman" w:hAnsi="Times New Roman" w:eastAsia="方正仿宋_GBK"/>
          <w:sz w:val="32"/>
          <w:szCs w:val="32"/>
        </w:rPr>
        <w:t>“党建+三治”融合推进，党建工作、脱贫攻坚、基层治理、新时代文明实践中心建设实现“一网管理”，社会治理水平加快提升。</w:t>
      </w:r>
      <w:r>
        <w:rPr>
          <w:rFonts w:ascii="Times New Roman" w:hAnsi="Times New Roman" w:eastAsia="方正黑体_GBK"/>
          <w:sz w:val="32"/>
          <w:szCs w:val="32"/>
        </w:rPr>
        <w:t>全面从严治党纵深推进，</w:t>
      </w:r>
      <w:r>
        <w:rPr>
          <w:rFonts w:ascii="Times New Roman" w:hAnsi="Times New Roman" w:eastAsia="方正仿宋_GBK"/>
          <w:sz w:val="32"/>
          <w:szCs w:val="32"/>
        </w:rPr>
        <w:t>党的建设全面加强，干部作风全面改善，党建促脱贫全面发力，风清气正政治生态全面形成。</w:t>
      </w:r>
    </w:p>
    <w:p>
      <w:pPr>
        <w:pStyle w:val="25"/>
        <w:overflowPunct w:val="0"/>
        <w:adjustRightInd w:val="0"/>
        <w:snapToGrid w:val="0"/>
        <w:spacing w:after="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当前，全县政治生态持续向好，干部群众精神面貌持续向上，绿色发展动能持续释放，社会和谐稳定局面持续巩固，成渝地区双城经济圈和渝东北三峡库区城镇群建设开局良好，“十三五”规划主要目标总体完成，全面建成小康社会取得历史性成就，为开启社会主义现代化建设新征程奠定了坚实基础。</w:t>
      </w:r>
    </w:p>
    <w:p>
      <w:pPr>
        <w:pStyle w:val="25"/>
        <w:overflowPunct w:val="0"/>
        <w:adjustRightInd w:val="0"/>
        <w:snapToGrid w:val="0"/>
        <w:spacing w:after="0" w:line="560" w:lineRule="exact"/>
        <w:ind w:firstLine="560" w:firstLineChars="200"/>
        <w:jc w:val="center"/>
        <w:rPr>
          <w:rFonts w:ascii="Times New Roman" w:hAnsi="Times New Roman" w:eastAsia="方正黑体_GBK"/>
          <w:bCs/>
          <w:sz w:val="28"/>
          <w:szCs w:val="28"/>
        </w:rPr>
      </w:pPr>
      <w:bookmarkStart w:id="77" w:name="_Toc58827896"/>
      <w:bookmarkStart w:id="78" w:name="_Toc20566"/>
      <w:bookmarkStart w:id="79" w:name="_Toc50985940"/>
      <w:bookmarkStart w:id="80" w:name="_Toc52219895"/>
      <w:bookmarkStart w:id="81" w:name="_Toc28323419"/>
      <w:r>
        <w:rPr>
          <w:rFonts w:ascii="Times New Roman" w:hAnsi="Times New Roman" w:eastAsia="方正黑体_GBK"/>
          <w:bCs/>
          <w:sz w:val="28"/>
          <w:szCs w:val="28"/>
        </w:rPr>
        <w:t>专栏1  “十三五”规划主要发展指标完成情况表</w:t>
      </w:r>
    </w:p>
    <w:tbl>
      <w:tblPr>
        <w:tblStyle w:val="27"/>
        <w:tblW w:w="48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09"/>
        <w:gridCol w:w="3982"/>
        <w:gridCol w:w="1182"/>
        <w:gridCol w:w="1142"/>
        <w:gridCol w:w="1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b/>
                <w:bCs/>
                <w:sz w:val="24"/>
              </w:rPr>
            </w:pPr>
            <w:r>
              <w:rPr>
                <w:rFonts w:ascii="Times New Roman" w:hAnsi="Times New Roman" w:eastAsia="方正仿宋_GBK"/>
                <w:b/>
                <w:bCs/>
                <w:sz w:val="24"/>
              </w:rPr>
              <w:t>序号</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b/>
                <w:bCs/>
                <w:sz w:val="24"/>
              </w:rPr>
            </w:pPr>
            <w:r>
              <w:rPr>
                <w:rFonts w:ascii="Times New Roman" w:hAnsi="Times New Roman" w:eastAsia="方正仿宋_GBK"/>
                <w:b/>
                <w:bCs/>
                <w:sz w:val="24"/>
              </w:rPr>
              <w:t>指标名称</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b/>
                <w:bCs/>
                <w:sz w:val="24"/>
              </w:rPr>
            </w:pPr>
            <w:r>
              <w:rPr>
                <w:rFonts w:ascii="Times New Roman" w:hAnsi="Times New Roman" w:eastAsia="方正仿宋_GBK"/>
                <w:b/>
                <w:bCs/>
                <w:sz w:val="24"/>
              </w:rPr>
              <w:t>指标属性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b/>
                <w:bCs/>
                <w:sz w:val="24"/>
              </w:rPr>
            </w:pPr>
            <w:r>
              <w:rPr>
                <w:rFonts w:ascii="Times New Roman" w:hAnsi="Times New Roman" w:eastAsia="方正仿宋_GBK"/>
                <w:b/>
                <w:bCs/>
                <w:sz w:val="24"/>
              </w:rPr>
              <w:t>2020年</w:t>
            </w:r>
          </w:p>
          <w:p>
            <w:pPr>
              <w:pStyle w:val="25"/>
              <w:overflowPunct w:val="0"/>
              <w:adjustRightInd w:val="0"/>
              <w:snapToGrid w:val="0"/>
              <w:spacing w:after="0" w:line="440" w:lineRule="exact"/>
              <w:ind w:firstLine="0" w:firstLineChars="0"/>
              <w:jc w:val="center"/>
              <w:rPr>
                <w:rFonts w:ascii="Times New Roman" w:hAnsi="Times New Roman" w:eastAsia="方正仿宋_GBK"/>
                <w:b/>
                <w:bCs/>
                <w:sz w:val="24"/>
              </w:rPr>
            </w:pPr>
            <w:r>
              <w:rPr>
                <w:rFonts w:ascii="Times New Roman" w:hAnsi="Times New Roman" w:eastAsia="方正仿宋_GBK"/>
                <w:b/>
                <w:bCs/>
                <w:sz w:val="24"/>
              </w:rPr>
              <w:t>规划目标</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b/>
                <w:bCs/>
                <w:sz w:val="24"/>
              </w:rPr>
            </w:pPr>
            <w:r>
              <w:rPr>
                <w:rFonts w:ascii="Times New Roman" w:hAnsi="Times New Roman" w:eastAsia="方正仿宋_GBK"/>
                <w:b/>
                <w:bCs/>
                <w:sz w:val="24"/>
              </w:rPr>
              <w:t>2020年</w:t>
            </w:r>
          </w:p>
          <w:p>
            <w:pPr>
              <w:pStyle w:val="25"/>
              <w:overflowPunct w:val="0"/>
              <w:adjustRightInd w:val="0"/>
              <w:snapToGrid w:val="0"/>
              <w:spacing w:after="0" w:line="440" w:lineRule="exact"/>
              <w:ind w:firstLine="0" w:firstLineChars="0"/>
              <w:jc w:val="center"/>
              <w:rPr>
                <w:rFonts w:ascii="Times New Roman" w:hAnsi="Times New Roman" w:eastAsia="方正仿宋_GBK"/>
                <w:b/>
                <w:bCs/>
                <w:sz w:val="24"/>
              </w:rPr>
            </w:pPr>
            <w:r>
              <w:rPr>
                <w:rFonts w:ascii="Times New Roman" w:hAnsi="Times New Roman" w:eastAsia="方正仿宋_GBK"/>
                <w:b/>
                <w:bCs/>
                <w:sz w:val="24"/>
              </w:rPr>
              <w:t>实现情况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地区生产总值年均增速（%）</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预期性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7*</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常住居民人均可支配收入年均增速（%）</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预期性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12*</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3</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全社会完成固定资产投资增速（%）</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预期性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4</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4</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社会消费品零售总额增速（%）</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预期性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8</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5</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服务业增加值占GDP比重（%）</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预期性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45</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59.9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6</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新型产业产值占工业总产值比重（%）</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预期性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25</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7</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互联网普及率</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预期性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80</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1" w:hRule="atLeast"/>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8</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常住人口城镇化率（%）</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预期性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39</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9</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城乡居民人均可支配收入比</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预期性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2.67:1</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2.71:1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10</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文化产业增加值占GDP比重（%）</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预期性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vMerge w:val="restar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11</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森林增长</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#森林覆盖率</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70.0</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72.5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#森林蓄积量</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1630</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1650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vMerge w:val="restar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12</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空气质量</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#城区细颗粒（PM2.5）浓度下降率</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&gt;[9]</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&gt;[9]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#城区空气质量优良天数（天）</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≥340</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361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13</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主要次级河流水质达标率（%）</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100</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14</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单位地区生产总值二氧化碳排放降低率（%）</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[16]</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vMerge w:val="restar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15</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主要污染物排放总量减少率（%）</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#化学需氧量</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[6.48]</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[6.53]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#二氧化硫</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[8.9]</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#氨氮</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[3.63]</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[3.89]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#氮氧化物</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[19.8]</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16</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单位地区生产总值能耗减低率（%）</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[15]</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17</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单位地区生产总值用水量降低（%）</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[10]</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18</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净增建设用地总量（公顷）</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[10]</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19</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招商引资到位资金</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预期性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25</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20</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农村贫困人口脱贫（人）</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[24049]</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[44719]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21</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城镇新增就业人数（人）</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预期性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[8000]</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[14396]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22</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劳动年龄人口平均受教育年限（年）</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12</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23</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人口平均预期寿命（岁）</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预期性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76</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76.5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24</w:t>
            </w:r>
          </w:p>
        </w:tc>
        <w:tc>
          <w:tcPr>
            <w:tcW w:w="2433"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rPr>
                <w:rFonts w:ascii="Times New Roman" w:hAnsi="Times New Roman" w:eastAsia="方正仿宋_GBK"/>
                <w:sz w:val="24"/>
              </w:rPr>
            </w:pPr>
            <w:r>
              <w:rPr>
                <w:rFonts w:ascii="Times New Roman" w:hAnsi="Times New Roman" w:eastAsia="方正仿宋_GBK"/>
                <w:sz w:val="24"/>
              </w:rPr>
              <w:t>城镇常住人口住房保障覆盖率</w:t>
            </w:r>
          </w:p>
        </w:tc>
        <w:tc>
          <w:tcPr>
            <w:tcW w:w="72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约束性</w:t>
            </w:r>
          </w:p>
        </w:tc>
        <w:tc>
          <w:tcPr>
            <w:tcW w:w="698"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20</w:t>
            </w:r>
          </w:p>
        </w:tc>
        <w:tc>
          <w:tcPr>
            <w:tcW w:w="712" w:type="pct"/>
            <w:tcBorders>
              <w:top w:val="single" w:color="auto" w:sz="4" w:space="0"/>
              <w:left w:val="single" w:color="auto" w:sz="4" w:space="0"/>
              <w:bottom w:val="single" w:color="auto" w:sz="4" w:space="0"/>
              <w:right w:val="single" w:color="auto" w:sz="4" w:space="0"/>
            </w:tcBorders>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20</w:t>
            </w:r>
          </w:p>
        </w:tc>
      </w:tr>
    </w:tbl>
    <w:p>
      <w:pPr>
        <w:pStyle w:val="26"/>
        <w:overflowPunct w:val="0"/>
        <w:adjustRightInd w:val="0"/>
        <w:snapToGrid w:val="0"/>
        <w:spacing w:line="400" w:lineRule="exact"/>
        <w:ind w:left="210" w:leftChars="0"/>
        <w:rPr>
          <w:rFonts w:ascii="Times New Roman" w:hAnsi="Times New Roman" w:eastAsia="方正黑体_GBK"/>
          <w:sz w:val="24"/>
          <w:szCs w:val="24"/>
        </w:rPr>
      </w:pPr>
      <w:r>
        <w:rPr>
          <w:rFonts w:ascii="Times New Roman" w:hAnsi="Times New Roman" w:eastAsia="方正黑体_GBK"/>
          <w:sz w:val="24"/>
          <w:szCs w:val="24"/>
        </w:rPr>
        <w:t>注明：带*为规划期平均数，带[  ]为五年累积数，未带任何符号的为年度数据。</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82" w:name="_Toc8815"/>
      <w:bookmarkStart w:id="83" w:name="_Toc11934"/>
      <w:bookmarkStart w:id="84" w:name="_Toc9199"/>
      <w:bookmarkStart w:id="85" w:name="_Toc334"/>
      <w:bookmarkStart w:id="86" w:name="_Toc22833"/>
      <w:bookmarkStart w:id="87" w:name="_Toc15976"/>
      <w:bookmarkStart w:id="88" w:name="_Toc6854"/>
      <w:bookmarkStart w:id="89" w:name="_Toc6866"/>
      <w:bookmarkStart w:id="90" w:name="_Toc20105"/>
      <w:bookmarkStart w:id="91" w:name="_Toc24105"/>
      <w:bookmarkStart w:id="92" w:name="_Toc22751"/>
      <w:bookmarkStart w:id="93" w:name="_Toc12660"/>
      <w:bookmarkStart w:id="94" w:name="_Toc21346"/>
      <w:bookmarkStart w:id="95" w:name="_Toc21242"/>
      <w:bookmarkStart w:id="96" w:name="_Toc9657"/>
      <w:bookmarkStart w:id="97" w:name="_Toc12346"/>
      <w:bookmarkStart w:id="98" w:name="_Toc15027"/>
      <w:bookmarkStart w:id="99" w:name="_Toc4521"/>
    </w:p>
    <w:p>
      <w:pPr>
        <w:overflowPunct w:val="0"/>
        <w:adjustRightInd w:val="0"/>
        <w:snapToGrid w:val="0"/>
        <w:spacing w:line="560" w:lineRule="exact"/>
        <w:jc w:val="center"/>
        <w:outlineLvl w:val="2"/>
        <w:rPr>
          <w:rFonts w:ascii="Times New Roman" w:hAnsi="Times New Roman" w:eastAsia="方正楷体_GBK"/>
          <w:b/>
          <w:sz w:val="32"/>
          <w:szCs w:val="32"/>
        </w:rPr>
      </w:pPr>
      <w:r>
        <w:rPr>
          <w:rFonts w:ascii="Times New Roman" w:hAnsi="Times New Roman" w:eastAsia="方正楷体_GBK"/>
          <w:b/>
          <w:sz w:val="32"/>
          <w:szCs w:val="32"/>
        </w:rPr>
        <w:t>第二节  机遇和挑战</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bookmarkEnd w:id="77"/>
    <w:bookmarkEnd w:id="78"/>
    <w:bookmarkEnd w:id="79"/>
    <w:bookmarkEnd w:id="80"/>
    <w:bookmarkEnd w:id="81"/>
    <w:p>
      <w:pPr>
        <w:overflowPunct w:val="0"/>
        <w:adjustRightInd w:val="0"/>
        <w:snapToGrid w:val="0"/>
        <w:spacing w:line="560" w:lineRule="exact"/>
        <w:ind w:firstLine="640" w:firstLineChars="200"/>
        <w:rPr>
          <w:rFonts w:ascii="Times New Roman" w:hAnsi="Times New Roman"/>
        </w:rPr>
      </w:pPr>
      <w:r>
        <w:rPr>
          <w:rFonts w:ascii="Times New Roman" w:hAnsi="Times New Roman" w:eastAsia="方正仿宋_GBK"/>
          <w:sz w:val="32"/>
          <w:szCs w:val="32"/>
        </w:rPr>
        <w:t>当今世界正经历百年未有之大变局，新冠肺炎疫情影响广泛深远，经济全球化遭遇逆流，世界进入动荡变革期，贸易单边主义、保护主义、霸权主义对世界和平与发展构成威胁，不稳定性不确定性明显增加。当前，我国发展已转向高质量发展阶段，发展不平衡不充分的问题是社会主要矛盾。我县综合实力和竞争力与全市多数区县相比仍存在较大差距，特别是交通制约仍然突出，产业结构和效能还不够高，民生保障还存在短板，生态价值转化任务艰巨等。“十四五”期间，我县面临统筹区域整体发展与缩小发展差距“双目标”、加快产业转型升级与培育新的经济增长点“双压力”、巩固拓展脱贫成果与推动乡村全面振兴“双任务”，做好经济社会发展工作任重道远，必须高度重视、切实解决。</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当前和今后一个时期，我国发展仍处于重要战略机遇期，推动高质量发展具备多方面优势和有利条件。</w:t>
      </w:r>
      <w:r>
        <w:rPr>
          <w:rFonts w:ascii="Times New Roman" w:hAnsi="Times New Roman" w:eastAsia="方正黑体_GBK"/>
          <w:sz w:val="32"/>
          <w:szCs w:val="32"/>
        </w:rPr>
        <w:t>国家宏观政策带来新机遇。</w:t>
      </w:r>
      <w:r>
        <w:rPr>
          <w:rFonts w:ascii="Times New Roman" w:hAnsi="Times New Roman" w:eastAsia="方正仿宋_GBK"/>
          <w:sz w:val="32"/>
          <w:szCs w:val="32"/>
        </w:rPr>
        <w:t>党中央作出构建以国内大循环为主、国内国际双循环相互促进的新发展格局重大决策，共建“一带一路”、长江经济带发展、新时代西部大开发、革命老区振兴发展等重大战略深入实施，供给侧结构性改革稳步推进，生态优先绿色发展战略加快推动，为城口高质量发展赋予了全新优势，为加快实施重大项目、重大投资、重大政策创造了有利条件</w:t>
      </w:r>
      <w:r>
        <w:rPr>
          <w:rFonts w:ascii="Times New Roman" w:hAnsi="Times New Roman" w:eastAsia="方正仿宋_GBK"/>
          <w:color w:val="000000"/>
          <w:kern w:val="0"/>
          <w:sz w:val="31"/>
          <w:szCs w:val="31"/>
        </w:rPr>
        <w:t>。</w:t>
      </w:r>
      <w:r>
        <w:rPr>
          <w:rFonts w:ascii="Times New Roman" w:hAnsi="Times New Roman" w:eastAsia="方正黑体_GBK"/>
          <w:color w:val="000000"/>
          <w:kern w:val="0"/>
          <w:sz w:val="31"/>
          <w:szCs w:val="31"/>
        </w:rPr>
        <w:t>区域协调发展带来新机遇。</w:t>
      </w:r>
      <w:r>
        <w:rPr>
          <w:rFonts w:ascii="Times New Roman" w:hAnsi="Times New Roman" w:eastAsia="方正仿宋_GBK"/>
          <w:sz w:val="32"/>
          <w:szCs w:val="32"/>
        </w:rPr>
        <w:t>成渝地区双城经济圈建设加快推进，“一区两群”协调发展全面实施，城（口）宣（汉）万（源）革命老区振兴发展示范区建设启动，带来诸多政策利好、投资利好、项目利好，将极大提振县域经济社会发展的市场预期、社会预期。</w:t>
      </w:r>
      <w:r>
        <w:rPr>
          <w:rFonts w:ascii="Times New Roman" w:hAnsi="Times New Roman" w:eastAsia="方正黑体_GBK"/>
          <w:color w:val="000000"/>
          <w:kern w:val="0"/>
          <w:sz w:val="31"/>
          <w:szCs w:val="31"/>
        </w:rPr>
        <w:t>生态潜力释放带来新机遇。</w:t>
      </w:r>
      <w:r>
        <w:rPr>
          <w:rFonts w:ascii="Times New Roman" w:hAnsi="Times New Roman" w:eastAsia="方正仿宋_GBK"/>
          <w:sz w:val="32"/>
          <w:szCs w:val="32"/>
        </w:rPr>
        <w:t>习近平生态文明思想深入人心，生态产业化、产业生态化加快推进，生态资源红利不断释放，生态文明建设取得初步成效，为城口探索生态优先当示范、绿色发展当标杆奠定了绿色本底。</w:t>
      </w:r>
      <w:r>
        <w:rPr>
          <w:rFonts w:ascii="Times New Roman" w:hAnsi="Times New Roman" w:eastAsia="方正黑体_GBK"/>
          <w:color w:val="000000"/>
          <w:kern w:val="0"/>
          <w:sz w:val="31"/>
          <w:szCs w:val="31"/>
        </w:rPr>
        <w:t>高速高铁时代带来新机遇。</w:t>
      </w:r>
      <w:r>
        <w:rPr>
          <w:rFonts w:ascii="Times New Roman" w:hAnsi="Times New Roman" w:eastAsia="方正仿宋_GBK"/>
          <w:sz w:val="32"/>
          <w:szCs w:val="32"/>
        </w:rPr>
        <w:t>G69银百高速（城口段）2022年实现县城通高速，渝西高铁可望2021年全线开工，城口“困守大巴山、孤悬渝东北”的困境逐步缓解，将更加凸显城口连接长江三峡腹地贯通大西北重要节点的区位优势，有助于发挥优势、彰显特色，更好地集聚要素、释放潜能。</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谋划我县“十四五”发展和二〇三五年远景目标，要深刻把握中华民族伟大复兴战略全局和世界百年未有之大变局，深刻认识我国社会主要矛盾变化带来的新特征新要求，深刻认识错综复杂的国际环境带来的新矛盾新问题，深刻认识城口面临的新机遇新挑战，增强机遇意识和风险意识，保持战略定力，办好自己的事，认识和把握发展规律，发扬斗争精神，树立底线思维，准确识变、科学应变、主动求变，善于在危机中育先机、于变局中开新局，抓住机遇，应对挑战，趋利避害，确保各项事业始终沿着习近平总书记指引的正确方向继续前进。</w:t>
      </w:r>
    </w:p>
    <w:p>
      <w:pPr>
        <w:pStyle w:val="26"/>
        <w:overflowPunct w:val="0"/>
        <w:adjustRightInd w:val="0"/>
        <w:snapToGrid w:val="0"/>
        <w:spacing w:after="0" w:line="560" w:lineRule="exact"/>
        <w:ind w:leftChars="0"/>
        <w:rPr>
          <w:rFonts w:ascii="Times New Roman" w:hAnsi="Times New Roman" w:eastAsia="方正仿宋_GBK"/>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00" w:name="_Toc26689"/>
      <w:bookmarkStart w:id="101" w:name="_Toc5440"/>
      <w:bookmarkStart w:id="102" w:name="_Toc2432"/>
      <w:bookmarkStart w:id="103" w:name="_Toc17002"/>
      <w:bookmarkStart w:id="104" w:name="_Toc19405"/>
      <w:bookmarkStart w:id="105" w:name="_Toc16352"/>
      <w:bookmarkStart w:id="106" w:name="_Toc2507"/>
      <w:bookmarkStart w:id="107" w:name="_Toc2478"/>
      <w:bookmarkStart w:id="108" w:name="_Toc40"/>
      <w:bookmarkStart w:id="109" w:name="_Toc16850"/>
      <w:bookmarkStart w:id="110" w:name="_Toc15796"/>
      <w:bookmarkStart w:id="111" w:name="_Toc2424"/>
      <w:bookmarkStart w:id="112" w:name="_Toc19933"/>
      <w:bookmarkStart w:id="113" w:name="_Toc18872"/>
      <w:bookmarkStart w:id="114" w:name="_Toc26031"/>
      <w:bookmarkStart w:id="115" w:name="_Toc18986"/>
      <w:bookmarkStart w:id="116" w:name="_Toc30526"/>
      <w:bookmarkStart w:id="117" w:name="_Toc24815"/>
      <w:r>
        <w:rPr>
          <w:rFonts w:ascii="Times New Roman" w:hAnsi="Times New Roman" w:eastAsia="方正黑体_GBK"/>
          <w:b/>
          <w:bCs/>
          <w:kern w:val="44"/>
          <w:sz w:val="32"/>
          <w:szCs w:val="32"/>
        </w:rPr>
        <w:t xml:space="preserve">第二章  </w:t>
      </w:r>
      <w:bookmarkEnd w:id="100"/>
      <w:bookmarkEnd w:id="101"/>
      <w:bookmarkEnd w:id="102"/>
      <w:bookmarkEnd w:id="103"/>
      <w:bookmarkEnd w:id="104"/>
      <w:bookmarkEnd w:id="105"/>
      <w:bookmarkEnd w:id="106"/>
      <w:bookmarkEnd w:id="107"/>
      <w:bookmarkEnd w:id="108"/>
      <w:bookmarkEnd w:id="109"/>
      <w:bookmarkEnd w:id="110"/>
      <w:bookmarkEnd w:id="111"/>
      <w:r>
        <w:rPr>
          <w:rFonts w:ascii="Times New Roman" w:hAnsi="Times New Roman" w:eastAsia="方正黑体_GBK"/>
          <w:b/>
          <w:bCs/>
          <w:kern w:val="44"/>
          <w:sz w:val="32"/>
          <w:szCs w:val="32"/>
        </w:rPr>
        <w:t>指导方针</w:t>
      </w:r>
      <w:bookmarkEnd w:id="112"/>
      <w:bookmarkEnd w:id="113"/>
      <w:bookmarkEnd w:id="114"/>
      <w:bookmarkEnd w:id="115"/>
      <w:bookmarkEnd w:id="116"/>
      <w:bookmarkEnd w:id="117"/>
    </w:p>
    <w:p>
      <w:pPr>
        <w:overflowPunct w:val="0"/>
        <w:adjustRightInd w:val="0"/>
        <w:snapToGrid w:val="0"/>
        <w:spacing w:line="560" w:lineRule="exact"/>
        <w:ind w:firstLine="640" w:firstLineChars="200"/>
        <w:rPr>
          <w:rFonts w:ascii="Times New Roman" w:hAnsi="Times New Roman" w:eastAsia="方正楷体_GBK"/>
          <w:b/>
          <w:sz w:val="32"/>
          <w:szCs w:val="32"/>
        </w:rPr>
      </w:pPr>
      <w:bookmarkStart w:id="118" w:name="_Hlk53845677"/>
      <w:r>
        <w:rPr>
          <w:rFonts w:ascii="Times New Roman" w:hAnsi="Times New Roman" w:eastAsia="方正仿宋_GBK"/>
          <w:bCs/>
          <w:sz w:val="32"/>
          <w:szCs w:val="32"/>
        </w:rPr>
        <w:t>对标习近平总书记对重庆提出的重要指示要求，提出“十四五”时期发展指导思想和基本原则。</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19" w:name="_Toc26918"/>
      <w:bookmarkStart w:id="120" w:name="_Toc21680"/>
      <w:bookmarkStart w:id="121" w:name="_Toc30189"/>
      <w:bookmarkStart w:id="122" w:name="_Toc10772"/>
      <w:bookmarkStart w:id="123" w:name="_Toc18955"/>
      <w:bookmarkStart w:id="124" w:name="_Toc32746"/>
      <w:r>
        <w:rPr>
          <w:rFonts w:ascii="Times New Roman" w:hAnsi="Times New Roman" w:eastAsia="方正楷体_GBK"/>
          <w:b/>
          <w:sz w:val="32"/>
          <w:szCs w:val="32"/>
        </w:rPr>
        <w:t>第一节指导思想</w:t>
      </w:r>
      <w:bookmarkEnd w:id="119"/>
      <w:bookmarkEnd w:id="120"/>
      <w:bookmarkEnd w:id="121"/>
      <w:bookmarkEnd w:id="122"/>
      <w:bookmarkEnd w:id="123"/>
      <w:bookmarkEnd w:id="124"/>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五位一体”总体布局，协调推进“四个全面”战略布局，深入贯彻习近平总书记对重庆提出的营造良好政治生态，坚持“两点”定位、“两地”“两高”目标、发挥“三个作用”和推动成渝地区双城经济圈建设等重要指示要求，准确把握新发展阶段，深入践行新发展理念，主动构建新发展格局，切实担当新发展使命，坚持稳中求进工作总基调，以推动高质量发展为主题，以深化供给侧结构性改革为主线，以生态优先绿色发展统揽经济社会发展全局，以改革创新为根本动力，以推动精神文明建设铸魂聚力，以城乡融合发展为主攻方向，以满足人民日益增长的美好生活需要为根本目的，统筹发展和安全，立足生态优势，固根基、夯基础、增动力、抓重点、补短板、强弱项，加快建设现代化经济体系，推进治理体系和治理能力现代化，实现经济行稳致远、社会安定和谐，确保社会主义现代化建设新征程开好局、起好步。</w:t>
      </w:r>
    </w:p>
    <w:bookmarkEnd w:id="118"/>
    <w:p>
      <w:pPr>
        <w:overflowPunct w:val="0"/>
        <w:adjustRightInd w:val="0"/>
        <w:snapToGrid w:val="0"/>
        <w:spacing w:line="560" w:lineRule="exact"/>
        <w:jc w:val="center"/>
        <w:outlineLvl w:val="2"/>
        <w:rPr>
          <w:rFonts w:ascii="Times New Roman" w:hAnsi="Times New Roman" w:eastAsia="方正仿宋_GBK"/>
          <w:sz w:val="32"/>
          <w:szCs w:val="32"/>
        </w:rPr>
      </w:pPr>
      <w:bookmarkStart w:id="125" w:name="_Toc6876"/>
      <w:bookmarkStart w:id="126" w:name="_Toc478"/>
      <w:bookmarkStart w:id="127" w:name="_Toc23963"/>
      <w:bookmarkStart w:id="128" w:name="_Toc13367"/>
      <w:bookmarkStart w:id="129" w:name="_Toc5842"/>
      <w:bookmarkStart w:id="130" w:name="_Toc16509"/>
      <w:r>
        <w:rPr>
          <w:rFonts w:ascii="Times New Roman" w:hAnsi="Times New Roman" w:eastAsia="方正楷体_GBK"/>
          <w:b/>
          <w:sz w:val="32"/>
          <w:szCs w:val="32"/>
        </w:rPr>
        <w:t>第二节  基本原则</w:t>
      </w:r>
      <w:bookmarkEnd w:id="125"/>
      <w:bookmarkEnd w:id="126"/>
      <w:bookmarkEnd w:id="127"/>
      <w:bookmarkEnd w:id="128"/>
      <w:bookmarkEnd w:id="129"/>
      <w:bookmarkEnd w:id="130"/>
    </w:p>
    <w:p>
      <w:pPr>
        <w:overflowPunct w:val="0"/>
        <w:adjustRightInd w:val="0"/>
        <w:snapToGrid w:val="0"/>
        <w:spacing w:line="560" w:lineRule="exact"/>
        <w:ind w:firstLine="640" w:firstLineChars="200"/>
        <w:rPr>
          <w:rFonts w:ascii="Times New Roman" w:hAnsi="Times New Roman" w:eastAsia="方正仿宋_GBK"/>
          <w:sz w:val="32"/>
          <w:szCs w:val="32"/>
        </w:rPr>
      </w:pPr>
      <w:bookmarkStart w:id="131" w:name="_Hlk53845711"/>
      <w:bookmarkStart w:id="132" w:name="_Toc52219905"/>
      <w:r>
        <w:rPr>
          <w:rFonts w:ascii="Times New Roman" w:hAnsi="Times New Roman" w:eastAsia="方正仿宋_GBK"/>
          <w:sz w:val="32"/>
          <w:szCs w:val="32"/>
        </w:rPr>
        <w:t>坚持党的全面领导。坚持和完善党领导经济社会发展的体制机制，坚持和完善中国特色社会主义制度，始终在思想上政治上行动上同以习近平同志为核心的党中央保持高度一致，不断提高贯彻新发展理念、构建新发展格局的能力和水平，为实现高质量发展、创造高品质生活提供根本保证。</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以人民为中心。坚持人民主体地位，坚持共同富裕方向，始终做到发展为了人民、发展依靠人民、发展成果由人民共享，维护人民根本利益，激发全县人民积极性、主动性、创造性，促进社会公平，增进民生福祉，不断实现人民对美好生活的向往。</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新发展理念。把新发展理念贯穿发展全过程和各领域，积极主动融入新发展格局，切实转变发展方式，推动质量变革、效率变革、动力变革，实现更高质量、更有效率、更加公平、更可持续、更为安全的发展。</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深化改革开放。坚定不移推进改革，坚定不移扩大开放，加强治理体系和治理能力现代化建设，破除制约高质量发展、高品质生活的体制机制障碍，强化有利于提高资源配置效率、有利于调动全社会积极性的重大改革开放举措，全面融入国家和全市对外开放战略，持续增强发展动力和活力。</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系统观念。加强前瞻性思考、全局性谋划、战略性布局、整体性推进，统筹发展和安全，更加注重从全局谋划一域、以一域服务全局，着力固根基、夯基础、扬优势、增动力、抓重点、补短板、强弱项，注重防范化解重大风险挑战，实现发展质量、结构、规模、速度、效益、安全相统一。</w:t>
      </w:r>
      <w:bookmarkEnd w:id="131"/>
      <w:bookmarkEnd w:id="132"/>
      <w:bookmarkStart w:id="133" w:name="_Toc29292"/>
      <w:bookmarkStart w:id="134" w:name="_Toc4336"/>
      <w:bookmarkStart w:id="135" w:name="_Toc1765"/>
      <w:bookmarkStart w:id="136" w:name="_Toc1827"/>
      <w:bookmarkStart w:id="137" w:name="_Toc21429"/>
      <w:bookmarkStart w:id="138" w:name="_Toc10510"/>
      <w:bookmarkStart w:id="139" w:name="_Toc31929"/>
      <w:bookmarkStart w:id="140" w:name="_Toc26634"/>
      <w:bookmarkStart w:id="141" w:name="_Toc29664"/>
      <w:bookmarkStart w:id="142" w:name="_Toc12254"/>
      <w:bookmarkStart w:id="143" w:name="_Toc4795"/>
      <w:bookmarkStart w:id="144" w:name="_Toc11536"/>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45" w:name="_Toc4539"/>
      <w:bookmarkStart w:id="146" w:name="_Toc29637"/>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47" w:name="_Toc28604"/>
      <w:r>
        <w:rPr>
          <w:rFonts w:ascii="Times New Roman" w:hAnsi="Times New Roman" w:eastAsia="方正黑体_GBK"/>
          <w:b/>
          <w:bCs/>
          <w:kern w:val="44"/>
          <w:sz w:val="32"/>
          <w:szCs w:val="32"/>
        </w:rPr>
        <w:t>第三章发展目标</w:t>
      </w:r>
      <w:bookmarkEnd w:id="145"/>
      <w:bookmarkEnd w:id="146"/>
      <w:bookmarkEnd w:id="147"/>
    </w:p>
    <w:p>
      <w:pPr>
        <w:overflowPunct w:val="0"/>
        <w:adjustRightInd w:val="0"/>
        <w:snapToGrid w:val="0"/>
        <w:spacing w:line="560" w:lineRule="exact"/>
        <w:ind w:firstLine="640" w:firstLineChars="200"/>
        <w:rPr>
          <w:rFonts w:ascii="Times New Roman" w:hAnsi="Times New Roman"/>
        </w:rPr>
      </w:pPr>
      <w:r>
        <w:rPr>
          <w:rFonts w:ascii="Times New Roman" w:hAnsi="Times New Roman" w:eastAsia="方正仿宋_GBK"/>
          <w:bCs/>
          <w:sz w:val="32"/>
          <w:szCs w:val="32"/>
        </w:rPr>
        <w:t>对标习近平总书记对重庆提出的重要指示要求，充分考虑我县发展阶段性特征和未来发展支撑条件，提出“十四五”时期发展主要目标和二〇三五年远景目标。</w:t>
      </w:r>
    </w:p>
    <w:p>
      <w:pPr>
        <w:overflowPunct w:val="0"/>
        <w:adjustRightInd w:val="0"/>
        <w:snapToGrid w:val="0"/>
        <w:spacing w:line="560" w:lineRule="exact"/>
        <w:ind w:firstLine="643" w:firstLineChars="200"/>
        <w:jc w:val="center"/>
        <w:rPr>
          <w:rFonts w:ascii="Times New Roman" w:hAnsi="Times New Roman" w:eastAsia="方正楷体_GBK"/>
          <w:b/>
          <w:sz w:val="32"/>
          <w:szCs w:val="32"/>
        </w:rPr>
      </w:pPr>
      <w:r>
        <w:rPr>
          <w:rFonts w:ascii="Times New Roman" w:hAnsi="Times New Roman" w:eastAsia="方正楷体_GBK"/>
          <w:b/>
          <w:sz w:val="32"/>
          <w:szCs w:val="32"/>
        </w:rPr>
        <w:t>第一节  “十四五”发展主要目标</w:t>
      </w:r>
      <w:bookmarkEnd w:id="133"/>
      <w:bookmarkEnd w:id="134"/>
      <w:bookmarkEnd w:id="135"/>
      <w:bookmarkEnd w:id="136"/>
      <w:bookmarkEnd w:id="137"/>
      <w:bookmarkEnd w:id="138"/>
      <w:bookmarkEnd w:id="139"/>
      <w:bookmarkEnd w:id="140"/>
      <w:bookmarkEnd w:id="141"/>
      <w:bookmarkEnd w:id="142"/>
      <w:bookmarkEnd w:id="143"/>
      <w:bookmarkEnd w:id="144"/>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“十四五”时期，锚定</w:t>
      </w:r>
      <w:r>
        <w:rPr>
          <w:rFonts w:ascii="Times New Roman" w:hAnsi="Times New Roman" w:eastAsia="方正仿宋_GBK"/>
          <w:bCs/>
          <w:sz w:val="32"/>
          <w:szCs w:val="32"/>
        </w:rPr>
        <w:t>二〇三五年基本实现社会主义现代化目标，保持战略定力，以生态优先绿色发展统揽经济社会发展全局，</w:t>
      </w:r>
      <w:r>
        <w:rPr>
          <w:rFonts w:ascii="Times New Roman" w:hAnsi="Times New Roman" w:eastAsia="方正仿宋_GBK"/>
          <w:sz w:val="32"/>
          <w:szCs w:val="32"/>
        </w:rPr>
        <w:t>围绕推动高质量发展、创造高品质生活，在全面建成小康社会的基础上实现新的更大发展，在改善交通、保护生态、农文旅融合“三件大事”上取得显著成效，努力在生态保护上发挥示范作用、在山地特色城镇化发展上发挥示范作用、在生态产业体系建设上发挥示范作用、在渝川陕毗邻地区融合发展中发挥示范作用，全面建成国家生态文明建设示范县，基本建成渝川陕毗邻区县综合交通枢纽、“两山”“两化”先行示范区、宜居宜业宜游的大巴山特色生态城和渝川陕合作门户。</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——始终坚持稳中求进工作总基调，高质量发展迈出新步伐。</w:t>
      </w:r>
      <w:r>
        <w:rPr>
          <w:rFonts w:ascii="Times New Roman" w:hAnsi="Times New Roman" w:eastAsia="方正仿宋_GBK"/>
          <w:sz w:val="32"/>
          <w:szCs w:val="32"/>
        </w:rPr>
        <w:t>在质量效益明显提升的基础上实现经济持续健康发展，增长潜力充分发挥，经济结构持续优化，绿色产业、循环经济、清洁能源加快发展，战略性新兴产业发展壮大，新的经济增长点全面发力。数字经济加快发展，大数据智能化创新应用深入推进。生态优先绿色发展取得明显成效。城乡区域协调发展明显增强。</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——大力推进改善交通，基础设施互联互通实现新突破。</w:t>
      </w:r>
      <w:r>
        <w:rPr>
          <w:rFonts w:ascii="Times New Roman" w:hAnsi="Times New Roman" w:eastAsia="方正仿宋_GBK"/>
          <w:sz w:val="32"/>
          <w:szCs w:val="32"/>
        </w:rPr>
        <w:t>高速、高铁加快建成，对外交通瓶颈制约得到缓解，布局合理、功能完善、便捷快畅的干线公路网络基本形成，绿色交通、智慧交通体系加快构建，重庆向北重要交通节点、渝川陕毗邻区县综合交通枢纽基本建成。水利、能源、信息等基础设施有序推进，支撑经济社会发展的作用明显增强。</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——严格落实保护生态责任，山清水秀美丽之地建设开创新局面。</w:t>
      </w:r>
      <w:r>
        <w:rPr>
          <w:rFonts w:ascii="Times New Roman" w:hAnsi="Times New Roman" w:eastAsia="方正仿宋_GBK"/>
          <w:sz w:val="32"/>
          <w:szCs w:val="32"/>
        </w:rPr>
        <w:t>国土空间开发保护格局得到优化，生产生活方式绿色转型成效显著，能源资源利用效率大幅提高，生态治理能力明显提升。城乡环境更加优美、自然风景更加怡人、生态保护作用更加突出，长江上游和大巴山生态屏障更加巩固，国家生态文明建设示范县全面建成。</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——充分释放农文旅融合发展最大潜力，生态经济谱写新篇章。</w:t>
      </w:r>
      <w:r>
        <w:rPr>
          <w:rFonts w:ascii="Times New Roman" w:hAnsi="Times New Roman" w:eastAsia="方正仿宋_GBK"/>
          <w:sz w:val="32"/>
          <w:szCs w:val="32"/>
        </w:rPr>
        <w:t>“绿水青山就是金山银山”理念成为发展的主旋律，生态产业化、产业生态化全面推进，农文旅深度融合发展，生态资源价值充分转化，生态产业体系更加完善，建成红色旅游、康养基地和秦巴山区商贸物流基地，建设大巴山国际旅游度假区，创建“两山”“两化”先行示范区。</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——深入践行以人民为中心的发展思想，创造高品质生活达到新水平。</w:t>
      </w:r>
      <w:r>
        <w:rPr>
          <w:rFonts w:ascii="Times New Roman" w:hAnsi="Times New Roman" w:eastAsia="方正仿宋_GBK"/>
          <w:sz w:val="32"/>
          <w:szCs w:val="32"/>
        </w:rPr>
        <w:t>全力补齐教育、医疗等基本公共服务短板，优质教育医疗资源均衡发展，基本公共服务水平明显提高。就业更加充分更高质量，居民收入增长和经济增长基本同步，分配结构明显改善，多层次社会保障体系更加健全。巩固脱贫攻坚成果，强化乡村建设，乡村振兴全面推进。人民群众对美好生活的向往日益满足，群众获得感幸福感安全感持续提升。宜居宜业宜游的大巴山特色生态城基本建成。</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——持续深化改革开放，发展动能得到新增强。</w:t>
      </w:r>
      <w:r>
        <w:rPr>
          <w:rFonts w:ascii="Times New Roman" w:hAnsi="Times New Roman" w:eastAsia="方正仿宋_GBK"/>
          <w:sz w:val="32"/>
          <w:szCs w:val="32"/>
        </w:rPr>
        <w:t>生态优先绿色发展体制机制和关键环节改革取得重大进展，山地特色生态农业、现代科技推广和应用、康养产业、生态经济创新发展。营商环境明显改善，市场主体活力进一步提升。毗邻地区交流合作取得明显成效，城（口）宣（汉）万（源）革命老区振兴发展示范区建设实现重大突破，积极主动融入万达开川渝统筹发展示范区、渝东北万开云板块，资源要素更加集聚，渝川陕合作门户基本建成。</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——大力发挥先进文化引领作用，社会文明程度达到新高度。</w:t>
      </w:r>
      <w:r>
        <w:rPr>
          <w:rFonts w:ascii="Times New Roman" w:hAnsi="Times New Roman" w:eastAsia="方正仿宋_GBK"/>
          <w:sz w:val="32"/>
          <w:szCs w:val="32"/>
        </w:rPr>
        <w:t>不断加强社会主义精神文明建设，推动社会主义核心价值观深入人心，人民群众思想道德素质、科学文化素质和身心健康素质明显提高，公共文化服务体系和文化产业体系更加健全，人民群众精神文化生活日益丰富，红色文化、大巴山民俗文化、生态文化传承利用进一步加强，城市人文内涵更加丰富，农文旅融合发展深入推进，文化事业发展取得更大成效。</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——全面推进治理体系和治理能力现代化，治理效能实现新提升。</w:t>
      </w:r>
      <w:r>
        <w:rPr>
          <w:rFonts w:ascii="Times New Roman" w:hAnsi="Times New Roman" w:eastAsia="方正仿宋_GBK"/>
          <w:sz w:val="32"/>
          <w:szCs w:val="32"/>
        </w:rPr>
        <w:t>社会主义民主法治更加健全，社会主义公平正义更加彰显，政府作用更好发挥，行政效率和公信力显著提升。持续深入推动网格化治理，深化党建引领自治、法治、德治，基层社会治理能力显著增强。防范化解重大风险体制机制不断健全，突发公共事件应急能力显著增强，自然灾害防御水平明显提升，发展安全保障更加有力，“平安城口”建设迈出重大步伐。</w:t>
      </w:r>
    </w:p>
    <w:p>
      <w:pPr>
        <w:pStyle w:val="25"/>
        <w:overflowPunct w:val="0"/>
        <w:adjustRightInd w:val="0"/>
        <w:snapToGrid w:val="0"/>
        <w:spacing w:after="0" w:line="560" w:lineRule="exact"/>
        <w:ind w:firstLine="560" w:firstLineChars="200"/>
        <w:jc w:val="center"/>
        <w:rPr>
          <w:rFonts w:ascii="Times New Roman" w:hAnsi="Times New Roman" w:eastAsia="方正黑体_GBK"/>
          <w:bCs/>
          <w:sz w:val="28"/>
          <w:szCs w:val="28"/>
        </w:rPr>
      </w:pPr>
      <w:r>
        <w:rPr>
          <w:rFonts w:ascii="Times New Roman" w:hAnsi="Times New Roman" w:eastAsia="方正黑体_GBK"/>
          <w:bCs/>
          <w:sz w:val="28"/>
          <w:szCs w:val="28"/>
        </w:rPr>
        <w:t>专栏2  “十四五”经济社会发展主要指标表</w:t>
      </w:r>
    </w:p>
    <w:tbl>
      <w:tblPr>
        <w:tblStyle w:val="27"/>
        <w:tblW w:w="4950" w:type="pct"/>
        <w:jc w:val="center"/>
        <w:tblLayout w:type="autofit"/>
        <w:tblCellMar>
          <w:top w:w="0" w:type="dxa"/>
          <w:left w:w="0" w:type="dxa"/>
          <w:bottom w:w="0" w:type="dxa"/>
          <w:right w:w="0" w:type="dxa"/>
        </w:tblCellMar>
      </w:tblPr>
      <w:tblGrid>
        <w:gridCol w:w="594"/>
        <w:gridCol w:w="4023"/>
        <w:gridCol w:w="979"/>
        <w:gridCol w:w="2133"/>
        <w:gridCol w:w="787"/>
      </w:tblGrid>
      <w:tr>
        <w:tblPrEx>
          <w:tblCellMar>
            <w:top w:w="0" w:type="dxa"/>
            <w:left w:w="0" w:type="dxa"/>
            <w:bottom w:w="0" w:type="dxa"/>
            <w:right w:w="0" w:type="dxa"/>
          </w:tblCellMar>
        </w:tblPrEx>
        <w:trPr>
          <w:trHeight w:val="396" w:hRule="atLeast"/>
          <w:jc w:val="center"/>
        </w:trPr>
        <w:tc>
          <w:tcPr>
            <w:tcW w:w="384"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黑体_GBK"/>
                <w:sz w:val="24"/>
              </w:rPr>
            </w:pPr>
            <w:r>
              <w:rPr>
                <w:rFonts w:ascii="Times New Roman" w:hAnsi="Times New Roman" w:eastAsia="方正黑体_GBK"/>
                <w:sz w:val="24"/>
              </w:rPr>
              <w:t>序号</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黑体_GBK"/>
                <w:sz w:val="24"/>
              </w:rPr>
            </w:pPr>
            <w:r>
              <w:rPr>
                <w:rFonts w:ascii="Times New Roman" w:hAnsi="Times New Roman" w:eastAsia="方正黑体_GBK"/>
                <w:sz w:val="24"/>
              </w:rPr>
              <w:t>指标</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黑体_GBK"/>
                <w:sz w:val="24"/>
              </w:rPr>
            </w:pPr>
            <w:r>
              <w:rPr>
                <w:rFonts w:ascii="Times New Roman" w:hAnsi="Times New Roman" w:eastAsia="方正黑体_GBK"/>
                <w:sz w:val="24"/>
              </w:rPr>
              <w:t>2020年</w:t>
            </w:r>
          </w:p>
          <w:p>
            <w:pPr>
              <w:overflowPunct w:val="0"/>
              <w:adjustRightInd w:val="0"/>
              <w:snapToGrid w:val="0"/>
              <w:spacing w:line="440" w:lineRule="exact"/>
              <w:jc w:val="center"/>
              <w:rPr>
                <w:rFonts w:ascii="Times New Roman" w:hAnsi="Times New Roman" w:eastAsia="方正黑体_GBK"/>
                <w:sz w:val="24"/>
              </w:rPr>
            </w:pPr>
            <w:r>
              <w:rPr>
                <w:rFonts w:ascii="Times New Roman" w:hAnsi="Times New Roman" w:eastAsia="方正黑体_GBK"/>
                <w:sz w:val="24"/>
              </w:rPr>
              <w:t>实现情况</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黑体_GBK"/>
                <w:sz w:val="24"/>
              </w:rPr>
            </w:pPr>
            <w:r>
              <w:rPr>
                <w:rFonts w:ascii="Times New Roman" w:hAnsi="Times New Roman" w:eastAsia="方正黑体_GBK"/>
                <w:sz w:val="24"/>
              </w:rPr>
              <w:t>2025年</w:t>
            </w:r>
          </w:p>
          <w:p>
            <w:pPr>
              <w:overflowPunct w:val="0"/>
              <w:adjustRightInd w:val="0"/>
              <w:snapToGrid w:val="0"/>
              <w:spacing w:line="440" w:lineRule="exact"/>
              <w:jc w:val="center"/>
              <w:rPr>
                <w:rFonts w:ascii="Times New Roman" w:hAnsi="Times New Roman" w:eastAsia="方正黑体_GBK"/>
                <w:sz w:val="24"/>
              </w:rPr>
            </w:pPr>
            <w:r>
              <w:rPr>
                <w:rFonts w:ascii="Times New Roman" w:hAnsi="Times New Roman" w:eastAsia="方正黑体_GBK"/>
                <w:sz w:val="24"/>
              </w:rPr>
              <w:t>预期目标</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黑体_GBK"/>
                <w:sz w:val="24"/>
              </w:rPr>
            </w:pPr>
            <w:r>
              <w:rPr>
                <w:rFonts w:ascii="Times New Roman" w:hAnsi="Times New Roman" w:eastAsia="方正黑体_GBK"/>
                <w:sz w:val="24"/>
              </w:rPr>
              <w:t>属性</w:t>
            </w:r>
          </w:p>
        </w:tc>
      </w:tr>
      <w:tr>
        <w:tblPrEx>
          <w:tblCellMar>
            <w:top w:w="0" w:type="dxa"/>
            <w:left w:w="0" w:type="dxa"/>
            <w:bottom w:w="0" w:type="dxa"/>
            <w:right w:w="0" w:type="dxa"/>
          </w:tblCellMar>
        </w:tblPrEx>
        <w:trPr>
          <w:trHeight w:val="315" w:hRule="atLeast"/>
          <w:jc w:val="center"/>
        </w:trPr>
        <w:tc>
          <w:tcPr>
            <w:tcW w:w="5000" w:type="pct"/>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b/>
                <w:bCs/>
                <w:sz w:val="24"/>
              </w:rPr>
              <w:t>一、推动高质量发展</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研发经费投入强度（%）</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0.03</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0.05</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预期性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2</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常住人口城镇化率（%）</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39</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45</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预期性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3</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文化产业增加值占GDP比重(%)</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1.3</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2.5</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预期性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4</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游客接待量（万人次）</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黑体_GBK"/>
                <w:sz w:val="24"/>
              </w:rPr>
              <w:t>388</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黑体_GBK"/>
                <w:sz w:val="24"/>
              </w:rPr>
            </w:pPr>
            <w:r>
              <w:rPr>
                <w:rFonts w:ascii="Times New Roman" w:hAnsi="Times New Roman" w:eastAsia="方正黑体_GBK"/>
                <w:sz w:val="24"/>
              </w:rPr>
              <w:t>700</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预期性</w:t>
            </w:r>
          </w:p>
        </w:tc>
      </w:tr>
      <w:tr>
        <w:tblPrEx>
          <w:tblCellMar>
            <w:top w:w="0" w:type="dxa"/>
            <w:left w:w="0" w:type="dxa"/>
            <w:bottom w:w="0" w:type="dxa"/>
            <w:right w:w="0" w:type="dxa"/>
          </w:tblCellMar>
        </w:tblPrEx>
        <w:trPr>
          <w:trHeight w:val="315" w:hRule="atLeast"/>
          <w:jc w:val="center"/>
        </w:trPr>
        <w:tc>
          <w:tcPr>
            <w:tcW w:w="5000" w:type="pct"/>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b/>
                <w:bCs/>
                <w:sz w:val="24"/>
              </w:rPr>
              <w:t>二、创造高品质生活</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5</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left"/>
              <w:rPr>
                <w:rFonts w:ascii="Times New Roman" w:hAnsi="Times New Roman" w:eastAsia="方正仿宋_GBK"/>
                <w:sz w:val="24"/>
              </w:rPr>
            </w:pPr>
            <w:r>
              <w:rPr>
                <w:rFonts w:ascii="Times New Roman" w:hAnsi="Times New Roman" w:eastAsia="方正仿宋_GBK"/>
                <w:sz w:val="24"/>
              </w:rPr>
              <w:t>城镇常住居民人均可支配收入年均增速（%）</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7.7*</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6*</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预期性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6</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农村常住居民人均可支配收入年均增速（%）</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9.3*</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7*</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预期性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7</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城镇调查失业率（%）</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&lt;5.5</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&lt;5.5</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预期性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8</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劳动年龄人口平均受教育年限（年）</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11.3</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13</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9</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人均预期寿命（岁）</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75.3</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78</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预期性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10</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每千人口拥有执业（助理）医师数（人）</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2.25</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2.98</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预期性</w:t>
            </w:r>
          </w:p>
        </w:tc>
      </w:tr>
      <w:tr>
        <w:tblPrEx>
          <w:tblCellMar>
            <w:top w:w="0" w:type="dxa"/>
            <w:left w:w="0" w:type="dxa"/>
            <w:bottom w:w="0" w:type="dxa"/>
            <w:right w:w="0" w:type="dxa"/>
          </w:tblCellMar>
        </w:tblPrEx>
        <w:trPr>
          <w:trHeight w:val="315" w:hRule="atLeast"/>
          <w:jc w:val="center"/>
        </w:trPr>
        <w:tc>
          <w:tcPr>
            <w:tcW w:w="5000" w:type="pct"/>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b/>
                <w:bCs/>
                <w:sz w:val="24"/>
              </w:rPr>
              <w:t>三、山清水秀美丽之地建设</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11</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单位地区生产总值能源消耗降低（%）</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3.9</w:t>
            </w:r>
          </w:p>
        </w:tc>
        <w:tc>
          <w:tcPr>
            <w:tcW w:w="707" w:type="pct"/>
            <w:vMerge w:val="restar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完成市级下达指标任务</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12</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单位地区生产总值二氧化碳排放降低（%)</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13</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环境空气质量优良天数（天）</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361</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＞350</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14</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森林覆盖率(%)</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72.5</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72.8</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15</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森林蓄积量（万立方米)</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1650</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1890</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16</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地表水达到或好于</w:t>
            </w:r>
            <w:r>
              <w:rPr>
                <w:rFonts w:hint="eastAsia" w:ascii="宋体" w:hAnsi="宋体" w:cs="宋体"/>
                <w:sz w:val="24"/>
              </w:rPr>
              <w:t>Ⅲ</w:t>
            </w:r>
            <w:r>
              <w:rPr>
                <w:rFonts w:ascii="Times New Roman" w:hAnsi="Times New Roman" w:eastAsia="方正仿宋_GBK"/>
                <w:sz w:val="24"/>
              </w:rPr>
              <w:t>类水体比例</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100</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100</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17</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left"/>
              <w:rPr>
                <w:rFonts w:ascii="Times New Roman" w:hAnsi="Times New Roman" w:eastAsia="方正仿宋_GBK"/>
                <w:sz w:val="24"/>
              </w:rPr>
            </w:pPr>
            <w:r>
              <w:rPr>
                <w:rFonts w:ascii="Times New Roman" w:hAnsi="Times New Roman" w:eastAsia="方正仿宋_GBK"/>
                <w:sz w:val="24"/>
              </w:rPr>
              <w:t>集中式饮用水水源地水质优良比例</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100</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100</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18</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left"/>
              <w:rPr>
                <w:rFonts w:ascii="Times New Roman" w:hAnsi="Times New Roman" w:eastAsia="方正仿宋_GBK"/>
                <w:sz w:val="24"/>
              </w:rPr>
            </w:pPr>
            <w:r>
              <w:rPr>
                <w:rFonts w:ascii="Times New Roman" w:hAnsi="Times New Roman" w:eastAsia="方正仿宋_GBK"/>
                <w:sz w:val="24"/>
              </w:rPr>
              <w:t>村镇饮用水卫生合格率</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100</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100</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19</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城镇污水达标处理率（%）</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85</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≥95</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20</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城镇生活垃圾无害化处理率（%）</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100</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100</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21</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农村无害化卫生厕所普及率（%）</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70.2</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80</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384" w:type="pct"/>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22</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主要污染物排放总量减少率（%）</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p>
        </w:tc>
      </w:tr>
      <w:tr>
        <w:tblPrEx>
          <w:tblCellMar>
            <w:top w:w="0" w:type="dxa"/>
            <w:left w:w="0" w:type="dxa"/>
            <w:bottom w:w="0" w:type="dxa"/>
            <w:right w:w="0" w:type="dxa"/>
          </w:tblCellMar>
        </w:tblPrEx>
        <w:trPr>
          <w:trHeight w:val="31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pStyle w:val="25"/>
              <w:overflowPunct w:val="0"/>
              <w:adjustRightInd w:val="0"/>
              <w:snapToGrid w:val="0"/>
              <w:spacing w:after="0" w:line="440" w:lineRule="exact"/>
              <w:ind w:firstLine="240"/>
              <w:rPr>
                <w:rFonts w:ascii="Times New Roman" w:hAnsi="Times New Roman" w:eastAsia="方正仿宋_GBK"/>
                <w:sz w:val="24"/>
              </w:rPr>
            </w:pPr>
            <w:r>
              <w:rPr>
                <w:rFonts w:ascii="Times New Roman" w:hAnsi="Times New Roman" w:eastAsia="方正仿宋_GBK"/>
                <w:sz w:val="24"/>
              </w:rPr>
              <w:t>#化学需氧量</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[6.53]</w:t>
            </w:r>
          </w:p>
        </w:tc>
        <w:tc>
          <w:tcPr>
            <w:tcW w:w="707" w:type="pct"/>
            <w:vMerge w:val="restar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完成市级下达指标任务</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pStyle w:val="25"/>
              <w:overflowPunct w:val="0"/>
              <w:adjustRightInd w:val="0"/>
              <w:snapToGrid w:val="0"/>
              <w:spacing w:after="0" w:line="440" w:lineRule="exact"/>
              <w:ind w:firstLine="240"/>
              <w:rPr>
                <w:rFonts w:ascii="Times New Roman" w:hAnsi="Times New Roman" w:eastAsia="方正仿宋_GBK"/>
                <w:sz w:val="24"/>
              </w:rPr>
            </w:pPr>
            <w:r>
              <w:rPr>
                <w:rFonts w:ascii="Times New Roman" w:hAnsi="Times New Roman" w:eastAsia="方正仿宋_GBK"/>
                <w:sz w:val="24"/>
              </w:rPr>
              <w:t>#二氧化硫</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[17.4]</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pStyle w:val="25"/>
              <w:overflowPunct w:val="0"/>
              <w:adjustRightInd w:val="0"/>
              <w:snapToGrid w:val="0"/>
              <w:spacing w:after="0" w:line="440" w:lineRule="exact"/>
              <w:ind w:firstLine="240"/>
              <w:rPr>
                <w:rFonts w:ascii="Times New Roman" w:hAnsi="Times New Roman" w:eastAsia="方正仿宋_GBK"/>
                <w:sz w:val="24"/>
              </w:rPr>
            </w:pPr>
            <w:r>
              <w:rPr>
                <w:rFonts w:ascii="Times New Roman" w:hAnsi="Times New Roman" w:eastAsia="方正仿宋_GBK"/>
                <w:sz w:val="24"/>
              </w:rPr>
              <w:t>#氨氮</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[3.89]</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pStyle w:val="25"/>
              <w:overflowPunct w:val="0"/>
              <w:adjustRightInd w:val="0"/>
              <w:snapToGrid w:val="0"/>
              <w:spacing w:after="0" w:line="440" w:lineRule="exact"/>
              <w:ind w:firstLine="240"/>
              <w:rPr>
                <w:rFonts w:ascii="Times New Roman" w:hAnsi="Times New Roman" w:eastAsia="方正仿宋_GBK"/>
                <w:sz w:val="24"/>
              </w:rPr>
            </w:pPr>
            <w:r>
              <w:rPr>
                <w:rFonts w:ascii="Times New Roman" w:hAnsi="Times New Roman" w:eastAsia="方正仿宋_GBK"/>
                <w:sz w:val="24"/>
              </w:rPr>
              <w:t>#氮氧化物</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pStyle w:val="25"/>
              <w:overflowPunct w:val="0"/>
              <w:adjustRightInd w:val="0"/>
              <w:snapToGrid w:val="0"/>
              <w:spacing w:after="0" w:line="440" w:lineRule="exact"/>
              <w:ind w:firstLine="0" w:firstLineChars="0"/>
              <w:jc w:val="center"/>
              <w:rPr>
                <w:rFonts w:ascii="Times New Roman" w:hAnsi="Times New Roman" w:eastAsia="方正仿宋_GBK"/>
                <w:sz w:val="24"/>
              </w:rPr>
            </w:pPr>
            <w:r>
              <w:rPr>
                <w:rFonts w:ascii="Times New Roman" w:hAnsi="Times New Roman" w:eastAsia="方正仿宋_GBK"/>
                <w:sz w:val="24"/>
              </w:rPr>
              <w:t>[19.8]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sz w:val="24"/>
              </w:rPr>
            </w:pP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5000" w:type="pct"/>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b/>
                <w:bCs/>
                <w:sz w:val="24"/>
              </w:rPr>
              <w:t>四、安全发展</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23</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粮食综合生产能力（万吨）</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8.7</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8</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r>
        <w:tblPrEx>
          <w:tblCellMar>
            <w:top w:w="0" w:type="dxa"/>
            <w:left w:w="0" w:type="dxa"/>
            <w:bottom w:w="0" w:type="dxa"/>
            <w:right w:w="0" w:type="dxa"/>
          </w:tblCellMar>
        </w:tblPrEx>
        <w:trPr>
          <w:trHeight w:val="315" w:hRule="atLeast"/>
          <w:jc w:val="center"/>
        </w:trPr>
        <w:tc>
          <w:tcPr>
            <w:tcW w:w="384"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24</w:t>
            </w:r>
          </w:p>
        </w:tc>
        <w:tc>
          <w:tcPr>
            <w:tcW w:w="266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rPr>
                <w:rFonts w:ascii="Times New Roman" w:hAnsi="Times New Roman" w:eastAsia="方正仿宋_GBK"/>
                <w:sz w:val="24"/>
              </w:rPr>
            </w:pPr>
            <w:r>
              <w:rPr>
                <w:rFonts w:ascii="Times New Roman" w:hAnsi="Times New Roman" w:eastAsia="方正仿宋_GBK"/>
                <w:sz w:val="24"/>
              </w:rPr>
              <w:t>亿元地区生产总值安全事故死亡率</w:t>
            </w:r>
          </w:p>
        </w:tc>
        <w:tc>
          <w:tcPr>
            <w:tcW w:w="67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0.163</w:t>
            </w:r>
          </w:p>
        </w:tc>
        <w:tc>
          <w:tcPr>
            <w:tcW w:w="707"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控制在市级下达指标内</w:t>
            </w:r>
          </w:p>
        </w:tc>
        <w:tc>
          <w:tcPr>
            <w:tcW w:w="565" w:type="pct"/>
            <w:tcBorders>
              <w:top w:val="single" w:color="auto" w:sz="4" w:space="0"/>
              <w:left w:val="single" w:color="auto" w:sz="4" w:space="0"/>
              <w:bottom w:val="single" w:color="auto" w:sz="4" w:space="0"/>
              <w:right w:val="single" w:color="auto" w:sz="4" w:space="0"/>
            </w:tcBorders>
            <w:noWrap/>
            <w:tcMar>
              <w:top w:w="0" w:type="dxa"/>
              <w:left w:w="105" w:type="dxa"/>
              <w:bottom w:w="0" w:type="dxa"/>
              <w:right w:w="105" w:type="dxa"/>
            </w:tcMar>
            <w:vAlign w:val="center"/>
          </w:tcPr>
          <w:p>
            <w:pPr>
              <w:overflowPunct w:val="0"/>
              <w:adjustRightInd w:val="0"/>
              <w:snapToGrid w:val="0"/>
              <w:spacing w:line="440" w:lineRule="exact"/>
              <w:jc w:val="center"/>
              <w:rPr>
                <w:rFonts w:ascii="Times New Roman" w:hAnsi="Times New Roman" w:eastAsia="方正仿宋_GBK"/>
                <w:sz w:val="24"/>
              </w:rPr>
            </w:pPr>
            <w:r>
              <w:rPr>
                <w:rFonts w:ascii="Times New Roman" w:hAnsi="Times New Roman" w:eastAsia="方正仿宋_GBK"/>
                <w:sz w:val="24"/>
              </w:rPr>
              <w:t>约束性</w:t>
            </w:r>
          </w:p>
        </w:tc>
      </w:tr>
    </w:tbl>
    <w:p>
      <w:pPr>
        <w:pStyle w:val="26"/>
        <w:overflowPunct w:val="0"/>
        <w:spacing w:line="400" w:lineRule="exact"/>
        <w:ind w:leftChars="0" w:firstLine="480" w:firstLineChars="200"/>
        <w:rPr>
          <w:rFonts w:ascii="Times New Roman" w:hAnsi="Times New Roman" w:eastAsia="方正仿宋_GBK"/>
          <w:sz w:val="32"/>
          <w:szCs w:val="32"/>
        </w:rPr>
      </w:pPr>
      <w:r>
        <w:rPr>
          <w:rFonts w:ascii="Times New Roman" w:hAnsi="Times New Roman" w:eastAsia="方正黑体_GBK"/>
          <w:sz w:val="24"/>
          <w:szCs w:val="24"/>
        </w:rPr>
        <w:t>注明：带*为规划期平均数，带[ ]为五年累积数，未带任何符号的为年度数据。其中，序号16—21等指标为国家生态文明建设示范县创建约束性指标。</w:t>
      </w:r>
    </w:p>
    <w:p>
      <w:pPr>
        <w:overflowPunct w:val="0"/>
        <w:adjustRightInd w:val="0"/>
        <w:snapToGrid w:val="0"/>
        <w:spacing w:line="560" w:lineRule="exact"/>
        <w:jc w:val="center"/>
        <w:rPr>
          <w:rFonts w:ascii="Times New Roman" w:hAnsi="Times New Roman" w:eastAsia="方正楷体_GBK"/>
          <w:b/>
          <w:sz w:val="32"/>
          <w:szCs w:val="32"/>
        </w:rPr>
      </w:pPr>
      <w:r>
        <w:rPr>
          <w:rFonts w:ascii="Times New Roman" w:hAnsi="Times New Roman" w:eastAsia="方正楷体_GBK"/>
          <w:b/>
          <w:sz w:val="32"/>
          <w:szCs w:val="32"/>
        </w:rPr>
        <w:t>第二节  二〇三五年远景目标</w:t>
      </w:r>
    </w:p>
    <w:p>
      <w:pPr>
        <w:overflowPunct w:val="0"/>
        <w:adjustRightInd w:val="0"/>
        <w:snapToGrid w:val="0"/>
        <w:spacing w:line="560" w:lineRule="exact"/>
        <w:ind w:firstLine="641"/>
        <w:rPr>
          <w:rFonts w:ascii="Times New Roman" w:hAnsi="Times New Roman" w:eastAsia="方正仿宋_GBK"/>
          <w:sz w:val="32"/>
          <w:szCs w:val="32"/>
        </w:rPr>
      </w:pPr>
      <w:r>
        <w:rPr>
          <w:rFonts w:ascii="Times New Roman" w:hAnsi="Times New Roman" w:eastAsia="方正仿宋_GBK"/>
          <w:sz w:val="32"/>
          <w:szCs w:val="32"/>
        </w:rPr>
        <w:t>按照党的十九大对实现第二个百年奋斗目标作出的“两步走”战略安排，到二〇三五年我县将与全国全市一道基本实现社会主义现代化。展望二〇三五年，生态优先绿色发展示范区全面建成，成为全市践行“两山论”、走好“两化路”的示范和标杆，综合经济实力和生态价值大幅提升，城乡人均收入再迈上新的大台阶。新型工业化、信息化、城镇化、农业现代化基本实现，建成富有城口特色的现代化绿色产业体系。基本实现治理体系和治理能力现代化，各方面体制机制更加完善，法治政府、法治社会和“平安城口”达到更高水平。全面建成渝川陕合作门户，基础设施互联互通全面实现，成为连接“一带一路”与长江黄金水道的便捷通道，开放程度和水平不断提升。实现社会主义精神文明和物质文明全面协调发展，生态强县全面建成，健康城口基本实现，科技事业、文化事业、教育事业、人才事业、体育事业蓬勃发展，公民素质和社会文明程度达到新高度。实现人与自然和谐共生，长江上游重要生态屏障全面筑牢，山清水秀美丽之地基本建成。人的全面发展、全体人民共同富裕取得更为明显的实质性进展，中等收入群体显著扩大，基本公共服务实现均等化，城乡区域发展差距和居民生活水平差距显著缩小，高品质生活充分彰显。到那时，一个生态美、产业兴、百姓富的现代化新城口将屹立在重庆最北端。</w:t>
      </w:r>
    </w:p>
    <w:p>
      <w:pPr>
        <w:overflowPunct w:val="0"/>
        <w:adjustRightInd w:val="0"/>
        <w:snapToGrid w:val="0"/>
        <w:spacing w:line="560" w:lineRule="exact"/>
        <w:outlineLvl w:val="0"/>
        <w:rPr>
          <w:rFonts w:ascii="Times New Roman" w:hAnsi="Times New Roman" w:eastAsia="方正小标宋_GBK"/>
          <w:b/>
          <w:bCs/>
          <w:snapToGrid w:val="0"/>
          <w:w w:val="90"/>
          <w:kern w:val="0"/>
          <w:sz w:val="36"/>
          <w:szCs w:val="36"/>
        </w:rPr>
      </w:pPr>
      <w:bookmarkStart w:id="148" w:name="_Toc59949969"/>
      <w:bookmarkStart w:id="149" w:name="_Toc7930"/>
      <w:bookmarkStart w:id="150" w:name="_Toc26504"/>
      <w:bookmarkStart w:id="151" w:name="_Toc1129"/>
      <w:bookmarkStart w:id="152" w:name="_Toc26786"/>
      <w:bookmarkStart w:id="153" w:name="_Toc14963"/>
      <w:bookmarkStart w:id="154" w:name="_Toc28646"/>
      <w:bookmarkStart w:id="155" w:name="_Toc302"/>
      <w:bookmarkStart w:id="156" w:name="_Toc22652"/>
      <w:bookmarkStart w:id="157" w:name="_Toc3779"/>
      <w:bookmarkStart w:id="158" w:name="_Toc18042"/>
      <w:bookmarkStart w:id="159" w:name="_Toc24664"/>
      <w:bookmarkStart w:id="160" w:name="_Toc25845"/>
      <w:bookmarkStart w:id="161" w:name="_Toc18901"/>
      <w:bookmarkStart w:id="162" w:name="_Toc22489"/>
      <w:bookmarkStart w:id="163" w:name="_Toc20940"/>
      <w:bookmarkStart w:id="164" w:name="_Toc59949991"/>
      <w:bookmarkStart w:id="165" w:name="_Toc59950005"/>
    </w:p>
    <w:p>
      <w:pPr>
        <w:overflowPunct w:val="0"/>
        <w:adjustRightInd w:val="0"/>
        <w:snapToGrid w:val="0"/>
        <w:spacing w:line="560" w:lineRule="exact"/>
        <w:outlineLvl w:val="0"/>
        <w:rPr>
          <w:rFonts w:ascii="Times New Roman" w:hAnsi="Times New Roman" w:eastAsia="方正仿宋_GBK"/>
          <w:bCs/>
          <w:snapToGrid w:val="0"/>
          <w:w w:val="90"/>
          <w:kern w:val="0"/>
          <w:sz w:val="32"/>
          <w:szCs w:val="32"/>
        </w:rPr>
      </w:pPr>
      <w:bookmarkStart w:id="166" w:name="_Toc24739"/>
      <w:r>
        <w:rPr>
          <w:rFonts w:ascii="Times New Roman" w:hAnsi="Times New Roman" w:eastAsia="方正小标宋_GBK"/>
          <w:b/>
          <w:bCs/>
          <w:snapToGrid w:val="0"/>
          <w:w w:val="90"/>
          <w:kern w:val="0"/>
          <w:sz w:val="36"/>
          <w:szCs w:val="36"/>
        </w:rPr>
        <w:t xml:space="preserve">第二篇  </w:t>
      </w:r>
      <w:bookmarkStart w:id="167" w:name="_Toc30002"/>
      <w:bookmarkStart w:id="168" w:name="_Toc20422"/>
      <w:r>
        <w:rPr>
          <w:rFonts w:ascii="Times New Roman" w:hAnsi="Times New Roman" w:eastAsia="方正小标宋_GBK"/>
          <w:b/>
          <w:bCs/>
          <w:snapToGrid w:val="0"/>
          <w:w w:val="90"/>
          <w:kern w:val="0"/>
          <w:sz w:val="36"/>
          <w:szCs w:val="36"/>
        </w:rPr>
        <w:t>坚持生态优先绿色发展  加快建设山清水秀</w:t>
      </w:r>
      <w:bookmarkEnd w:id="167"/>
      <w:bookmarkEnd w:id="168"/>
      <w:bookmarkStart w:id="169" w:name="_Toc10589"/>
      <w:bookmarkStart w:id="170" w:name="_Toc2643"/>
      <w:r>
        <w:rPr>
          <w:rFonts w:ascii="Times New Roman" w:hAnsi="Times New Roman" w:eastAsia="方正小标宋_GBK"/>
          <w:b/>
          <w:bCs/>
          <w:snapToGrid w:val="0"/>
          <w:w w:val="90"/>
          <w:kern w:val="0"/>
          <w:sz w:val="36"/>
          <w:szCs w:val="36"/>
        </w:rPr>
        <w:t>美丽</w:t>
      </w:r>
      <w:bookmarkEnd w:id="148"/>
      <w:r>
        <w:rPr>
          <w:rFonts w:ascii="Times New Roman" w:hAnsi="Times New Roman" w:eastAsia="方正小标宋_GBK"/>
          <w:b/>
          <w:bCs/>
          <w:snapToGrid w:val="0"/>
          <w:w w:val="90"/>
          <w:kern w:val="0"/>
          <w:sz w:val="36"/>
          <w:szCs w:val="36"/>
        </w:rPr>
        <w:t>之地</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6"/>
      <w:bookmarkEnd w:id="169"/>
      <w:bookmarkEnd w:id="170"/>
    </w:p>
    <w:p>
      <w:pPr>
        <w:overflowPunct w:val="0"/>
        <w:adjustRightInd w:val="0"/>
        <w:snapToGrid w:val="0"/>
        <w:spacing w:line="560" w:lineRule="exact"/>
        <w:ind w:firstLine="640" w:firstLineChars="200"/>
        <w:rPr>
          <w:rFonts w:ascii="Times New Roman" w:hAnsi="Times New Roman" w:eastAsia="方正仿宋_GBK"/>
          <w:bCs/>
          <w:sz w:val="32"/>
          <w:szCs w:val="32"/>
        </w:rPr>
      </w:pP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坚定不移走生态优先绿色发展之路，坚持尊重自然、顺应自然、保护自然，坚持节约优先、保护优先、自然恢复为主，深入践行绿水青山就是金山银山理念，</w:t>
      </w:r>
      <w:r>
        <w:rPr>
          <w:rFonts w:ascii="Times New Roman" w:hAnsi="Times New Roman" w:eastAsia="方正仿宋_GBK"/>
          <w:bCs/>
          <w:sz w:val="32"/>
          <w:szCs w:val="32"/>
        </w:rPr>
        <w:t>全面加强生态制度、生态安全、生态空间、生态经济、生态生活、生态文化六大领域建设，</w:t>
      </w:r>
      <w:r>
        <w:rPr>
          <w:rFonts w:ascii="Times New Roman" w:hAnsi="Times New Roman" w:eastAsia="方正仿宋_GBK"/>
          <w:sz w:val="32"/>
          <w:szCs w:val="32"/>
        </w:rPr>
        <w:t>促进经济社会发展全面绿色转型，加快</w:t>
      </w:r>
      <w:r>
        <w:rPr>
          <w:rFonts w:ascii="Times New Roman" w:hAnsi="Times New Roman" w:eastAsia="方正仿宋_GBK"/>
          <w:bCs/>
          <w:sz w:val="32"/>
          <w:szCs w:val="32"/>
        </w:rPr>
        <w:t>建设山清水秀美丽之地和创建国家生态文明建设示范县。</w:t>
      </w: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71" w:name="_Toc60651951"/>
      <w:bookmarkStart w:id="172" w:name="_Toc10089"/>
      <w:bookmarkStart w:id="173" w:name="_Toc24726"/>
      <w:bookmarkStart w:id="174" w:name="_Toc59949970"/>
      <w:bookmarkStart w:id="175" w:name="_Toc22711"/>
      <w:bookmarkStart w:id="176" w:name="_Toc2228"/>
      <w:bookmarkStart w:id="177" w:name="_Toc7724"/>
      <w:bookmarkStart w:id="178" w:name="_Toc26866"/>
      <w:bookmarkStart w:id="179" w:name="_Toc22253"/>
      <w:bookmarkStart w:id="180" w:name="_Toc18441"/>
      <w:bookmarkStart w:id="181" w:name="_Toc135"/>
      <w:bookmarkStart w:id="182" w:name="_Toc5205"/>
      <w:bookmarkStart w:id="183" w:name="_Toc24167"/>
      <w:bookmarkStart w:id="184" w:name="_Toc20396"/>
      <w:bookmarkStart w:id="185" w:name="_Toc21767"/>
      <w:bookmarkStart w:id="186" w:name="_Toc24275"/>
      <w:bookmarkStart w:id="187" w:name="_Toc9105"/>
      <w:bookmarkStart w:id="188" w:name="_Toc22100"/>
      <w:bookmarkStart w:id="189" w:name="_Toc13030"/>
      <w:bookmarkStart w:id="190" w:name="_Toc31783"/>
      <w:r>
        <w:rPr>
          <w:rFonts w:ascii="Times New Roman" w:hAnsi="Times New Roman" w:eastAsia="方正黑体_GBK"/>
          <w:b/>
          <w:bCs/>
          <w:kern w:val="44"/>
          <w:sz w:val="32"/>
          <w:szCs w:val="32"/>
        </w:rPr>
        <w:t>第四章  筑牢长江上游和大巴山重要生态屏障</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坚决贯彻“共抓大保护，不搞大开发”方针，强化“上游意识”，担起“上游责任”，从全局谋划一域，以一域服务全局，把保护和修复生态环境摆在首要位置，统筹山水林田湖草系统治理，推动</w:t>
      </w:r>
      <w:r>
        <w:rPr>
          <w:rFonts w:ascii="Times New Roman" w:hAnsi="Times New Roman" w:eastAsia="方正仿宋_GBK"/>
          <w:sz w:val="32"/>
          <w:szCs w:val="32"/>
        </w:rPr>
        <w:t>人与自然和谐共生。</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91" w:name="_Toc5599"/>
      <w:bookmarkStart w:id="192" w:name="_Toc14358"/>
      <w:bookmarkStart w:id="193" w:name="_Toc1448"/>
      <w:bookmarkStart w:id="194" w:name="_Toc19943"/>
      <w:bookmarkStart w:id="195" w:name="_Toc26976"/>
      <w:bookmarkStart w:id="196" w:name="_Toc60651952"/>
      <w:bookmarkStart w:id="197" w:name="_Toc18344"/>
      <w:bookmarkStart w:id="198" w:name="_Toc24386"/>
      <w:bookmarkStart w:id="199" w:name="_Toc21318"/>
      <w:bookmarkStart w:id="200" w:name="_Toc28213"/>
      <w:bookmarkStart w:id="201" w:name="_Toc16060"/>
      <w:bookmarkStart w:id="202" w:name="_Toc31426"/>
      <w:bookmarkStart w:id="203" w:name="_Toc26324"/>
      <w:bookmarkStart w:id="204" w:name="_Toc20554"/>
      <w:bookmarkStart w:id="205" w:name="_Toc9188"/>
      <w:bookmarkStart w:id="206" w:name="_Toc6495"/>
      <w:bookmarkStart w:id="207" w:name="_Toc4832"/>
      <w:bookmarkStart w:id="208" w:name="_Toc12340"/>
      <w:bookmarkStart w:id="209" w:name="_Toc28664"/>
      <w:r>
        <w:rPr>
          <w:rFonts w:ascii="Times New Roman" w:hAnsi="Times New Roman" w:eastAsia="方正楷体_GBK"/>
          <w:b/>
          <w:sz w:val="32"/>
          <w:szCs w:val="32"/>
        </w:rPr>
        <w:t>第一节  优化生态安全格局</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贯彻落实国家主体功能区战略，围绕生态涵养和生物多样性保护中心任务，以自然保护地、重要河湖和生态红线为重点，构建“一屏”（即大巴山国家级自然保护区及重要山体）、“两带”（即任河流域带、前河流域带）、“多点”（即巴山湖国家湿地公园、九重山国家森林公园、饮用水源地等生态保护红线圈）的生态空间安全格局。落实生态保护红线、永久基本农田、城镇开发边界线“三条控制线”，实施“三线一单”生态环境分区管控。优化整合各类自然保护地，健全自然保护地体系。统筹生产、生活、生态空间布局，制定任河、前河“两河四岸”总体规划，严格论证管控岸线近水范围内生产生活工程建设，加强滨水绿地等生态缓冲带建设。</w:t>
      </w:r>
      <w:bookmarkStart w:id="210" w:name="_Toc59949971"/>
    </w:p>
    <w:p>
      <w:pPr>
        <w:overflowPunct w:val="0"/>
        <w:adjustRightInd w:val="0"/>
        <w:snapToGrid w:val="0"/>
        <w:spacing w:line="560" w:lineRule="exact"/>
        <w:jc w:val="center"/>
        <w:outlineLvl w:val="2"/>
        <w:rPr>
          <w:rFonts w:ascii="Times New Roman" w:hAnsi="Times New Roman" w:eastAsia="方正楷体_GBK"/>
          <w:b/>
          <w:sz w:val="32"/>
          <w:szCs w:val="32"/>
        </w:rPr>
      </w:pPr>
      <w:bookmarkStart w:id="211" w:name="_Toc520"/>
      <w:bookmarkStart w:id="212" w:name="_Toc22540"/>
      <w:bookmarkStart w:id="213" w:name="_Toc11219"/>
      <w:bookmarkStart w:id="214" w:name="_Toc29854"/>
      <w:bookmarkStart w:id="215" w:name="_Toc11454"/>
      <w:bookmarkStart w:id="216" w:name="_Toc19013"/>
      <w:bookmarkStart w:id="217" w:name="_Toc5559"/>
      <w:bookmarkStart w:id="218" w:name="_Toc7325"/>
      <w:bookmarkStart w:id="219" w:name="_Toc60651953"/>
      <w:bookmarkStart w:id="220" w:name="_Toc8710"/>
      <w:bookmarkStart w:id="221" w:name="_Toc14132"/>
      <w:bookmarkStart w:id="222" w:name="_Toc21080"/>
      <w:bookmarkStart w:id="223" w:name="_Toc6089"/>
      <w:bookmarkStart w:id="224" w:name="_Toc19749"/>
      <w:bookmarkStart w:id="225" w:name="_Toc31918"/>
      <w:bookmarkStart w:id="226" w:name="_Toc27161"/>
      <w:bookmarkStart w:id="227" w:name="_Toc29005"/>
      <w:bookmarkStart w:id="228" w:name="_Toc7606"/>
      <w:bookmarkStart w:id="229" w:name="_Toc10886"/>
      <w:r>
        <w:rPr>
          <w:rFonts w:ascii="Times New Roman" w:hAnsi="Times New Roman" w:eastAsia="方正楷体_GBK"/>
          <w:b/>
          <w:sz w:val="32"/>
          <w:szCs w:val="32"/>
        </w:rPr>
        <w:t>第二节  加强生态系统整体保护</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overflowPunct w:val="0"/>
        <w:adjustRightInd w:val="0"/>
        <w:snapToGrid w:val="0"/>
        <w:spacing w:line="560" w:lineRule="exact"/>
        <w:ind w:firstLine="640" w:firstLineChars="200"/>
        <w:rPr>
          <w:rFonts w:ascii="Times New Roman" w:hAnsi="Times New Roman"/>
        </w:rPr>
      </w:pPr>
      <w:r>
        <w:rPr>
          <w:rFonts w:ascii="Times New Roman" w:hAnsi="Times New Roman" w:eastAsia="方正仿宋_GBK"/>
          <w:bCs/>
          <w:sz w:val="32"/>
          <w:szCs w:val="32"/>
        </w:rPr>
        <w:t>加强大巴山山体生态廊道保护，建立重要山体保护名录。落实河（湖）长制，划定重要河流、湖泊、水库、湿地等生态空间“蓝线”“绿线”和“灰线”，加强岸线和水环境保护。实施“十年禁渔”，建立禁捕长效机制。全面推行林长制，全面保护天然林资源。严格限制天然林采伐，建立健全天然林用途管制和保护监管制度，加强林业有害生物防控，强化森林防火能力。开展生物多样性调查和评估，建立生物多样性数据库和信息平台，构建生物多样性检测网络。实施大巴山生物多样性保护工程，建设缓冲带和生态廊道，加强特有物种和栖息地保护，扩大野生动植物生存空间。建设大巴山生物多样性基因库、大巴山种质资源库、大巴山野生动植物标本展示馆和科普科研基地。建设秦巴山区生物多样性有害生物监测、预警、防控防治体系。推进智慧林业规划和建设，逐步构建高效运转、天地一体的管护网络。加强自然保护地的规范化建设，对珍稀动植物进行种源保存、人工繁育和野外回归。实施野生动物保护，坚决打击野生动物盗猎及非法贸易。强化任河和前河“两河四岸”生态环境安全维护，推进河湖、岸线和支流协同治理，巩固生态系统稳定性。</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30" w:name="_Toc16484"/>
      <w:bookmarkStart w:id="231" w:name="_Toc11561"/>
      <w:bookmarkStart w:id="232" w:name="_Toc59949972"/>
      <w:bookmarkStart w:id="233" w:name="_Toc24731"/>
      <w:bookmarkStart w:id="234" w:name="_Toc7445"/>
      <w:bookmarkStart w:id="235" w:name="_Toc6561"/>
      <w:bookmarkStart w:id="236" w:name="_Toc13766"/>
      <w:bookmarkStart w:id="237" w:name="_Toc28144"/>
      <w:bookmarkStart w:id="238" w:name="_Toc17726"/>
      <w:bookmarkStart w:id="239" w:name="_Toc19481"/>
      <w:bookmarkStart w:id="240" w:name="_Toc60651954"/>
      <w:bookmarkStart w:id="241" w:name="_Toc4083"/>
      <w:bookmarkStart w:id="242" w:name="_Toc19744"/>
      <w:bookmarkStart w:id="243" w:name="_Toc5142"/>
      <w:bookmarkStart w:id="244" w:name="_Toc2910"/>
      <w:bookmarkStart w:id="245" w:name="_Toc20819"/>
      <w:bookmarkStart w:id="246" w:name="_Toc15742"/>
      <w:bookmarkStart w:id="247" w:name="_Toc24947"/>
      <w:bookmarkStart w:id="248" w:name="_Toc5693"/>
      <w:bookmarkStart w:id="249" w:name="_Toc12479"/>
      <w:r>
        <w:rPr>
          <w:rFonts w:ascii="Times New Roman" w:hAnsi="Times New Roman" w:eastAsia="方正楷体_GBK"/>
          <w:b/>
          <w:sz w:val="32"/>
          <w:szCs w:val="32"/>
        </w:rPr>
        <w:t>第三节  推进生态系统修复</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26"/>
        <w:overflowPunct w:val="0"/>
        <w:adjustRightInd w:val="0"/>
        <w:snapToGrid w:val="0"/>
        <w:spacing w:after="0" w:line="560" w:lineRule="exact"/>
        <w:ind w:leftChars="0" w:firstLine="640" w:firstLineChars="200"/>
        <w:rPr>
          <w:rFonts w:ascii="Times New Roman" w:hAnsi="Times New Roman" w:eastAsia="方正仿宋_GBK"/>
          <w:bCs/>
          <w:sz w:val="32"/>
          <w:szCs w:val="32"/>
        </w:rPr>
      </w:pPr>
      <w:r>
        <w:rPr>
          <w:rFonts w:ascii="Times New Roman" w:hAnsi="Times New Roman" w:eastAsia="方正仿宋_GBK"/>
          <w:bCs/>
          <w:sz w:val="32"/>
          <w:szCs w:val="32"/>
        </w:rPr>
        <w:t>抢抓长江重点生态区、自然保护地及野生动植物保护、生态保护和修复支撑体系等重大工程布局机遇，落地实施生态保护和修复重大项目。统筹治水、建林、禁渔、防灾、护坡，推动生态系统质量全面提升。开展国土绿化行动，加强封山育林、森林抚育、退化林修复，提升生态系统碳汇能力，创建国家森林城市。实施城周林相改造及森林质量精准提升工程。推动退耕还林还草，提升“两河四岸”、重点景区、大巴山森林人家集群片区、工矿区、主干通道沿线绿化水平。实施重点流域水环境综合修复，力争启动任河流域综合整治工程。开展全域土地综合整治试点，强化交通干线、居民集居点周边地灾隐患点综合治理。推进关闭矿山植被恢复、石漠化地区综合治理，加大种绿植绿力度，提高水土保持能力，持续增强水源涵养功能。加快推进国家储备林建设，合理增加森林面积，精准提升森林质量，加强国家木材战略资源储备。</w:t>
      </w:r>
    </w:p>
    <w:p>
      <w:pPr>
        <w:pStyle w:val="26"/>
        <w:overflowPunct w:val="0"/>
        <w:adjustRightInd w:val="0"/>
        <w:snapToGrid w:val="0"/>
        <w:spacing w:after="0" w:line="560" w:lineRule="exact"/>
        <w:ind w:leftChars="0"/>
        <w:rPr>
          <w:rFonts w:ascii="Times New Roman" w:hAnsi="Times New Roman"/>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250" w:name="_Toc27152"/>
      <w:bookmarkStart w:id="251" w:name="_Toc5418"/>
      <w:bookmarkStart w:id="252" w:name="_Toc24730"/>
      <w:bookmarkStart w:id="253" w:name="_Toc12674"/>
      <w:bookmarkStart w:id="254" w:name="_Toc59949974"/>
      <w:bookmarkStart w:id="255" w:name="_Toc15890"/>
      <w:bookmarkStart w:id="256" w:name="_Toc32163"/>
      <w:bookmarkStart w:id="257" w:name="_Toc2760"/>
      <w:bookmarkStart w:id="258" w:name="_Toc32346"/>
      <w:bookmarkStart w:id="259" w:name="_Toc3397"/>
      <w:bookmarkStart w:id="260" w:name="_Toc229"/>
      <w:bookmarkStart w:id="261" w:name="_Toc21701"/>
      <w:bookmarkStart w:id="262" w:name="_Toc3513"/>
      <w:bookmarkStart w:id="263" w:name="_Toc9987"/>
      <w:bookmarkStart w:id="264" w:name="_Toc19607"/>
      <w:bookmarkStart w:id="265" w:name="_Toc60651955"/>
      <w:bookmarkStart w:id="266" w:name="_Toc19048"/>
      <w:bookmarkStart w:id="267" w:name="_Toc13817"/>
      <w:bookmarkStart w:id="268" w:name="_Toc26697"/>
      <w:bookmarkStart w:id="269" w:name="_Toc6983"/>
      <w:r>
        <w:rPr>
          <w:rFonts w:ascii="Times New Roman" w:hAnsi="Times New Roman" w:eastAsia="方正黑体_GBK"/>
          <w:b/>
          <w:bCs/>
          <w:kern w:val="44"/>
          <w:sz w:val="32"/>
          <w:szCs w:val="32"/>
        </w:rPr>
        <w:t>第五章  持续改善生态环境质量</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26"/>
        <w:overflowPunct w:val="0"/>
        <w:adjustRightInd w:val="0"/>
        <w:snapToGrid w:val="0"/>
        <w:spacing w:after="0" w:line="560" w:lineRule="exact"/>
        <w:ind w:leftChars="0" w:firstLine="640" w:firstLineChars="200"/>
        <w:rPr>
          <w:rFonts w:ascii="Times New Roman" w:hAnsi="Times New Roman" w:eastAsia="方正楷体_GBK"/>
          <w:b/>
          <w:sz w:val="32"/>
          <w:szCs w:val="32"/>
        </w:rPr>
      </w:pPr>
      <w:r>
        <w:rPr>
          <w:rFonts w:ascii="Times New Roman" w:hAnsi="Times New Roman" w:eastAsia="方正仿宋_GBK"/>
          <w:bCs/>
          <w:sz w:val="32"/>
          <w:szCs w:val="32"/>
        </w:rPr>
        <w:t>坚持“治山、治水、治气、治城”一体推进</w:t>
      </w:r>
      <w:r>
        <w:rPr>
          <w:rFonts w:ascii="Times New Roman" w:hAnsi="Times New Roman" w:eastAsia="方正仿宋_GBK"/>
          <w:sz w:val="32"/>
          <w:szCs w:val="32"/>
        </w:rPr>
        <w:t>，</w:t>
      </w:r>
      <w:r>
        <w:rPr>
          <w:rFonts w:ascii="Times New Roman" w:hAnsi="Times New Roman" w:eastAsia="方正仿宋_GBK"/>
          <w:bCs/>
          <w:sz w:val="32"/>
          <w:szCs w:val="32"/>
        </w:rPr>
        <w:t>深入推进五大环保行动，持续打好污染防治攻坚战，增强全社会生态文明素养，实行最严格的环境保护制度和综合行政执法，实现减污降碳协同效应，共同守护好天蓝、地绿、水清的美丽家园。</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70" w:name="_Toc60651956"/>
      <w:bookmarkStart w:id="271" w:name="_Toc3856"/>
      <w:bookmarkStart w:id="272" w:name="_Toc15036"/>
      <w:bookmarkStart w:id="273" w:name="_Toc482"/>
      <w:bookmarkStart w:id="274" w:name="_Toc4571"/>
      <w:bookmarkStart w:id="275" w:name="_Toc7229"/>
      <w:bookmarkStart w:id="276" w:name="_Toc30790"/>
      <w:bookmarkStart w:id="277" w:name="_Toc8241"/>
      <w:bookmarkStart w:id="278" w:name="_Toc59949975"/>
      <w:bookmarkStart w:id="279" w:name="_Toc3729"/>
      <w:bookmarkStart w:id="280" w:name="_Toc9998"/>
      <w:bookmarkStart w:id="281" w:name="_Toc986"/>
      <w:bookmarkStart w:id="282" w:name="_Toc18061"/>
      <w:bookmarkStart w:id="283" w:name="_Toc8686"/>
      <w:bookmarkStart w:id="284" w:name="_Toc6735"/>
      <w:bookmarkStart w:id="285" w:name="_Toc23082"/>
      <w:bookmarkStart w:id="286" w:name="_Toc26696"/>
      <w:bookmarkStart w:id="287" w:name="_Toc26039"/>
      <w:bookmarkStart w:id="288" w:name="_Toc9016"/>
      <w:bookmarkStart w:id="289" w:name="_Toc25369"/>
      <w:r>
        <w:rPr>
          <w:rFonts w:ascii="Times New Roman" w:hAnsi="Times New Roman" w:eastAsia="方正楷体_GBK"/>
          <w:b/>
          <w:sz w:val="32"/>
          <w:szCs w:val="32"/>
        </w:rPr>
        <w:t>第一节  深入打好污染防治攻坚战</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改善大气污染治理。实施“散乱污”企业清理整治和县城建筑工地扬尘治理，依法淘汰落后产能，降低能耗和污染物排放量。加强道路行驶机动车抽检和遥感监测，加快淘汰老旧车辆。实施扬尘污染源分类管理。推进餐饮油烟排放智能监管，强化生活污染源深度治理。协同控制细颗粒物（PM2.5）、臭氧（O</w:t>
      </w:r>
      <w:r>
        <w:rPr>
          <w:rFonts w:ascii="Times New Roman" w:hAnsi="Times New Roman" w:eastAsia="方正仿宋_GBK"/>
          <w:bCs/>
          <w:sz w:val="32"/>
          <w:szCs w:val="32"/>
          <w:vertAlign w:val="subscript"/>
        </w:rPr>
        <w:t>3</w:t>
      </w:r>
      <w:r>
        <w:rPr>
          <w:rFonts w:ascii="Times New Roman" w:hAnsi="Times New Roman" w:eastAsia="方正仿宋_GBK"/>
          <w:bCs/>
          <w:sz w:val="32"/>
          <w:szCs w:val="32"/>
        </w:rPr>
        <w:t>）、氮氧化物（NOX）、二氧化硫（SO</w:t>
      </w:r>
      <w:r>
        <w:rPr>
          <w:rFonts w:ascii="Times New Roman" w:hAnsi="Times New Roman" w:eastAsia="方正仿宋_GBK"/>
          <w:bCs/>
          <w:sz w:val="32"/>
          <w:szCs w:val="32"/>
          <w:vertAlign w:val="subscript"/>
        </w:rPr>
        <w:t>2</w:t>
      </w:r>
      <w:r>
        <w:rPr>
          <w:rFonts w:ascii="Times New Roman" w:hAnsi="Times New Roman" w:eastAsia="方正仿宋_GBK"/>
          <w:bCs/>
          <w:sz w:val="32"/>
          <w:szCs w:val="32"/>
        </w:rPr>
        <w:t>）等重点污染因子。城区年空气质量优良天数保持在350天以上，持续巩固提升“城口蓝”。</w:t>
      </w: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改善水环境质量。完善水体监测网络，建立上下游水质信息共享和异常响应机制。推进工业污水废水治理，全面实行排污许可制。加大城乡污水处理设施建设力度，实现城乡建成区污水管网全覆盖，污水全收集、全处理。深入整治非法采沙、非法占用岸线、非法污染排放，坚持水污染治理、水生态修复、水资源保护“三水共治”。系统推进工业、农业、生活、河道污染源“四源齐控”，严厉打击生活污水、工业废水直排散排，分级分类精准管控。纳入国家考核的出境地表水断面水质始终保持在</w:t>
      </w:r>
      <w:r>
        <w:rPr>
          <w:rFonts w:hint="eastAsia" w:ascii="宋体" w:hAnsi="宋体" w:cs="宋体"/>
          <w:bCs/>
          <w:sz w:val="32"/>
          <w:szCs w:val="32"/>
        </w:rPr>
        <w:t>Ⅱ</w:t>
      </w:r>
      <w:r>
        <w:rPr>
          <w:rFonts w:ascii="Times New Roman" w:hAnsi="Times New Roman" w:eastAsia="方正仿宋_GBK"/>
          <w:bCs/>
          <w:sz w:val="32"/>
          <w:szCs w:val="32"/>
        </w:rPr>
        <w:t>类以上，集中式饮用水水源地水质优良比例保持100%。</w:t>
      </w:r>
    </w:p>
    <w:p>
      <w:pPr>
        <w:overflowPunct w:val="0"/>
        <w:adjustRightInd w:val="0"/>
        <w:snapToGrid w:val="0"/>
        <w:spacing w:line="560" w:lineRule="exact"/>
        <w:ind w:firstLine="640" w:firstLineChars="200"/>
        <w:rPr>
          <w:rFonts w:ascii="Times New Roman" w:hAnsi="Times New Roman" w:eastAsia="方正仿宋_GBK"/>
          <w:bCs/>
          <w:sz w:val="32"/>
          <w:szCs w:val="32"/>
        </w:rPr>
      </w:pPr>
      <w:bookmarkStart w:id="290" w:name="_Toc59949976"/>
      <w:r>
        <w:rPr>
          <w:rFonts w:ascii="Times New Roman" w:hAnsi="Times New Roman" w:eastAsia="方正仿宋_GBK"/>
          <w:bCs/>
          <w:sz w:val="32"/>
          <w:szCs w:val="32"/>
        </w:rPr>
        <w:t>加强土壤污染及固废危废治理</w:t>
      </w:r>
      <w:bookmarkEnd w:id="290"/>
      <w:r>
        <w:rPr>
          <w:rFonts w:ascii="Times New Roman" w:hAnsi="Times New Roman" w:eastAsia="方正仿宋_GBK"/>
          <w:bCs/>
          <w:sz w:val="32"/>
          <w:szCs w:val="32"/>
        </w:rPr>
        <w:t>。以工业园区、矿山企业、受污染地块和地下水为重点，开展土壤污染问题综合治理。严控农业面源污染，推进化肥、农药减量化，推广使用有机肥和生物药。加强固体废物的安全处置，推动固体废物源头减量和资源循环利用，推进固体废物区域转移合作，科学规划建设工业固体废物资源回收点和危险废物处置中心，城乡医疗卫生机构医疗废物集中无害化处置实现全覆盖。加快城乡生活垃圾焚烧设施和厨余垃圾资源利用设施。重视新污染物治理。</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防治噪声污染。实施城市声功能区网格管理，建立噪声监测网络。推进“安静居住小区”建设，加强营业性文化娱乐场所、商业经营活动噪声污染防治，强化社区复合型噪声污染监管，重点查处噪声敏感区噪声违法行为。强化交通、工程建设、工业等噪声污染管控。</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91" w:name="_Toc1241"/>
      <w:bookmarkStart w:id="292" w:name="_Toc13768"/>
      <w:bookmarkStart w:id="293" w:name="_Toc30402"/>
      <w:bookmarkStart w:id="294" w:name="_Toc6670"/>
      <w:bookmarkStart w:id="295" w:name="_Toc28972"/>
      <w:bookmarkStart w:id="296" w:name="_Toc29010"/>
      <w:bookmarkStart w:id="297" w:name="_Toc8727"/>
      <w:bookmarkStart w:id="298" w:name="_Toc9581"/>
      <w:bookmarkStart w:id="299" w:name="_Toc2725"/>
      <w:bookmarkStart w:id="300" w:name="_Toc11932"/>
      <w:bookmarkStart w:id="301" w:name="_Toc30167"/>
      <w:bookmarkStart w:id="302" w:name="_Toc25769"/>
      <w:bookmarkStart w:id="303" w:name="_Toc8903"/>
      <w:bookmarkStart w:id="304" w:name="_Toc23673"/>
      <w:bookmarkStart w:id="305" w:name="_Toc15524"/>
      <w:bookmarkStart w:id="306" w:name="_Toc2081"/>
      <w:bookmarkStart w:id="307" w:name="_Toc21159"/>
      <w:bookmarkStart w:id="308" w:name="_Toc9415"/>
      <w:bookmarkStart w:id="309" w:name="_Toc59949977"/>
      <w:r>
        <w:rPr>
          <w:rFonts w:ascii="Times New Roman" w:hAnsi="Times New Roman" w:eastAsia="方正楷体_GBK"/>
          <w:b/>
          <w:sz w:val="32"/>
          <w:szCs w:val="32"/>
        </w:rPr>
        <w:t>第二节  严密防控环境风险</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建立全过程、多层级环境风险防范和应急处置体系，夯实生态环境监测预警能力建设和技术储备，有效防范和降低生态环境风险。紧盯危险废物、尾矿库、化学品“一废一库一品”环境监管，提高危险废物和医疗废物处置能力。落实化学物质生态环境管理制度，深入推进重金属污染防控。强化医疗机构放射性废物和电磁环境管理。</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310" w:name="_Toc7557"/>
      <w:bookmarkStart w:id="311" w:name="_Toc31972"/>
      <w:bookmarkStart w:id="312" w:name="_Toc3824"/>
      <w:bookmarkStart w:id="313" w:name="_Toc25353"/>
      <w:bookmarkStart w:id="314" w:name="_Toc26644"/>
      <w:bookmarkStart w:id="315" w:name="_Toc24747"/>
      <w:bookmarkStart w:id="316" w:name="_Toc11680"/>
      <w:bookmarkStart w:id="317" w:name="_Toc16365"/>
      <w:bookmarkStart w:id="318" w:name="_Toc4649"/>
      <w:bookmarkStart w:id="319" w:name="_Toc3842"/>
      <w:bookmarkStart w:id="320" w:name="_Toc60651957"/>
      <w:bookmarkStart w:id="321" w:name="_Toc25042"/>
      <w:bookmarkStart w:id="322" w:name="_Toc27507"/>
      <w:bookmarkStart w:id="323" w:name="_Toc19686"/>
      <w:bookmarkStart w:id="324" w:name="_Toc16959"/>
      <w:bookmarkStart w:id="325" w:name="_Toc31887"/>
      <w:bookmarkStart w:id="326" w:name="_Toc28195"/>
      <w:bookmarkStart w:id="327" w:name="_Toc11437"/>
      <w:bookmarkStart w:id="328" w:name="_Toc18938"/>
      <w:r>
        <w:rPr>
          <w:rFonts w:ascii="Times New Roman" w:hAnsi="Times New Roman" w:eastAsia="方正楷体_GBK"/>
          <w:b/>
          <w:sz w:val="32"/>
          <w:szCs w:val="32"/>
        </w:rPr>
        <w:t>第三节  健全环境治理机制</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overflowPunct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bCs/>
          <w:sz w:val="32"/>
          <w:szCs w:val="32"/>
        </w:rPr>
        <w:t>用最严格的制度、最严密的法治保护生态环境。</w:t>
      </w:r>
      <w:r>
        <w:rPr>
          <w:rFonts w:ascii="Times New Roman" w:hAnsi="Times New Roman" w:eastAsia="方正仿宋_GBK"/>
          <w:sz w:val="32"/>
          <w:szCs w:val="32"/>
        </w:rPr>
        <w:t>建立健全环境治理领导责任体系、企业责任体系和全民行为约束监督机制。严格执行长江经济带发展负面清单和国家生态功能区负面清单管理制度，建立健全生态环境硬约束机制。严格执行重大基础设施建设项目环境影响评价制度。实行固定源头排污许可全覆盖，建立健全企业环保信用评价制度。严格执行污染地块开发利用负面清单。推动环境污染第三方治理，探索环境治理托管试点。全面实施污染源日常检查“双随机、一公开”制度，完善生态环境公益诉讼制度。</w:t>
      </w:r>
      <w:r>
        <w:rPr>
          <w:rFonts w:ascii="Times New Roman" w:hAnsi="Times New Roman" w:eastAsia="方正仿宋_GBK"/>
          <w:bCs/>
          <w:sz w:val="32"/>
          <w:szCs w:val="32"/>
        </w:rPr>
        <w:t>建立健全符合生态文明建设要求的领导干部考核目标体系、考核办法、奖惩机制，压实生态文明建设责任。加大生态治理法治力度，巩固提升联防联控联打机制，用法治保障生态建设。广泛推广互联网、大数据、智能化等技术在生态环保领域的应用，提高生态建设智能化水平</w:t>
      </w:r>
      <w:r>
        <w:rPr>
          <w:rFonts w:ascii="Times New Roman" w:hAnsi="Times New Roman" w:eastAsia="方正仿宋_GBK"/>
          <w:sz w:val="32"/>
          <w:szCs w:val="32"/>
        </w:rPr>
        <w:t>。</w:t>
      </w:r>
    </w:p>
    <w:bookmarkEnd w:id="309"/>
    <w:p>
      <w:pPr>
        <w:overflowPunct w:val="0"/>
        <w:spacing w:line="480" w:lineRule="exact"/>
        <w:jc w:val="center"/>
        <w:rPr>
          <w:rFonts w:ascii="Times New Roman" w:hAnsi="Times New Roman" w:eastAsia="方正黑体_GBK"/>
          <w:sz w:val="28"/>
          <w:szCs w:val="28"/>
        </w:rPr>
      </w:pPr>
      <w:bookmarkStart w:id="329" w:name="_Toc59949978"/>
      <w:bookmarkStart w:id="330" w:name="_Toc60651958"/>
      <w:r>
        <w:rPr>
          <w:rFonts w:ascii="Times New Roman" w:hAnsi="Times New Roman" w:eastAsia="方正黑体_GBK"/>
          <w:sz w:val="28"/>
          <w:szCs w:val="28"/>
        </w:rPr>
        <w:t>专栏3  生态修复与环境治理重点工程</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2" w:firstLineChars="200"/>
              <w:rPr>
                <w:rFonts w:ascii="Times New Roman" w:hAnsi="Times New Roman" w:eastAsia="方正仿宋_GBK"/>
                <w:b/>
                <w:bCs/>
                <w:sz w:val="24"/>
                <w:szCs w:val="32"/>
              </w:rPr>
            </w:pPr>
            <w:r>
              <w:rPr>
                <w:rFonts w:ascii="Times New Roman" w:hAnsi="Times New Roman" w:eastAsia="方正仿宋_GBK"/>
                <w:b/>
                <w:bCs/>
                <w:sz w:val="24"/>
                <w:szCs w:val="32"/>
              </w:rPr>
              <w:t>山水林田湖草生态系统保护修复</w:t>
            </w:r>
          </w:p>
          <w:p>
            <w:pPr>
              <w:overflowPunct w:val="0"/>
              <w:spacing w:line="400" w:lineRule="exact"/>
              <w:ind w:firstLine="480" w:firstLineChars="200"/>
              <w:rPr>
                <w:rFonts w:ascii="Times New Roman" w:hAnsi="Times New Roman" w:eastAsia="方正仿宋_GBK"/>
                <w:sz w:val="24"/>
                <w:szCs w:val="32"/>
              </w:rPr>
            </w:pPr>
            <w:r>
              <w:rPr>
                <w:rFonts w:ascii="Times New Roman" w:hAnsi="Times New Roman" w:eastAsia="方正仿宋_GBK"/>
                <w:sz w:val="24"/>
                <w:szCs w:val="32"/>
              </w:rPr>
              <w:t>大巴山湿地保护和周边生态修复项目。对巴山湖湿地公园周边2.9万亩土地实施生态修复。</w:t>
            </w:r>
          </w:p>
          <w:p>
            <w:pPr>
              <w:overflowPunct w:val="0"/>
              <w:spacing w:line="400" w:lineRule="exact"/>
              <w:ind w:firstLine="480" w:firstLineChars="200"/>
              <w:rPr>
                <w:rFonts w:ascii="Times New Roman" w:hAnsi="Times New Roman" w:eastAsia="方正仿宋_GBK"/>
                <w:sz w:val="24"/>
                <w:szCs w:val="32"/>
              </w:rPr>
            </w:pPr>
            <w:r>
              <w:rPr>
                <w:rFonts w:ascii="Times New Roman" w:hAnsi="Times New Roman" w:eastAsia="方正仿宋_GBK"/>
                <w:sz w:val="24"/>
                <w:szCs w:val="32"/>
              </w:rPr>
              <w:t>城口县提升区域水土保持与水源涵养能力项目。县域范围内实施水土保持与水源涵养等工程项目，规模约1.4万亩。</w:t>
            </w:r>
          </w:p>
          <w:p>
            <w:pPr>
              <w:overflowPunct w:val="0"/>
              <w:spacing w:line="400" w:lineRule="exact"/>
              <w:ind w:firstLine="480" w:firstLineChars="200"/>
              <w:rPr>
                <w:rFonts w:ascii="Times New Roman" w:hAnsi="Times New Roman" w:eastAsia="方正仿宋_GBK"/>
                <w:sz w:val="24"/>
                <w:szCs w:val="32"/>
              </w:rPr>
            </w:pPr>
            <w:r>
              <w:rPr>
                <w:rFonts w:ascii="Times New Roman" w:hAnsi="Times New Roman" w:eastAsia="方正仿宋_GBK"/>
                <w:sz w:val="24"/>
                <w:szCs w:val="32"/>
              </w:rPr>
              <w:t>城口县大巴山生态保护和修复项目。实施人工造林1万亩、封山育林22万亩、退化林修复和森林质量精准提升15万亩。</w:t>
            </w:r>
          </w:p>
          <w:p>
            <w:pPr>
              <w:overflowPunct w:val="0"/>
              <w:spacing w:line="400" w:lineRule="exact"/>
              <w:ind w:firstLine="480" w:firstLineChars="200"/>
              <w:rPr>
                <w:rFonts w:ascii="Times New Roman" w:hAnsi="Times New Roman" w:eastAsia="方正仿宋_GBK"/>
                <w:sz w:val="24"/>
                <w:szCs w:val="32"/>
              </w:rPr>
            </w:pPr>
            <w:r>
              <w:rPr>
                <w:rFonts w:ascii="Times New Roman" w:hAnsi="Times New Roman" w:eastAsia="方正仿宋_GBK"/>
                <w:sz w:val="24"/>
                <w:szCs w:val="32"/>
              </w:rPr>
              <w:t>城口县历史遗留矿山生态修复治理项目。对全县848亩历史遗留矿山生态问题和地质环境问题进行综合整治。</w:t>
            </w:r>
          </w:p>
          <w:p>
            <w:pPr>
              <w:overflowPunct w:val="0"/>
              <w:spacing w:line="400" w:lineRule="exact"/>
              <w:ind w:firstLine="482" w:firstLineChars="200"/>
              <w:rPr>
                <w:rFonts w:ascii="Times New Roman" w:hAnsi="Times New Roman" w:eastAsia="方正仿宋_GBK"/>
                <w:b/>
                <w:bCs/>
                <w:sz w:val="24"/>
                <w:szCs w:val="32"/>
              </w:rPr>
            </w:pPr>
            <w:r>
              <w:rPr>
                <w:rFonts w:ascii="Times New Roman" w:hAnsi="Times New Roman" w:eastAsia="方正仿宋_GBK"/>
                <w:b/>
                <w:bCs/>
                <w:sz w:val="24"/>
                <w:szCs w:val="32"/>
              </w:rPr>
              <w:t>大巴山生物多样性保护工程</w:t>
            </w:r>
          </w:p>
          <w:p>
            <w:pPr>
              <w:widowControl/>
              <w:overflowPunct w:val="0"/>
              <w:spacing w:line="400" w:lineRule="exact"/>
              <w:ind w:firstLine="480" w:firstLineChars="200"/>
              <w:jc w:val="left"/>
              <w:rPr>
                <w:rFonts w:ascii="Times New Roman" w:hAnsi="Times New Roman" w:eastAsia="方正仿宋_GBK"/>
                <w:sz w:val="24"/>
                <w:szCs w:val="32"/>
              </w:rPr>
            </w:pPr>
            <w:r>
              <w:rPr>
                <w:rFonts w:ascii="Times New Roman" w:hAnsi="Times New Roman" w:eastAsia="方正仿宋_GBK"/>
                <w:sz w:val="24"/>
                <w:szCs w:val="32"/>
              </w:rPr>
              <w:t>建设大巴山生态廊道300公里，推动大巴山国家自然保护区、九重山国家森林公园、九重山风景名胜区、巴山湖国家湿地公园与红池坝国家森林公园、八台山国家5A级旅游景区等周边重点生态功能区相连接，实现对全县的森林生态系统、河流生态系统、亚高山湖泊生态系统、亚高山湿地生态系统、亚高山草甸生态系统等重要生态系统的保护。建立5个野生动物救助站。建设陆生野生动物疫源疫病监测中心，完善陆生野生疫源疫病检测体系。建设大巴山生物多样性基因库、大巴山种质资源库、大巴山野生动植物标本展示馆科普和科研基地。</w:t>
            </w:r>
          </w:p>
          <w:p>
            <w:pPr>
              <w:overflowPunct w:val="0"/>
              <w:spacing w:line="400" w:lineRule="exact"/>
              <w:ind w:firstLine="482" w:firstLineChars="200"/>
              <w:rPr>
                <w:rFonts w:ascii="Times New Roman" w:hAnsi="Times New Roman" w:eastAsia="方正仿宋_GBK"/>
                <w:b/>
                <w:bCs/>
                <w:sz w:val="24"/>
                <w:szCs w:val="32"/>
              </w:rPr>
            </w:pPr>
            <w:r>
              <w:rPr>
                <w:rFonts w:ascii="Times New Roman" w:hAnsi="Times New Roman" w:eastAsia="方正仿宋_GBK"/>
                <w:b/>
                <w:bCs/>
                <w:sz w:val="24"/>
                <w:szCs w:val="32"/>
              </w:rPr>
              <w:t>国家储备林建设工程</w:t>
            </w:r>
          </w:p>
          <w:p>
            <w:pPr>
              <w:overflowPunct w:val="0"/>
              <w:spacing w:line="400" w:lineRule="exact"/>
              <w:ind w:firstLine="480" w:firstLineChars="200"/>
              <w:rPr>
                <w:rFonts w:ascii="Times New Roman" w:hAnsi="Times New Roman" w:eastAsia="方正仿宋_GBK"/>
                <w:sz w:val="24"/>
                <w:szCs w:val="32"/>
              </w:rPr>
            </w:pPr>
            <w:r>
              <w:rPr>
                <w:rFonts w:ascii="Times New Roman" w:hAnsi="Times New Roman" w:eastAsia="方正仿宋_GBK"/>
                <w:sz w:val="24"/>
                <w:szCs w:val="32"/>
              </w:rPr>
              <w:t>城口县国家储备林示范基地建设项目。建设城口县国家优质储备林基地60万亩，储备林保障性苗圃0.1万亩及配套基础设施。</w:t>
            </w:r>
          </w:p>
          <w:p>
            <w:pPr>
              <w:overflowPunct w:val="0"/>
              <w:spacing w:line="400" w:lineRule="exact"/>
              <w:ind w:firstLine="482" w:firstLineChars="200"/>
              <w:rPr>
                <w:rFonts w:ascii="Times New Roman" w:hAnsi="Times New Roman" w:eastAsia="方正仿宋_GBK"/>
                <w:sz w:val="24"/>
                <w:szCs w:val="32"/>
              </w:rPr>
            </w:pPr>
            <w:r>
              <w:rPr>
                <w:rFonts w:ascii="Times New Roman" w:hAnsi="Times New Roman" w:eastAsia="方正仿宋_GBK"/>
                <w:b/>
                <w:bCs/>
                <w:sz w:val="24"/>
                <w:szCs w:val="32"/>
              </w:rPr>
              <w:t>地质灾害防治工程</w:t>
            </w:r>
          </w:p>
          <w:p>
            <w:pPr>
              <w:overflowPunct w:val="0"/>
              <w:spacing w:line="400" w:lineRule="exact"/>
              <w:ind w:firstLine="480" w:firstLineChars="200"/>
              <w:rPr>
                <w:rFonts w:ascii="Times New Roman" w:hAnsi="Times New Roman" w:eastAsia="方正仿宋_GBK"/>
                <w:sz w:val="24"/>
                <w:szCs w:val="32"/>
              </w:rPr>
            </w:pPr>
            <w:r>
              <w:rPr>
                <w:rFonts w:ascii="Times New Roman" w:hAnsi="Times New Roman" w:eastAsia="方正仿宋_GBK"/>
                <w:sz w:val="24"/>
                <w:szCs w:val="32"/>
              </w:rPr>
              <w:t>城口县地质灾害综合治理项目。全县30余处地质灾害隐患点治理。</w:t>
            </w:r>
          </w:p>
          <w:p>
            <w:pPr>
              <w:overflowPunct w:val="0"/>
              <w:spacing w:line="400" w:lineRule="exact"/>
              <w:ind w:firstLine="482" w:firstLineChars="200"/>
              <w:rPr>
                <w:rFonts w:ascii="Times New Roman" w:hAnsi="Times New Roman" w:eastAsia="方正仿宋_GBK"/>
                <w:b/>
                <w:bCs/>
                <w:sz w:val="24"/>
                <w:szCs w:val="32"/>
              </w:rPr>
            </w:pPr>
            <w:r>
              <w:rPr>
                <w:rFonts w:ascii="Times New Roman" w:hAnsi="Times New Roman" w:eastAsia="方正仿宋_GBK"/>
                <w:b/>
                <w:bCs/>
                <w:sz w:val="24"/>
                <w:szCs w:val="32"/>
              </w:rPr>
              <w:t>大气环境治理工程</w:t>
            </w:r>
          </w:p>
          <w:p>
            <w:pPr>
              <w:overflowPunct w:val="0"/>
              <w:spacing w:line="400" w:lineRule="exact"/>
              <w:ind w:firstLine="480" w:firstLineChars="200"/>
              <w:rPr>
                <w:rFonts w:ascii="Times New Roman" w:hAnsi="Times New Roman" w:eastAsia="方正仿宋_GBK"/>
                <w:sz w:val="24"/>
                <w:szCs w:val="32"/>
              </w:rPr>
            </w:pPr>
            <w:r>
              <w:rPr>
                <w:rFonts w:ascii="Times New Roman" w:hAnsi="Times New Roman" w:eastAsia="方正仿宋_GBK"/>
                <w:sz w:val="24"/>
                <w:szCs w:val="32"/>
              </w:rPr>
              <w:t>推行激励与约束并举的节能减排措施，减少污染物排放、推行清洁生产、加快调整能源消费结构。</w:t>
            </w:r>
          </w:p>
          <w:p>
            <w:pPr>
              <w:overflowPunct w:val="0"/>
              <w:spacing w:line="400" w:lineRule="exact"/>
              <w:ind w:firstLine="482" w:firstLineChars="200"/>
              <w:rPr>
                <w:rFonts w:ascii="Times New Roman" w:hAnsi="Times New Roman" w:eastAsia="方正仿宋_GBK"/>
                <w:b/>
                <w:bCs/>
                <w:sz w:val="24"/>
                <w:szCs w:val="32"/>
              </w:rPr>
            </w:pPr>
            <w:r>
              <w:rPr>
                <w:rFonts w:ascii="Times New Roman" w:hAnsi="Times New Roman" w:eastAsia="方正仿宋_GBK"/>
                <w:b/>
                <w:bCs/>
                <w:sz w:val="24"/>
                <w:szCs w:val="32"/>
              </w:rPr>
              <w:t>水环境治理</w:t>
            </w:r>
          </w:p>
          <w:p>
            <w:pPr>
              <w:overflowPunct w:val="0"/>
              <w:spacing w:line="400" w:lineRule="exact"/>
              <w:ind w:firstLine="480" w:firstLineChars="200"/>
              <w:rPr>
                <w:rFonts w:ascii="Times New Roman" w:hAnsi="Times New Roman" w:eastAsia="方正仿宋_GBK"/>
                <w:sz w:val="24"/>
                <w:szCs w:val="32"/>
              </w:rPr>
            </w:pPr>
            <w:r>
              <w:rPr>
                <w:rFonts w:ascii="Times New Roman" w:hAnsi="Times New Roman" w:eastAsia="方正仿宋_GBK"/>
                <w:sz w:val="24"/>
                <w:szCs w:val="32"/>
              </w:rPr>
              <w:t>城口县长江经济带绿色发展任河生态环境综合治理工程。启动实施任河（修齐镇段）河道综合治理13.98公里。</w:t>
            </w:r>
          </w:p>
          <w:p>
            <w:pPr>
              <w:overflowPunct w:val="0"/>
              <w:spacing w:line="400" w:lineRule="exact"/>
              <w:ind w:firstLine="482" w:firstLineChars="200"/>
              <w:rPr>
                <w:rFonts w:ascii="Times New Roman" w:hAnsi="Times New Roman" w:eastAsia="方正仿宋_GBK"/>
                <w:b/>
                <w:bCs/>
                <w:sz w:val="24"/>
                <w:szCs w:val="32"/>
              </w:rPr>
            </w:pPr>
            <w:r>
              <w:rPr>
                <w:rFonts w:ascii="Times New Roman" w:hAnsi="Times New Roman" w:eastAsia="方正仿宋_GBK"/>
                <w:b/>
                <w:bCs/>
                <w:sz w:val="24"/>
                <w:szCs w:val="32"/>
              </w:rPr>
              <w:t>土壤环境治理</w:t>
            </w:r>
          </w:p>
          <w:p>
            <w:pPr>
              <w:overflowPunct w:val="0"/>
              <w:spacing w:line="400" w:lineRule="exact"/>
              <w:ind w:firstLine="480" w:firstLineChars="200"/>
              <w:rPr>
                <w:rFonts w:ascii="Times New Roman" w:hAnsi="Times New Roman" w:eastAsia="方正仿宋_GBK"/>
                <w:sz w:val="24"/>
                <w:szCs w:val="32"/>
              </w:rPr>
            </w:pPr>
            <w:r>
              <w:rPr>
                <w:rFonts w:ascii="Times New Roman" w:hAnsi="Times New Roman" w:eastAsia="方正仿宋_GBK"/>
                <w:sz w:val="24"/>
                <w:szCs w:val="32"/>
              </w:rPr>
              <w:t>畜禽粪污资源化利用项目。在县域内畜禽规模化养殖基地推动粪污资源化利用。</w:t>
            </w:r>
          </w:p>
          <w:p>
            <w:pPr>
              <w:overflowPunct w:val="0"/>
              <w:spacing w:line="400" w:lineRule="exact"/>
              <w:ind w:firstLine="480" w:firstLineChars="200"/>
              <w:rPr>
                <w:rFonts w:ascii="Times New Roman" w:hAnsi="Times New Roman" w:eastAsia="方正仿宋_GBK"/>
                <w:sz w:val="24"/>
                <w:szCs w:val="32"/>
              </w:rPr>
            </w:pPr>
            <w:r>
              <w:rPr>
                <w:rFonts w:ascii="Times New Roman" w:hAnsi="Times New Roman" w:eastAsia="方正仿宋_GBK"/>
                <w:sz w:val="24"/>
                <w:szCs w:val="32"/>
              </w:rPr>
              <w:t>城口县秸秆资源化利用项目。建立秸秆收储运体系，建设秸秆综合利用示范点3个，示范村3个，开展秸秆综合利用推广，秸秆综合利用率达到90%以上。</w:t>
            </w:r>
          </w:p>
          <w:p>
            <w:pPr>
              <w:overflowPunct w:val="0"/>
              <w:spacing w:line="400" w:lineRule="exact"/>
              <w:ind w:firstLine="482" w:firstLineChars="200"/>
              <w:rPr>
                <w:rFonts w:ascii="Times New Roman" w:hAnsi="Times New Roman" w:eastAsia="方正仿宋_GBK"/>
                <w:b/>
                <w:bCs/>
                <w:sz w:val="24"/>
                <w:szCs w:val="32"/>
              </w:rPr>
            </w:pPr>
            <w:r>
              <w:rPr>
                <w:rFonts w:ascii="Times New Roman" w:hAnsi="Times New Roman" w:eastAsia="方正仿宋_GBK"/>
                <w:b/>
                <w:bCs/>
                <w:sz w:val="24"/>
                <w:szCs w:val="32"/>
              </w:rPr>
              <w:t>固体废物处置</w:t>
            </w:r>
          </w:p>
          <w:p>
            <w:pPr>
              <w:overflowPunct w:val="0"/>
              <w:spacing w:line="400" w:lineRule="exact"/>
              <w:ind w:firstLine="480" w:firstLineChars="200"/>
              <w:rPr>
                <w:rFonts w:ascii="Times New Roman" w:hAnsi="Times New Roman" w:eastAsia="方正仿宋_GBK"/>
                <w:sz w:val="24"/>
                <w:szCs w:val="32"/>
              </w:rPr>
            </w:pPr>
            <w:r>
              <w:rPr>
                <w:rFonts w:ascii="Times New Roman" w:hAnsi="Times New Roman" w:eastAsia="方正仿宋_GBK"/>
                <w:sz w:val="24"/>
                <w:szCs w:val="32"/>
              </w:rPr>
              <w:t>城口县垃圾综合处置场建设项目。新建一座年处理3万吨生活垃圾处理厂，新建一座日处理能力50吨的餐厨垃圾处理厂，迁建日处理能力20吨的污泥处置场，建成医疗废物集中处置工程，升级改造垃圾分类收运设施设备。</w:t>
            </w:r>
          </w:p>
          <w:p>
            <w:pPr>
              <w:overflowPunct w:val="0"/>
              <w:spacing w:line="400" w:lineRule="exact"/>
              <w:ind w:firstLine="480" w:firstLineChars="200"/>
              <w:rPr>
                <w:rFonts w:ascii="Times New Roman" w:hAnsi="Times New Roman" w:eastAsia="方正仿宋_GBK"/>
                <w:sz w:val="24"/>
                <w:szCs w:val="32"/>
              </w:rPr>
            </w:pPr>
            <w:r>
              <w:rPr>
                <w:rFonts w:ascii="Times New Roman" w:hAnsi="Times New Roman" w:eastAsia="方正仿宋_GBK"/>
                <w:sz w:val="24"/>
                <w:szCs w:val="32"/>
              </w:rPr>
              <w:t>城口县锰矿废渣场建设项目。新建120万立方米锰矿废渣处置场。</w:t>
            </w:r>
          </w:p>
          <w:p>
            <w:pPr>
              <w:overflowPunct w:val="0"/>
              <w:spacing w:line="400" w:lineRule="exact"/>
              <w:ind w:firstLine="482" w:firstLineChars="200"/>
              <w:rPr>
                <w:rFonts w:ascii="Times New Roman" w:hAnsi="Times New Roman" w:eastAsia="方正仿宋_GBK"/>
                <w:b/>
                <w:bCs/>
                <w:sz w:val="24"/>
                <w:szCs w:val="32"/>
              </w:rPr>
            </w:pPr>
            <w:r>
              <w:rPr>
                <w:rFonts w:ascii="Times New Roman" w:hAnsi="Times New Roman" w:eastAsia="方正仿宋_GBK"/>
                <w:b/>
                <w:bCs/>
                <w:sz w:val="24"/>
                <w:szCs w:val="32"/>
              </w:rPr>
              <w:t>噪声污染防治工程</w:t>
            </w:r>
          </w:p>
          <w:p>
            <w:pPr>
              <w:overflowPunct w:val="0"/>
              <w:spacing w:line="400" w:lineRule="exact"/>
              <w:ind w:firstLine="480" w:firstLineChars="200"/>
              <w:rPr>
                <w:rFonts w:ascii="Times New Roman" w:hAnsi="Times New Roman" w:eastAsia="方正仿宋_GBK"/>
                <w:sz w:val="24"/>
                <w:szCs w:val="32"/>
              </w:rPr>
            </w:pPr>
            <w:r>
              <w:rPr>
                <w:rFonts w:ascii="Times New Roman" w:hAnsi="Times New Roman" w:eastAsia="方正仿宋_GBK"/>
                <w:sz w:val="24"/>
                <w:szCs w:val="32"/>
              </w:rPr>
              <w:t>城区噪声治理工程。在居住小区、学校、医院等重点区域布置噪声监测设备，提升噪声监测能力，加强城区内噪声管理。</w:t>
            </w:r>
          </w:p>
        </w:tc>
      </w:tr>
    </w:tbl>
    <w:p>
      <w:pPr>
        <w:overflowPunct w:val="0"/>
        <w:rPr>
          <w:rFonts w:ascii="Times New Roman" w:hAnsi="Times New Roman" w:eastAsia="方正黑体_GBK"/>
          <w:b/>
          <w:bCs/>
          <w:kern w:val="44"/>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331" w:name="_Toc1"/>
      <w:bookmarkStart w:id="332" w:name="_Toc32226"/>
      <w:bookmarkStart w:id="333" w:name="_Toc9680"/>
      <w:bookmarkStart w:id="334" w:name="_Toc8614"/>
      <w:bookmarkStart w:id="335" w:name="_Toc7002"/>
      <w:bookmarkStart w:id="336" w:name="_Toc13326"/>
      <w:bookmarkStart w:id="337" w:name="_Toc16964"/>
      <w:bookmarkStart w:id="338" w:name="_Toc19056"/>
      <w:bookmarkStart w:id="339" w:name="_Toc7976"/>
      <w:bookmarkStart w:id="340" w:name="_Toc12611"/>
      <w:bookmarkStart w:id="341" w:name="_Toc16647"/>
      <w:bookmarkStart w:id="342" w:name="_Toc7110"/>
      <w:bookmarkStart w:id="343" w:name="_Toc26342"/>
      <w:bookmarkStart w:id="344" w:name="_Toc10640"/>
      <w:bookmarkStart w:id="345" w:name="_Toc13272"/>
      <w:bookmarkStart w:id="346" w:name="_Toc7379"/>
      <w:bookmarkStart w:id="347" w:name="_Toc2855"/>
      <w:bookmarkStart w:id="348" w:name="_Toc8640"/>
      <w:r>
        <w:rPr>
          <w:rFonts w:ascii="Times New Roman" w:hAnsi="Times New Roman" w:eastAsia="方正黑体_GBK"/>
          <w:b/>
          <w:bCs/>
          <w:kern w:val="44"/>
          <w:sz w:val="32"/>
          <w:szCs w:val="32"/>
        </w:rPr>
        <w:t>第六章  加快推动绿色低碳发展</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26"/>
        <w:overflowPunct w:val="0"/>
        <w:adjustRightInd w:val="0"/>
        <w:snapToGrid w:val="0"/>
        <w:spacing w:after="0" w:line="560" w:lineRule="exact"/>
        <w:ind w:leftChars="0" w:firstLine="640" w:firstLineChars="200"/>
        <w:rPr>
          <w:rFonts w:ascii="Times New Roman" w:hAnsi="Times New Roman" w:eastAsia="方正仿宋_GBK"/>
          <w:sz w:val="32"/>
          <w:szCs w:val="32"/>
        </w:rPr>
      </w:pPr>
      <w:r>
        <w:rPr>
          <w:rFonts w:ascii="Times New Roman" w:hAnsi="Times New Roman" w:eastAsia="方正仿宋_GBK"/>
          <w:sz w:val="32"/>
          <w:szCs w:val="32"/>
        </w:rPr>
        <w:t>加快推进生态产业化、产业生态化，全面形成绿色生产方式和生活方式</w:t>
      </w:r>
      <w:bookmarkStart w:id="349" w:name="_Toc60651959"/>
      <w:bookmarkStart w:id="350" w:name="_Toc59949979"/>
      <w:r>
        <w:rPr>
          <w:rFonts w:ascii="Times New Roman" w:hAnsi="Times New Roman" w:eastAsia="方正仿宋_GBK"/>
          <w:sz w:val="32"/>
          <w:szCs w:val="32"/>
        </w:rPr>
        <w:t>，推动人与自然和谐共生。</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351" w:name="_Toc16134"/>
      <w:bookmarkStart w:id="352" w:name="_Toc3412"/>
      <w:bookmarkStart w:id="353" w:name="_Toc21437"/>
      <w:bookmarkStart w:id="354" w:name="_Toc30050"/>
      <w:bookmarkStart w:id="355" w:name="_Toc22946"/>
      <w:bookmarkStart w:id="356" w:name="_Toc24911"/>
      <w:bookmarkStart w:id="357" w:name="_Toc29856"/>
      <w:bookmarkStart w:id="358" w:name="_Toc31219"/>
      <w:bookmarkStart w:id="359" w:name="_Toc5407"/>
      <w:bookmarkStart w:id="360" w:name="_Toc23153"/>
      <w:bookmarkStart w:id="361" w:name="_Toc31267"/>
      <w:bookmarkStart w:id="362" w:name="_Toc29735"/>
      <w:bookmarkStart w:id="363" w:name="_Toc14458"/>
      <w:bookmarkStart w:id="364" w:name="_Toc24403"/>
      <w:bookmarkStart w:id="365" w:name="_Toc8394"/>
      <w:bookmarkStart w:id="366" w:name="_Toc30188"/>
      <w:bookmarkStart w:id="367" w:name="_Toc22895"/>
      <w:bookmarkStart w:id="368" w:name="_Toc3918"/>
      <w:r>
        <w:rPr>
          <w:rFonts w:ascii="Times New Roman" w:hAnsi="Times New Roman" w:eastAsia="方正楷体_GBK"/>
          <w:b/>
          <w:sz w:val="32"/>
          <w:szCs w:val="32"/>
        </w:rPr>
        <w:t>第一节  构建绿色低碳产业体系</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25"/>
        <w:overflowPunct w:val="0"/>
        <w:adjustRightInd w:val="0"/>
        <w:snapToGrid w:val="0"/>
        <w:spacing w:line="560" w:lineRule="exact"/>
        <w:ind w:firstLine="640" w:firstLineChars="200"/>
        <w:rPr>
          <w:rFonts w:ascii="Times New Roman" w:hAnsi="Times New Roman"/>
        </w:rPr>
      </w:pPr>
      <w:r>
        <w:rPr>
          <w:rFonts w:ascii="Times New Roman" w:hAnsi="Times New Roman" w:eastAsia="方正仿宋_GBK"/>
          <w:sz w:val="32"/>
          <w:szCs w:val="32"/>
        </w:rPr>
        <w:t>全面推行“生态+”“+生态”的绿色发展模式，推动产业绿色转型升级，构建以产业生态化和生态产业化为主体的生态经济体系。发展光伏、风电等清洁能源产业，探索建设跨区域垃圾焚烧发电项目，打造城口大巴山新能源基地。深化农业供给侧结构性改革，建立大巴山生态</w:t>
      </w:r>
      <w:r>
        <w:rPr>
          <w:rFonts w:ascii="Times New Roman" w:hAnsi="Times New Roman" w:eastAsia="方正仿宋_GBK"/>
          <w:bCs/>
          <w:sz w:val="32"/>
          <w:szCs w:val="32"/>
        </w:rPr>
        <w:t>经济孵化中心，立足城口生态资源，因地制宜加快发展气候经济、山上经济、水中经济、林下经济等。积极争取国家绿色发展基金支持。</w:t>
      </w:r>
      <w:r>
        <w:rPr>
          <w:rFonts w:ascii="Times New Roman" w:hAnsi="Times New Roman" w:eastAsia="方正仿宋_GBK"/>
          <w:sz w:val="32"/>
          <w:szCs w:val="32"/>
        </w:rPr>
        <w:t>开展工业园区清洁生产试点，建设绿色工厂、绿色园区。开展绿色矿山建设，促进锰矿产业改良工艺、升级环保设备，实现绿色生产。推动商贸物流、交通运输、餐饮服务业绿色转型。</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369" w:name="_Toc8064"/>
      <w:bookmarkStart w:id="370" w:name="_Toc9274"/>
      <w:bookmarkStart w:id="371" w:name="_Toc4484"/>
      <w:bookmarkStart w:id="372" w:name="_Toc1099"/>
      <w:bookmarkStart w:id="373" w:name="_Toc14799"/>
      <w:bookmarkStart w:id="374" w:name="_Toc24202"/>
      <w:bookmarkStart w:id="375" w:name="_Toc29799"/>
      <w:bookmarkStart w:id="376" w:name="_Toc13684"/>
      <w:bookmarkStart w:id="377" w:name="_Toc15367"/>
      <w:bookmarkStart w:id="378" w:name="_Toc14861"/>
      <w:bookmarkStart w:id="379" w:name="_Toc3285"/>
      <w:bookmarkStart w:id="380" w:name="_Toc21649"/>
      <w:bookmarkStart w:id="381" w:name="_Toc60651960"/>
      <w:bookmarkStart w:id="382" w:name="_Toc5179"/>
      <w:bookmarkStart w:id="383" w:name="_Toc838"/>
      <w:bookmarkStart w:id="384" w:name="_Toc59949980"/>
      <w:bookmarkStart w:id="385" w:name="_Toc30905"/>
      <w:bookmarkStart w:id="386" w:name="_Toc25683"/>
      <w:bookmarkStart w:id="387" w:name="_Toc11987"/>
      <w:bookmarkStart w:id="388" w:name="_Toc11315"/>
      <w:r>
        <w:rPr>
          <w:rFonts w:ascii="Times New Roman" w:hAnsi="Times New Roman" w:eastAsia="方正楷体_GBK"/>
          <w:b/>
          <w:sz w:val="32"/>
          <w:szCs w:val="32"/>
        </w:rPr>
        <w:t>第二节  积极应对气候变化</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overflowPunct w:val="0"/>
        <w:adjustRightInd w:val="0"/>
        <w:snapToGrid w:val="0"/>
        <w:spacing w:line="560" w:lineRule="exact"/>
        <w:ind w:firstLine="641"/>
        <w:rPr>
          <w:rFonts w:ascii="Times New Roman" w:hAnsi="Times New Roman" w:eastAsia="方正仿宋_GBK"/>
          <w:sz w:val="32"/>
          <w:szCs w:val="32"/>
        </w:rPr>
      </w:pPr>
      <w:r>
        <w:rPr>
          <w:rFonts w:ascii="Times New Roman" w:hAnsi="Times New Roman" w:eastAsia="方正仿宋_GBK"/>
          <w:sz w:val="32"/>
          <w:szCs w:val="32"/>
        </w:rPr>
        <w:t>牢固树立绿色低碳发展理念，</w:t>
      </w:r>
      <w:r>
        <w:rPr>
          <w:rFonts w:ascii="Times New Roman" w:hAnsi="Times New Roman" w:eastAsia="方正仿宋_GBK"/>
          <w:bCs/>
          <w:sz w:val="32"/>
          <w:szCs w:val="32"/>
        </w:rPr>
        <w:t>落实碳达峰、碳中和任务</w:t>
      </w:r>
      <w:r>
        <w:rPr>
          <w:rFonts w:ascii="Times New Roman" w:hAnsi="Times New Roman" w:eastAsia="方正仿宋_GBK"/>
          <w:sz w:val="32"/>
          <w:szCs w:val="32"/>
        </w:rPr>
        <w:t>。加强重点领域和重点企业节能减排降耗，执行碳排放总量控制制度，加快调整优化产业结构和能源结构、节约集约利用能源、增加森林碳汇，有效控制温室气体排放。参与碳金融市场发展，争创全市气候投融资试点。</w:t>
      </w:r>
      <w:bookmarkStart w:id="389" w:name="_Toc59949981"/>
    </w:p>
    <w:p>
      <w:pPr>
        <w:overflowPunct w:val="0"/>
        <w:adjustRightInd w:val="0"/>
        <w:snapToGrid w:val="0"/>
        <w:spacing w:line="560" w:lineRule="exact"/>
        <w:jc w:val="center"/>
        <w:outlineLvl w:val="2"/>
        <w:rPr>
          <w:rFonts w:ascii="Times New Roman" w:hAnsi="Times New Roman" w:eastAsia="方正楷体_GBK"/>
          <w:b/>
          <w:sz w:val="32"/>
          <w:szCs w:val="32"/>
        </w:rPr>
      </w:pPr>
      <w:bookmarkStart w:id="390" w:name="_Toc23313"/>
      <w:bookmarkStart w:id="391" w:name="_Toc1376"/>
      <w:bookmarkStart w:id="392" w:name="_Toc31827"/>
      <w:bookmarkStart w:id="393" w:name="_Toc201"/>
      <w:bookmarkStart w:id="394" w:name="_Toc2524"/>
      <w:bookmarkStart w:id="395" w:name="_Toc19387"/>
      <w:bookmarkStart w:id="396" w:name="_Toc18339"/>
      <w:bookmarkStart w:id="397" w:name="_Toc18755"/>
      <w:bookmarkStart w:id="398" w:name="_Toc27557"/>
      <w:bookmarkStart w:id="399" w:name="_Toc28515"/>
      <w:bookmarkStart w:id="400" w:name="_Toc12487"/>
      <w:bookmarkStart w:id="401" w:name="_Toc19950"/>
      <w:bookmarkStart w:id="402" w:name="_Toc8380"/>
      <w:bookmarkStart w:id="403" w:name="_Toc8906"/>
      <w:bookmarkStart w:id="404" w:name="_Toc4936"/>
      <w:bookmarkStart w:id="405" w:name="_Toc1093"/>
      <w:bookmarkStart w:id="406" w:name="_Toc31765"/>
      <w:bookmarkStart w:id="407" w:name="_Toc19613"/>
      <w:r>
        <w:rPr>
          <w:rFonts w:ascii="Times New Roman" w:hAnsi="Times New Roman" w:eastAsia="方正楷体_GBK"/>
          <w:b/>
          <w:sz w:val="32"/>
          <w:szCs w:val="32"/>
        </w:rPr>
        <w:t>第三节  提升生态文明</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Fonts w:ascii="Times New Roman" w:hAnsi="Times New Roman" w:eastAsia="方正楷体_GBK"/>
          <w:b/>
          <w:sz w:val="32"/>
          <w:szCs w:val="32"/>
        </w:rPr>
        <w:t>素养</w:t>
      </w: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强化领导干部生态文明素养。严守生态保护红线、环境质量底线、资源利用上线三条红线，积极探索生态资源价值转化路径，切实践行生态文明建设。</w:t>
      </w: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提升公众生态文明素养。开展生态保护和生态文化宣传进机关、进社区、进学校、进企业、进家庭、进工地、进医院、进酒店、进农村、进景区等活动，提升公众知行合一的生态文明价值观和理念。开展社会性、群众性、经常性的科普活动，引导公众关注生态环境，普及生态文化知识，提升全民生态环境意识和科学素质。</w:t>
      </w: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提升青少年生态文明素养。开展学校教育活动，将</w:t>
      </w:r>
      <w:r>
        <w:rPr>
          <w:rFonts w:hint="eastAsia" w:ascii="Times New Roman" w:hAnsi="Times New Roman" w:eastAsia="方正仿宋_GBK"/>
          <w:bCs/>
          <w:sz w:val="32"/>
          <w:szCs w:val="32"/>
        </w:rPr>
        <w:t>习近平生态文明思想</w:t>
      </w:r>
      <w:r>
        <w:rPr>
          <w:rFonts w:ascii="Times New Roman" w:hAnsi="Times New Roman" w:eastAsia="方正仿宋_GBK"/>
          <w:bCs/>
          <w:sz w:val="32"/>
          <w:szCs w:val="32"/>
        </w:rPr>
        <w:t>融入教育全过程，引领青少年养成爱护自然、保护环境的意识。</w:t>
      </w: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撬动社会力量共同开展生态文明素养提升行动。建立“两山”“两化”生态孵化平台，聚集生态环保和文创团体等社会组织，营造社区生态文化，开展生态文明素养提升活动。加快“绿水青山就是金山银山”实践创新基地建设，积极争取科研院所落户城口，挂牌“城口两山学院”，发挥学院智库优势，打造大巴山生态文化教育基地。</w:t>
      </w:r>
    </w:p>
    <w:p>
      <w:pPr>
        <w:pStyle w:val="26"/>
        <w:overflowPunct w:val="0"/>
        <w:adjustRightInd w:val="0"/>
        <w:snapToGrid w:val="0"/>
        <w:spacing w:after="0" w:line="560" w:lineRule="exact"/>
        <w:ind w:leftChars="0" w:firstLine="2249" w:firstLineChars="700"/>
        <w:outlineLvl w:val="2"/>
        <w:rPr>
          <w:rFonts w:ascii="Times New Roman" w:hAnsi="Times New Roman" w:eastAsia="方正楷体_GBK"/>
          <w:b/>
          <w:sz w:val="32"/>
          <w:szCs w:val="32"/>
        </w:rPr>
      </w:pPr>
      <w:bookmarkStart w:id="408" w:name="_Toc2538"/>
      <w:bookmarkStart w:id="409" w:name="_Toc4917"/>
      <w:bookmarkStart w:id="410" w:name="_Toc799"/>
      <w:bookmarkStart w:id="411" w:name="_Toc18961"/>
      <w:bookmarkStart w:id="412" w:name="_Toc7590"/>
      <w:bookmarkStart w:id="413" w:name="_Toc756"/>
      <w:bookmarkStart w:id="414" w:name="_Toc5633"/>
      <w:bookmarkStart w:id="415" w:name="_Toc13952"/>
      <w:bookmarkStart w:id="416" w:name="_Toc25566"/>
      <w:bookmarkStart w:id="417" w:name="_Toc8035"/>
      <w:bookmarkStart w:id="418" w:name="_Toc25846"/>
      <w:bookmarkStart w:id="419" w:name="_Toc60651961"/>
      <w:bookmarkStart w:id="420" w:name="_Toc32460"/>
      <w:bookmarkStart w:id="421" w:name="_Toc5895"/>
      <w:bookmarkStart w:id="422" w:name="_Toc15332"/>
      <w:bookmarkStart w:id="423" w:name="_Toc31322"/>
      <w:bookmarkStart w:id="424" w:name="_Toc2842"/>
      <w:bookmarkStart w:id="425" w:name="_Toc32522"/>
      <w:bookmarkStart w:id="426" w:name="_Toc12027"/>
      <w:r>
        <w:rPr>
          <w:rFonts w:ascii="Times New Roman" w:hAnsi="Times New Roman" w:eastAsia="方正楷体_GBK"/>
          <w:b/>
          <w:sz w:val="32"/>
          <w:szCs w:val="32"/>
        </w:rPr>
        <w:t>第四节  倡导绿色生活方式</w:t>
      </w:r>
      <w:bookmarkEnd w:id="389"/>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overflowPunct w:val="0"/>
        <w:adjustRightInd w:val="0"/>
        <w:snapToGrid w:val="0"/>
        <w:spacing w:line="560" w:lineRule="exact"/>
        <w:ind w:firstLine="640"/>
        <w:rPr>
          <w:rFonts w:ascii="Times New Roman" w:hAnsi="Times New Roman" w:eastAsia="方正仿宋_GBK"/>
          <w:sz w:val="32"/>
          <w:szCs w:val="32"/>
        </w:rPr>
      </w:pPr>
      <w:r>
        <w:rPr>
          <w:rFonts w:ascii="Times New Roman" w:hAnsi="Times New Roman" w:eastAsia="方正仿宋_GBK"/>
          <w:sz w:val="32"/>
          <w:szCs w:val="32"/>
        </w:rPr>
        <w:t>推广装配式建筑、钢结构建筑和新型建材。统筹布局电动汽车充电配套设施。全面推行生活垃圾分类，完善配套政策措施。构建绿色交通体系，鼓励引导居民绿色低碳出行。实施政府绿色采购，推行绿色产品优先，倡导绿色办公，促进绿色消费。深入推进“光盘行动”，培育绿色消费文化。开展绿色机关、绿色学校、绿色社区、绿色园区、绿色商场、绿色建筑创建行动。</w:t>
      </w:r>
    </w:p>
    <w:p>
      <w:pPr>
        <w:pStyle w:val="26"/>
        <w:overflowPunct w:val="0"/>
        <w:adjustRightInd w:val="0"/>
        <w:snapToGrid w:val="0"/>
        <w:spacing w:after="0" w:line="560" w:lineRule="exact"/>
        <w:ind w:leftChars="0" w:firstLine="640" w:firstLineChars="200"/>
        <w:rPr>
          <w:rFonts w:ascii="Times New Roman" w:hAnsi="Times New Roman" w:eastAsia="方正仿宋_GBK"/>
          <w:sz w:val="32"/>
          <w:szCs w:val="32"/>
        </w:rPr>
      </w:pPr>
    </w:p>
    <w:p>
      <w:pPr>
        <w:overflowPunct w:val="0"/>
        <w:adjustRightInd w:val="0"/>
        <w:snapToGrid w:val="0"/>
        <w:spacing w:line="560" w:lineRule="exact"/>
        <w:ind w:firstLine="643" w:firstLineChars="200"/>
        <w:jc w:val="center"/>
        <w:outlineLvl w:val="1"/>
        <w:rPr>
          <w:rFonts w:ascii="Times New Roman" w:hAnsi="Times New Roman" w:eastAsia="方正黑体_GBK"/>
          <w:b/>
          <w:bCs/>
          <w:kern w:val="44"/>
          <w:sz w:val="32"/>
          <w:szCs w:val="32"/>
        </w:rPr>
      </w:pPr>
      <w:bookmarkStart w:id="427" w:name="_Toc29189"/>
      <w:bookmarkStart w:id="428" w:name="_Toc23484"/>
      <w:bookmarkStart w:id="429" w:name="_Toc60651962"/>
      <w:bookmarkStart w:id="430" w:name="_Toc5295"/>
      <w:bookmarkStart w:id="431" w:name="_Toc30143"/>
      <w:bookmarkStart w:id="432" w:name="_Toc31019"/>
      <w:bookmarkStart w:id="433" w:name="_Toc24530"/>
      <w:bookmarkStart w:id="434" w:name="_Toc9315"/>
      <w:bookmarkStart w:id="435" w:name="_Toc1941"/>
      <w:bookmarkStart w:id="436" w:name="_Toc31533"/>
      <w:bookmarkStart w:id="437" w:name="_Toc8928"/>
      <w:bookmarkStart w:id="438" w:name="_Toc14576"/>
      <w:bookmarkStart w:id="439" w:name="_Toc29036"/>
      <w:bookmarkStart w:id="440" w:name="_Toc12230"/>
      <w:bookmarkStart w:id="441" w:name="_Toc7639"/>
      <w:bookmarkStart w:id="442" w:name="_Toc18964"/>
      <w:bookmarkStart w:id="443" w:name="_Toc4577"/>
      <w:bookmarkStart w:id="444" w:name="_Toc9780"/>
      <w:bookmarkStart w:id="445" w:name="_Toc59949982"/>
      <w:bookmarkStart w:id="446" w:name="_Toc10120"/>
      <w:r>
        <w:rPr>
          <w:rFonts w:ascii="Times New Roman" w:hAnsi="Times New Roman" w:eastAsia="方正黑体_GBK"/>
          <w:b/>
          <w:bCs/>
          <w:kern w:val="44"/>
          <w:sz w:val="32"/>
          <w:szCs w:val="32"/>
        </w:rPr>
        <w:t>第七章  推进生态资源价值转换</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探索绿色发展新模式，依托生态资源禀赋，根据生态功能作用，开展生态产品价值实现试验，把生态资源转换成生态产品，打造“两山”“两化”先行示范区。</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447" w:name="_Toc59949983"/>
      <w:bookmarkStart w:id="448" w:name="_Toc2481"/>
      <w:bookmarkStart w:id="449" w:name="_Toc9612"/>
      <w:bookmarkStart w:id="450" w:name="_Toc24280"/>
      <w:bookmarkStart w:id="451" w:name="_Toc26369"/>
      <w:bookmarkStart w:id="452" w:name="_Toc7656"/>
      <w:bookmarkStart w:id="453" w:name="_Toc26886"/>
      <w:bookmarkStart w:id="454" w:name="_Toc31989"/>
      <w:bookmarkStart w:id="455" w:name="_Toc26744"/>
      <w:bookmarkStart w:id="456" w:name="_Toc32311"/>
      <w:bookmarkStart w:id="457" w:name="_Toc14987"/>
      <w:bookmarkStart w:id="458" w:name="_Toc6847"/>
      <w:bookmarkStart w:id="459" w:name="_Toc20043"/>
      <w:bookmarkStart w:id="460" w:name="_Toc25375"/>
      <w:bookmarkStart w:id="461" w:name="_Toc4804"/>
      <w:bookmarkStart w:id="462" w:name="_Toc60651963"/>
      <w:bookmarkStart w:id="463" w:name="_Toc15433"/>
      <w:bookmarkStart w:id="464" w:name="_Toc20994"/>
      <w:bookmarkStart w:id="465" w:name="_Toc30470"/>
      <w:bookmarkStart w:id="466" w:name="_Toc5980"/>
      <w:r>
        <w:rPr>
          <w:rFonts w:ascii="Times New Roman" w:hAnsi="Times New Roman" w:eastAsia="方正楷体_GBK"/>
          <w:b/>
          <w:sz w:val="32"/>
          <w:szCs w:val="32"/>
        </w:rPr>
        <w:t>第一节  建立生态产品价值</w:t>
      </w:r>
      <w:bookmarkEnd w:id="447"/>
      <w:r>
        <w:rPr>
          <w:rFonts w:ascii="Times New Roman" w:hAnsi="Times New Roman" w:eastAsia="方正楷体_GBK"/>
          <w:b/>
          <w:sz w:val="32"/>
          <w:szCs w:val="32"/>
        </w:rPr>
        <w:t>实现机制</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26"/>
        <w:overflowPunct w:val="0"/>
        <w:adjustRightInd w:val="0"/>
        <w:snapToGrid w:val="0"/>
        <w:spacing w:after="0" w:line="560" w:lineRule="exact"/>
        <w:ind w:leftChars="0" w:firstLine="640" w:firstLineChars="200"/>
        <w:rPr>
          <w:rFonts w:ascii="Times New Roman" w:hAnsi="Times New Roman"/>
        </w:rPr>
      </w:pPr>
      <w:r>
        <w:rPr>
          <w:rFonts w:ascii="Times New Roman" w:hAnsi="Times New Roman" w:eastAsia="方正仿宋_GBK"/>
          <w:bCs/>
          <w:sz w:val="32"/>
          <w:szCs w:val="32"/>
        </w:rPr>
        <w:t>建立生态系统生产总值核算（GEP）体系。结合城口生态区位、环境质量和资源禀赋，将林业资源、水资源、负氧离子、景观价值等科目纳入核算范围，建立健全生态产品功能量核算方法、生态产品功能量定价方法、生态产品价值量核算方法、核算质量控制等GEP核算方法体系，建设物质产品、调节服务、文化服务等生态产品的实物量、功能量、价值量台账和数据库，编制城口县主导性生态产品价值实现目录，构建反映城口自然生态特点的指标体系和反映城口经济发展水平的定价体系，推进GEP与GDP的双转化、双增长、可循环、可持续的生态产品价值转化。完善生态产品价值实现路径。遵循受益者付费原则，针对不同类型的生态产品，选取适宜性价值转化模式，积极探索生态产品价值实现方式。</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467" w:name="_Toc8669"/>
      <w:bookmarkStart w:id="468" w:name="_Toc10890"/>
      <w:bookmarkStart w:id="469" w:name="_Toc12512"/>
      <w:bookmarkStart w:id="470" w:name="_Toc14397"/>
      <w:bookmarkStart w:id="471" w:name="_Toc2692"/>
      <w:bookmarkStart w:id="472" w:name="_Toc19470"/>
      <w:bookmarkStart w:id="473" w:name="_Toc25294"/>
      <w:bookmarkStart w:id="474" w:name="_Toc5719"/>
      <w:bookmarkStart w:id="475" w:name="_Toc10403"/>
      <w:bookmarkStart w:id="476" w:name="_Toc2215"/>
      <w:bookmarkStart w:id="477" w:name="_Toc31273"/>
      <w:bookmarkStart w:id="478" w:name="_Toc1832"/>
      <w:bookmarkStart w:id="479" w:name="_Toc13029"/>
      <w:bookmarkStart w:id="480" w:name="_Toc59949984"/>
      <w:bookmarkStart w:id="481" w:name="_Toc60651964"/>
      <w:bookmarkStart w:id="482" w:name="_Toc24500"/>
      <w:bookmarkStart w:id="483" w:name="_Toc32089"/>
      <w:bookmarkStart w:id="484" w:name="_Toc4207"/>
      <w:bookmarkStart w:id="485" w:name="_Toc9012"/>
      <w:bookmarkStart w:id="486" w:name="_Toc29333"/>
      <w:r>
        <w:rPr>
          <w:rFonts w:ascii="Times New Roman" w:hAnsi="Times New Roman" w:eastAsia="方正楷体_GBK"/>
          <w:b/>
          <w:sz w:val="32"/>
          <w:szCs w:val="32"/>
        </w:rPr>
        <w:t>第二节  推动生态产品价值实现</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25"/>
        <w:overflowPunct w:val="0"/>
        <w:spacing w:after="0"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遵循“生态资源—生态资产—生态资本—生态产品”物质形态转换规律，综合运用产权、金融、技术、消费等管理工具，提炼物质产品、调节服务、文化服务的价值转化路径，因地制宜发展生态旅游、生态农业、生态服务业和生态高新技术产业，提供更多优质生态产品。</w:t>
      </w:r>
    </w:p>
    <w:p>
      <w:pPr>
        <w:pStyle w:val="26"/>
        <w:overflowPunct w:val="0"/>
        <w:adjustRightInd w:val="0"/>
        <w:snapToGrid w:val="0"/>
        <w:spacing w:after="0" w:line="560" w:lineRule="exact"/>
        <w:ind w:leftChars="0" w:firstLine="640" w:firstLineChars="200"/>
        <w:rPr>
          <w:rFonts w:ascii="Times New Roman" w:hAnsi="Times New Roman" w:eastAsia="方正仿宋_GBK"/>
          <w:bCs/>
          <w:sz w:val="32"/>
          <w:szCs w:val="32"/>
        </w:rPr>
      </w:pPr>
      <w:r>
        <w:rPr>
          <w:rFonts w:ascii="Times New Roman" w:hAnsi="Times New Roman" w:eastAsia="方正仿宋_GBK"/>
          <w:bCs/>
          <w:sz w:val="32"/>
          <w:szCs w:val="32"/>
        </w:rPr>
        <w:t>增强公共生态产品供给能力。按照生态系统生产总值核算机制，积极开展生态系统水源涵养、水土保持、气候调节等调节服务盈余和增量核算，积极争取水资源和森林资源生态价值补偿。将生态自然资源纳入农村集体产权制度改革清产核资范畴，以农文旅为载体实现文化服务价值增量核算，推动自然资本价值实现。</w:t>
      </w:r>
    </w:p>
    <w:p>
      <w:pPr>
        <w:widowControl/>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增强生态物质产品供给能力。坚持一二三产业融合发展，农文旅产业相得益彰，提高生态资源向生态产品转换的效率和质量，支持一批绿色发展生态产品转换企业，树立城口县生态产品地域品牌、打造一批高质量的生态产品。</w:t>
      </w:r>
      <w:r>
        <w:rPr>
          <w:rFonts w:ascii="Times New Roman" w:hAnsi="Times New Roman" w:eastAsia="方正仿宋_GBK"/>
          <w:snapToGrid w:val="0"/>
          <w:kern w:val="0"/>
          <w:sz w:val="32"/>
          <w:szCs w:val="32"/>
        </w:rPr>
        <w:t>坚持“农”为基础，“文”为灵魂，“旅”为载体，推动农业、文化、旅游深度融合，不断释放农文旅融合发展的生态红利。</w:t>
      </w:r>
      <w:r>
        <w:rPr>
          <w:rFonts w:ascii="Times New Roman" w:hAnsi="Times New Roman" w:eastAsia="方正仿宋_GBK"/>
          <w:bCs/>
          <w:sz w:val="32"/>
          <w:szCs w:val="32"/>
        </w:rPr>
        <w:t>推进生态资源资产产权确权、生态资产价值评估、生态资产市场定价三大制度改革，强化生态产品价值实现基础。积极争取标准化生态资源、资产在重庆联合产权交易所挂牌交易。</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487" w:name="_Toc11760"/>
      <w:bookmarkStart w:id="488" w:name="_Toc59949985"/>
      <w:bookmarkStart w:id="489" w:name="_Toc13"/>
      <w:bookmarkStart w:id="490" w:name="_Toc60651965"/>
      <w:bookmarkStart w:id="491" w:name="_Toc14371"/>
      <w:bookmarkStart w:id="492" w:name="_Toc24564"/>
      <w:bookmarkStart w:id="493" w:name="_Toc29002"/>
      <w:bookmarkStart w:id="494" w:name="_Toc19639"/>
      <w:bookmarkStart w:id="495" w:name="_Toc24871"/>
      <w:bookmarkStart w:id="496" w:name="_Toc1767"/>
      <w:bookmarkStart w:id="497" w:name="_Toc24010"/>
      <w:bookmarkStart w:id="498" w:name="_Toc9519"/>
      <w:bookmarkStart w:id="499" w:name="_Toc23626"/>
      <w:bookmarkStart w:id="500" w:name="_Toc15940"/>
      <w:bookmarkStart w:id="501" w:name="_Toc3887"/>
      <w:bookmarkStart w:id="502" w:name="_Toc14235"/>
      <w:bookmarkStart w:id="503" w:name="_Toc20039"/>
      <w:bookmarkStart w:id="504" w:name="_Toc2516"/>
      <w:bookmarkStart w:id="505" w:name="_Toc15564"/>
      <w:bookmarkStart w:id="506" w:name="_Toc12895"/>
      <w:r>
        <w:rPr>
          <w:rFonts w:ascii="Times New Roman" w:hAnsi="Times New Roman" w:eastAsia="方正楷体_GBK"/>
          <w:b/>
          <w:sz w:val="32"/>
          <w:szCs w:val="32"/>
        </w:rPr>
        <w:t>第三节  创新发展绿色金融</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26"/>
        <w:overflowPunct w:val="0"/>
        <w:adjustRightInd w:val="0"/>
        <w:snapToGrid w:val="0"/>
        <w:spacing w:after="0" w:line="560" w:lineRule="exact"/>
        <w:ind w:leftChars="0" w:firstLine="640" w:firstLineChars="200"/>
        <w:rPr>
          <w:rFonts w:ascii="Times New Roman" w:hAnsi="Times New Roman" w:eastAsia="方正仿宋_GBK"/>
          <w:bCs/>
          <w:sz w:val="32"/>
          <w:szCs w:val="32"/>
        </w:rPr>
      </w:pPr>
      <w:r>
        <w:rPr>
          <w:rFonts w:ascii="Times New Roman" w:hAnsi="Times New Roman" w:eastAsia="方正仿宋_GBK"/>
          <w:bCs/>
          <w:sz w:val="32"/>
          <w:szCs w:val="32"/>
        </w:rPr>
        <w:t>深化碳汇交易、森林覆盖率指标横向交易，落实“林票”交易制度，探索开展单株碳汇交易试点。积极争取“生态地票”等政策支持，探索推进生态资源抵押贷款、生态资源直接融资，引导社会资本参与生态文明建设。探索生态信用制度体系，推动绿色银行、绿色债券对生态产业的支持推动。联合金融机构积极探讨绿色信贷与小微贷款的结合，研究拓宽城口信贷品种作为普惠金融的试点。积极开展普惠金融，支持中小微企业和乡村生态微产业群体获得更大金融支持。构建完善、科学的政策体系，实现对生态资产，特别是集体资产以及生态指标的有效监管，多元化保障生态资源资产保障增值。</w:t>
      </w:r>
    </w:p>
    <w:p>
      <w:pPr>
        <w:overflowPunct w:val="0"/>
        <w:rPr>
          <w:rFonts w:ascii="Times New Roman" w:hAnsi="Times New Roman" w:eastAsia="方正黑体_GBK"/>
          <w:kern w:val="30"/>
          <w:sz w:val="32"/>
          <w:szCs w:val="32"/>
        </w:rPr>
      </w:pPr>
      <w:bookmarkStart w:id="507" w:name="_Toc28302"/>
      <w:bookmarkStart w:id="508" w:name="_Toc24200"/>
      <w:bookmarkStart w:id="509" w:name="_Toc60221290"/>
    </w:p>
    <w:p>
      <w:pPr>
        <w:overflowPunct w:val="0"/>
        <w:adjustRightInd w:val="0"/>
        <w:snapToGrid w:val="0"/>
        <w:spacing w:line="560" w:lineRule="exact"/>
        <w:ind w:firstLine="643" w:firstLineChars="200"/>
        <w:jc w:val="center"/>
        <w:outlineLvl w:val="1"/>
        <w:rPr>
          <w:rFonts w:ascii="Times New Roman" w:hAnsi="Times New Roman" w:eastAsia="方正黑体_GBK"/>
          <w:b/>
          <w:bCs/>
          <w:kern w:val="44"/>
          <w:sz w:val="32"/>
          <w:szCs w:val="32"/>
        </w:rPr>
      </w:pPr>
      <w:bookmarkStart w:id="510" w:name="_Toc15442"/>
      <w:bookmarkStart w:id="511" w:name="_Toc24044"/>
      <w:bookmarkStart w:id="512" w:name="_Toc60651966"/>
      <w:bookmarkStart w:id="513" w:name="_Toc6294"/>
      <w:bookmarkStart w:id="514" w:name="_Toc25678"/>
      <w:bookmarkStart w:id="515" w:name="_Toc10757"/>
      <w:bookmarkStart w:id="516" w:name="_Toc13434"/>
      <w:bookmarkStart w:id="517" w:name="_Toc7992"/>
      <w:bookmarkStart w:id="518" w:name="_Toc3941"/>
      <w:bookmarkStart w:id="519" w:name="_Toc9339"/>
      <w:bookmarkStart w:id="520" w:name="_Toc28337"/>
      <w:bookmarkStart w:id="521" w:name="_Toc31477"/>
      <w:bookmarkStart w:id="522" w:name="_Toc9153"/>
      <w:bookmarkStart w:id="523" w:name="_Toc836"/>
      <w:bookmarkStart w:id="524" w:name="_Toc24685"/>
      <w:bookmarkStart w:id="525" w:name="_Toc31370"/>
      <w:bookmarkStart w:id="526" w:name="_Toc16715"/>
      <w:bookmarkStart w:id="527" w:name="_Toc14497"/>
      <w:bookmarkStart w:id="528" w:name="_Toc5282"/>
      <w:r>
        <w:rPr>
          <w:rFonts w:ascii="Times New Roman" w:hAnsi="Times New Roman" w:eastAsia="方正黑体_GBK"/>
          <w:b/>
          <w:bCs/>
          <w:kern w:val="44"/>
          <w:sz w:val="32"/>
          <w:szCs w:val="32"/>
        </w:rPr>
        <w:t>第八章  全面提高资源利用效率</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overflowPunct w:val="0"/>
        <w:adjustRightInd w:val="0"/>
        <w:snapToGrid w:val="0"/>
        <w:spacing w:line="560" w:lineRule="exact"/>
        <w:ind w:firstLine="640" w:firstLineChars="200"/>
        <w:rPr>
          <w:rFonts w:ascii="Times New Roman" w:hAnsi="Times New Roman" w:eastAsia="方正仿宋_GBK"/>
          <w:bCs/>
          <w:kern w:val="30"/>
          <w:sz w:val="32"/>
          <w:szCs w:val="32"/>
        </w:rPr>
      </w:pPr>
      <w:r>
        <w:rPr>
          <w:rFonts w:ascii="Times New Roman" w:hAnsi="Times New Roman" w:eastAsia="方正仿宋_GBK"/>
          <w:bCs/>
          <w:kern w:val="30"/>
          <w:sz w:val="32"/>
          <w:szCs w:val="32"/>
        </w:rPr>
        <w:t>落实节约优先战略，树立节约集约循环利用资源观，推进资源节约集约循环利用，落实能源和水资源消耗、建设用地等总量和强度双控制度，全面加强节地、节水、节能和资源综合利用。</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529" w:name="_Toc20700"/>
      <w:bookmarkStart w:id="530" w:name="_Toc11916"/>
      <w:bookmarkStart w:id="531" w:name="_Toc20042"/>
      <w:bookmarkStart w:id="532" w:name="_Toc23337"/>
      <w:bookmarkStart w:id="533" w:name="_Toc1797"/>
      <w:bookmarkStart w:id="534" w:name="_Toc9642"/>
      <w:bookmarkStart w:id="535" w:name="_Toc6322"/>
      <w:bookmarkStart w:id="536" w:name="_Toc24000"/>
      <w:bookmarkStart w:id="537" w:name="_Toc11159"/>
      <w:bookmarkStart w:id="538" w:name="_Toc26384"/>
      <w:bookmarkStart w:id="539" w:name="_Toc23260"/>
      <w:bookmarkStart w:id="540" w:name="_Toc7195"/>
      <w:bookmarkStart w:id="541" w:name="_Toc4682"/>
      <w:bookmarkStart w:id="542" w:name="_Toc11741"/>
      <w:bookmarkStart w:id="543" w:name="_Toc60651967"/>
      <w:bookmarkStart w:id="544" w:name="_Toc31749"/>
      <w:bookmarkStart w:id="545" w:name="_Toc8256"/>
      <w:bookmarkStart w:id="546" w:name="_Toc4251"/>
      <w:bookmarkStart w:id="547" w:name="_Toc17448"/>
      <w:r>
        <w:rPr>
          <w:rFonts w:ascii="Times New Roman" w:hAnsi="Times New Roman" w:eastAsia="方正楷体_GBK"/>
          <w:b/>
          <w:sz w:val="32"/>
          <w:szCs w:val="32"/>
        </w:rPr>
        <w:t>第一节  强化土地节约集约利用</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overflowPunct w:val="0"/>
        <w:adjustRightInd w:val="0"/>
        <w:snapToGrid w:val="0"/>
        <w:spacing w:line="560" w:lineRule="exact"/>
        <w:ind w:firstLine="640" w:firstLineChars="200"/>
        <w:rPr>
          <w:rFonts w:ascii="Times New Roman" w:hAnsi="Times New Roman" w:eastAsia="方正仿宋_GBK"/>
          <w:bCs/>
          <w:kern w:val="30"/>
          <w:sz w:val="32"/>
          <w:szCs w:val="32"/>
        </w:rPr>
      </w:pPr>
      <w:r>
        <w:rPr>
          <w:rFonts w:ascii="Times New Roman" w:hAnsi="Times New Roman" w:eastAsia="方正仿宋_GBK"/>
          <w:bCs/>
          <w:kern w:val="30"/>
          <w:sz w:val="32"/>
          <w:szCs w:val="32"/>
        </w:rPr>
        <w:t>提高土地稀缺性战略认知，优化国土空间规划，实行国土空间用途管制，落实建设用地总量控制，严格规划指标约束和分区管制。严格建设项目用地标准控制。坚持土地供应市场配置，扩大国有土地有偿使用范围。推进城镇低效用地再开发和工矿废弃地复垦，盘活存量建设用地，清理闲置土地，调整建设用地结构。开展全域土地综合整治，增加有效耕地面积，提升耕地质量。发展城市节地型住宅和公共建筑。加强节约集约用地的工作评估和考核。</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548" w:name="_Toc60221293"/>
      <w:bookmarkStart w:id="549" w:name="_Toc25570"/>
      <w:bookmarkStart w:id="550" w:name="_Toc26047"/>
      <w:bookmarkStart w:id="551" w:name="_Toc14634"/>
      <w:bookmarkStart w:id="552" w:name="_Toc24647"/>
      <w:bookmarkStart w:id="553" w:name="_Toc15574"/>
      <w:bookmarkStart w:id="554" w:name="_Toc60651968"/>
      <w:bookmarkStart w:id="555" w:name="_Toc8354"/>
      <w:bookmarkStart w:id="556" w:name="_Toc21194"/>
      <w:bookmarkStart w:id="557" w:name="_Toc14934"/>
      <w:bookmarkStart w:id="558" w:name="_Toc14674"/>
      <w:bookmarkStart w:id="559" w:name="_Toc16226"/>
      <w:bookmarkStart w:id="560" w:name="_Toc4782"/>
      <w:bookmarkStart w:id="561" w:name="_Toc19218"/>
      <w:bookmarkStart w:id="562" w:name="_Toc13807"/>
      <w:bookmarkStart w:id="563" w:name="_Toc32762"/>
      <w:bookmarkStart w:id="564" w:name="_Toc19068"/>
      <w:bookmarkStart w:id="565" w:name="_Toc7346"/>
      <w:bookmarkStart w:id="566" w:name="_Toc15583"/>
      <w:bookmarkStart w:id="567" w:name="_Toc1939"/>
      <w:bookmarkStart w:id="568" w:name="_Toc9594"/>
      <w:r>
        <w:rPr>
          <w:rFonts w:ascii="Times New Roman" w:hAnsi="Times New Roman" w:eastAsia="方正楷体_GBK"/>
          <w:b/>
          <w:sz w:val="32"/>
          <w:szCs w:val="32"/>
        </w:rPr>
        <w:t>第二节  提高水资源</w:t>
      </w:r>
      <w:bookmarkEnd w:id="548"/>
      <w:bookmarkEnd w:id="549"/>
      <w:r>
        <w:rPr>
          <w:rFonts w:ascii="Times New Roman" w:hAnsi="Times New Roman" w:eastAsia="方正楷体_GBK"/>
          <w:b/>
          <w:sz w:val="32"/>
          <w:szCs w:val="32"/>
        </w:rPr>
        <w:t>利用效率</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overflowPunct w:val="0"/>
        <w:adjustRightInd w:val="0"/>
        <w:snapToGrid w:val="0"/>
        <w:spacing w:line="560" w:lineRule="exact"/>
        <w:ind w:firstLine="640" w:firstLineChars="200"/>
        <w:rPr>
          <w:rFonts w:ascii="Times New Roman" w:hAnsi="Times New Roman" w:eastAsia="方正仿宋_GBK"/>
          <w:bCs/>
          <w:kern w:val="30"/>
          <w:sz w:val="32"/>
          <w:szCs w:val="32"/>
        </w:rPr>
      </w:pPr>
      <w:r>
        <w:rPr>
          <w:rFonts w:ascii="Times New Roman" w:hAnsi="Times New Roman" w:eastAsia="方正仿宋_GBK"/>
          <w:bCs/>
          <w:kern w:val="30"/>
          <w:sz w:val="32"/>
          <w:szCs w:val="32"/>
        </w:rPr>
        <w:t>严格用水总量控制和定额管理，开展水资源环境承载能力评价。严格取水许可和水资源有偿使用，推行水权交易制度。加快节水型社会建设，探索合同节水管理，推广应用源头减量、循环利用、零排放的节水技术和模式。推进工业节水技术改造，加大再生水和雨水利用力度，强化水资源循环利用，减少废污水排放量。</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569" w:name="_Toc6492"/>
      <w:bookmarkStart w:id="570" w:name="_Toc22159"/>
      <w:bookmarkStart w:id="571" w:name="_Toc24640"/>
      <w:bookmarkStart w:id="572" w:name="_Toc60221292"/>
      <w:bookmarkStart w:id="573" w:name="_Toc20184"/>
      <w:bookmarkStart w:id="574" w:name="_Toc2740"/>
      <w:bookmarkStart w:id="575" w:name="_Toc19055"/>
      <w:bookmarkStart w:id="576" w:name="_Toc21905"/>
      <w:bookmarkStart w:id="577" w:name="_Toc31927"/>
      <w:bookmarkStart w:id="578" w:name="_Toc31842"/>
      <w:bookmarkStart w:id="579" w:name="_Toc5540"/>
      <w:bookmarkStart w:id="580" w:name="_Toc7315"/>
      <w:bookmarkStart w:id="581" w:name="_Toc6277"/>
      <w:bookmarkStart w:id="582" w:name="_Toc22786"/>
      <w:bookmarkStart w:id="583" w:name="_Toc60651969"/>
      <w:bookmarkStart w:id="584" w:name="_Toc32034"/>
      <w:bookmarkStart w:id="585" w:name="_Toc13463"/>
      <w:bookmarkStart w:id="586" w:name="_Toc2532"/>
      <w:bookmarkStart w:id="587" w:name="_Toc6621"/>
      <w:bookmarkStart w:id="588" w:name="_Toc16287"/>
      <w:bookmarkStart w:id="589" w:name="_Toc5798"/>
      <w:r>
        <w:rPr>
          <w:rFonts w:ascii="Times New Roman" w:hAnsi="Times New Roman" w:eastAsia="方正楷体_GBK"/>
          <w:b/>
          <w:sz w:val="32"/>
          <w:szCs w:val="32"/>
        </w:rPr>
        <w:t>第三节  提升能源利用效率</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overflowPunct w:val="0"/>
        <w:adjustRightInd w:val="0"/>
        <w:snapToGrid w:val="0"/>
        <w:spacing w:line="560" w:lineRule="exact"/>
        <w:ind w:firstLine="640" w:firstLineChars="200"/>
        <w:rPr>
          <w:rFonts w:ascii="Times New Roman" w:hAnsi="Times New Roman" w:eastAsia="方正仿宋_GBK"/>
          <w:bCs/>
          <w:kern w:val="30"/>
          <w:sz w:val="32"/>
          <w:szCs w:val="32"/>
        </w:rPr>
      </w:pPr>
      <w:r>
        <w:rPr>
          <w:rFonts w:ascii="Times New Roman" w:hAnsi="Times New Roman" w:eastAsia="方正仿宋_GBK"/>
          <w:bCs/>
          <w:kern w:val="30"/>
          <w:sz w:val="32"/>
          <w:szCs w:val="32"/>
        </w:rPr>
        <w:t>落实能源消费总量和强度“双控”制度，推动节能评估审查，限制过度用能。加强锰矿重点耗能行业的能效管理，开展学校、医院等公共机构用能管理。鼓励先进节能技术和产品推广应用，推进城乡建筑物、照明系统、交通照明系统节能改造。推动清洁低碳和可再生能源消费，稳步有序推进电能替代。</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590" w:name="_Toc28356"/>
      <w:bookmarkStart w:id="591" w:name="_Toc19649"/>
      <w:bookmarkStart w:id="592" w:name="_Toc60651970"/>
      <w:bookmarkStart w:id="593" w:name="_Toc24433"/>
      <w:bookmarkStart w:id="594" w:name="_Toc30089"/>
      <w:bookmarkStart w:id="595" w:name="_Toc17271"/>
      <w:bookmarkStart w:id="596" w:name="_Toc27636"/>
      <w:bookmarkStart w:id="597" w:name="_Toc2237"/>
      <w:bookmarkStart w:id="598" w:name="_Toc11440"/>
      <w:bookmarkStart w:id="599" w:name="_Toc6268"/>
      <w:bookmarkStart w:id="600" w:name="_Toc60221291"/>
      <w:bookmarkStart w:id="601" w:name="_Toc16467"/>
      <w:bookmarkStart w:id="602" w:name="_Toc15512"/>
      <w:bookmarkStart w:id="603" w:name="_Toc5368"/>
      <w:bookmarkStart w:id="604" w:name="_Toc26649"/>
      <w:bookmarkStart w:id="605" w:name="_Toc25780"/>
      <w:bookmarkStart w:id="606" w:name="_Toc31574"/>
      <w:bookmarkStart w:id="607" w:name="_Toc26166"/>
      <w:bookmarkStart w:id="608" w:name="_Toc72"/>
      <w:bookmarkStart w:id="609" w:name="_Toc31412"/>
      <w:bookmarkStart w:id="610" w:name="_Toc30310"/>
      <w:r>
        <w:rPr>
          <w:rFonts w:ascii="Times New Roman" w:hAnsi="Times New Roman" w:eastAsia="方正楷体_GBK"/>
          <w:b/>
          <w:sz w:val="32"/>
          <w:szCs w:val="32"/>
        </w:rPr>
        <w:t>第四节  完善循环经济体系</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overflowPunct w:val="0"/>
        <w:adjustRightInd w:val="0"/>
        <w:snapToGrid w:val="0"/>
        <w:spacing w:line="560" w:lineRule="exact"/>
        <w:ind w:firstLine="640" w:firstLineChars="200"/>
        <w:rPr>
          <w:rFonts w:ascii="Times New Roman" w:hAnsi="Times New Roman"/>
        </w:rPr>
      </w:pPr>
      <w:r>
        <w:rPr>
          <w:rFonts w:ascii="Times New Roman" w:hAnsi="Times New Roman" w:eastAsia="方正仿宋_GBK"/>
          <w:bCs/>
          <w:kern w:val="30"/>
          <w:sz w:val="32"/>
          <w:szCs w:val="32"/>
        </w:rPr>
        <w:t>大力发展循环经济，加快建立循环型农业、工业、服务业体系，促进生产、流通、消费过程的减量化、再利用、资源化，提高资源利用效率。提高矿产资源开采回采率、选（冶）矿回收率和综合利用率。协调推动毗邻地区垃圾收集、转运、处置一体化。推进垃圾分类处理与再生资源利用“两网融合”，促进生产和生活系统循环衔接，开展固体废弃物综合利用。</w:t>
      </w:r>
    </w:p>
    <w:p>
      <w:pPr>
        <w:overflowPunct w:val="0"/>
        <w:rPr>
          <w:rFonts w:ascii="Times New Roman" w:hAnsi="Times New Roman" w:eastAsia="方正小标宋_GBK"/>
          <w:b/>
          <w:bCs/>
          <w:kern w:val="44"/>
          <w:sz w:val="36"/>
          <w:szCs w:val="36"/>
        </w:rPr>
      </w:pPr>
    </w:p>
    <w:p>
      <w:pPr>
        <w:overflowPunct w:val="0"/>
        <w:adjustRightInd w:val="0"/>
        <w:snapToGrid w:val="0"/>
        <w:spacing w:line="560" w:lineRule="exact"/>
        <w:jc w:val="center"/>
        <w:outlineLvl w:val="0"/>
        <w:rPr>
          <w:rFonts w:ascii="Times New Roman" w:hAnsi="Times New Roman" w:eastAsia="方正小标宋_GBK"/>
          <w:b/>
          <w:bCs/>
          <w:kern w:val="44"/>
          <w:sz w:val="36"/>
          <w:szCs w:val="36"/>
        </w:rPr>
      </w:pPr>
      <w:bookmarkStart w:id="611" w:name="_Toc11021"/>
      <w:bookmarkStart w:id="612" w:name="_Toc11128"/>
      <w:bookmarkStart w:id="613" w:name="_Toc23451"/>
      <w:bookmarkStart w:id="614" w:name="_Toc6264"/>
      <w:bookmarkStart w:id="615" w:name="_Toc513"/>
      <w:bookmarkStart w:id="616" w:name="_Toc13102"/>
      <w:bookmarkStart w:id="617" w:name="_Toc13660"/>
      <w:bookmarkStart w:id="618" w:name="_Toc27459"/>
      <w:bookmarkStart w:id="619" w:name="_Toc13731"/>
      <w:bookmarkStart w:id="620" w:name="_Toc28016"/>
      <w:bookmarkStart w:id="621" w:name="_Toc16974"/>
      <w:bookmarkStart w:id="622" w:name="_Toc5745"/>
      <w:bookmarkStart w:id="623" w:name="_Toc16628"/>
      <w:bookmarkStart w:id="624" w:name="_Toc8782"/>
      <w:bookmarkStart w:id="625" w:name="_Toc18752"/>
      <w:bookmarkStart w:id="626" w:name="_Toc26589"/>
      <w:bookmarkStart w:id="627" w:name="_Toc20073"/>
      <w:bookmarkStart w:id="628" w:name="_Toc32596"/>
      <w:bookmarkStart w:id="629" w:name="_Toc1465"/>
      <w:r>
        <w:rPr>
          <w:rFonts w:ascii="Times New Roman" w:hAnsi="Times New Roman" w:eastAsia="方正小标宋_GBK"/>
          <w:b/>
          <w:bCs/>
          <w:kern w:val="44"/>
          <w:sz w:val="36"/>
          <w:szCs w:val="36"/>
        </w:rPr>
        <w:t>第三篇  抢抓战略新机遇  主动深度融入新发展格局</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overflowPunct w:val="0"/>
        <w:adjustRightInd w:val="0"/>
        <w:snapToGrid w:val="0"/>
        <w:spacing w:line="560" w:lineRule="exact"/>
        <w:ind w:firstLine="640" w:firstLineChars="200"/>
        <w:jc w:val="left"/>
        <w:rPr>
          <w:rFonts w:ascii="Times New Roman" w:hAnsi="Times New Roman" w:eastAsia="方正仿宋_GBK"/>
          <w:bCs/>
          <w:sz w:val="32"/>
          <w:szCs w:val="32"/>
        </w:rPr>
      </w:pPr>
    </w:p>
    <w:p>
      <w:pPr>
        <w:overflowPunct w:val="0"/>
        <w:adjustRightInd w:val="0"/>
        <w:snapToGrid w:val="0"/>
        <w:spacing w:line="560" w:lineRule="exact"/>
        <w:ind w:firstLine="640" w:firstLineChars="200"/>
        <w:jc w:val="left"/>
        <w:rPr>
          <w:rFonts w:ascii="Times New Roman" w:hAnsi="Times New Roman" w:eastAsia="方正仿宋_GBK"/>
          <w:bCs/>
          <w:sz w:val="32"/>
          <w:szCs w:val="32"/>
        </w:rPr>
      </w:pPr>
      <w:r>
        <w:rPr>
          <w:rFonts w:ascii="Times New Roman" w:hAnsi="Times New Roman" w:eastAsia="方正仿宋_GBK"/>
          <w:bCs/>
          <w:sz w:val="32"/>
          <w:szCs w:val="32"/>
        </w:rPr>
        <w:t>落实推动成渝地区双城经济圈建设和“一区两群”协调发展战略任务，坚持对内对外开放，加快融入新发展格局。</w:t>
      </w:r>
    </w:p>
    <w:p>
      <w:pPr>
        <w:overflowPunct w:val="0"/>
        <w:adjustRightInd w:val="0"/>
        <w:snapToGrid w:val="0"/>
        <w:spacing w:line="560" w:lineRule="exact"/>
        <w:ind w:firstLine="640" w:firstLineChars="200"/>
        <w:rPr>
          <w:rFonts w:ascii="Times New Roman" w:hAnsi="Times New Roman" w:eastAsia="方正仿宋_GBK"/>
          <w:bCs/>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630" w:name="_Toc13858"/>
      <w:bookmarkStart w:id="631" w:name="_Toc59950020"/>
      <w:bookmarkStart w:id="632" w:name="_Toc26401"/>
      <w:bookmarkStart w:id="633" w:name="_Toc11248"/>
      <w:bookmarkStart w:id="634" w:name="_Toc31904"/>
      <w:bookmarkStart w:id="635" w:name="_Toc25307"/>
      <w:bookmarkStart w:id="636" w:name="_Toc25514"/>
      <w:bookmarkStart w:id="637" w:name="_Toc6283"/>
      <w:bookmarkStart w:id="638" w:name="_Toc9910"/>
      <w:bookmarkStart w:id="639" w:name="_Toc30424"/>
      <w:bookmarkStart w:id="640" w:name="_Toc30125"/>
      <w:bookmarkStart w:id="641" w:name="_Toc9286"/>
      <w:bookmarkStart w:id="642" w:name="_Toc8150"/>
      <w:bookmarkStart w:id="643" w:name="_Toc4816"/>
      <w:bookmarkStart w:id="644" w:name="_Toc17303"/>
      <w:bookmarkStart w:id="645" w:name="_Toc26439"/>
      <w:bookmarkStart w:id="646" w:name="_Toc27245"/>
      <w:bookmarkStart w:id="647" w:name="_Toc934"/>
      <w:bookmarkStart w:id="648" w:name="_Toc3017"/>
      <w:bookmarkStart w:id="649" w:name="_Toc1256"/>
      <w:r>
        <w:rPr>
          <w:rFonts w:ascii="Times New Roman" w:hAnsi="Times New Roman" w:eastAsia="方正黑体_GBK"/>
          <w:b/>
          <w:bCs/>
          <w:kern w:val="44"/>
          <w:sz w:val="32"/>
          <w:szCs w:val="32"/>
        </w:rPr>
        <w:t>第九章  积极融入国内国际双循环</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overflowPunct w:val="0"/>
        <w:adjustRightInd w:val="0"/>
        <w:snapToGrid w:val="0"/>
        <w:spacing w:line="560" w:lineRule="exact"/>
        <w:ind w:firstLine="640" w:firstLineChars="200"/>
        <w:jc w:val="left"/>
        <w:rPr>
          <w:rFonts w:ascii="Times New Roman" w:hAnsi="Times New Roman" w:eastAsia="方正仿宋_GBK"/>
          <w:bCs/>
          <w:sz w:val="32"/>
          <w:szCs w:val="32"/>
        </w:rPr>
      </w:pPr>
      <w:r>
        <w:rPr>
          <w:rFonts w:ascii="Times New Roman" w:hAnsi="Times New Roman" w:eastAsia="方正仿宋_GBK"/>
          <w:bCs/>
          <w:sz w:val="32"/>
          <w:szCs w:val="32"/>
        </w:rPr>
        <w:t>抢抓重大战略机遇，立足成渝地区双城经济圈大市场，发挥生态比较优势，积极扩大有效投资，全面促进消费，主动融入国内国际双循环。</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650" w:name="_Toc2962"/>
      <w:bookmarkStart w:id="651" w:name="_Toc16021"/>
      <w:bookmarkStart w:id="652" w:name="_Toc23965"/>
      <w:bookmarkStart w:id="653" w:name="_Toc22526"/>
      <w:bookmarkStart w:id="654" w:name="_Toc5697"/>
      <w:bookmarkStart w:id="655" w:name="_Toc19736"/>
      <w:bookmarkStart w:id="656" w:name="_Toc10320"/>
      <w:bookmarkStart w:id="657" w:name="_Toc6400"/>
      <w:bookmarkStart w:id="658" w:name="_Toc16247"/>
      <w:bookmarkStart w:id="659" w:name="_Toc9711"/>
      <w:bookmarkStart w:id="660" w:name="_Toc14039"/>
      <w:bookmarkStart w:id="661" w:name="_Toc27361"/>
      <w:bookmarkStart w:id="662" w:name="_Toc27420"/>
      <w:bookmarkStart w:id="663" w:name="_Toc1070"/>
      <w:bookmarkStart w:id="664" w:name="_Toc25145"/>
      <w:bookmarkStart w:id="665" w:name="_Toc6791"/>
      <w:bookmarkStart w:id="666" w:name="_Toc6698"/>
      <w:bookmarkStart w:id="667" w:name="_Toc31737"/>
      <w:bookmarkStart w:id="668" w:name="_Toc17390"/>
      <w:bookmarkStart w:id="669" w:name="_Toc59950022"/>
      <w:bookmarkStart w:id="670" w:name="_Toc59950023"/>
      <w:r>
        <w:rPr>
          <w:rFonts w:ascii="Times New Roman" w:hAnsi="Times New Roman" w:eastAsia="方正楷体_GBK"/>
          <w:b/>
          <w:sz w:val="32"/>
          <w:szCs w:val="32"/>
        </w:rPr>
        <w:t>第一节  用好国内国际市场与资源</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overflowPunct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以服务人民日益增长的生态环境和生态产品需求为牵引，深化供给侧结构性改革，推动生态资源转化为生态产品，把生态产品贯通生产、分配、流通、消费各环节，以优质生态产品融入和参与国内国际双循环。鼓励城口非物质文化企业依托强大国内市场，打通各类生产要素流通路径，推出适应国内国际消费新需求的生态产品。加强与重庆主城、成都、西安联动，承接生态旅游辐射，打造渝川陕生态“后花园”。加强与周边地区协作互动，主动融入万达开川渝统筹发展示范区和万开云板块，带动城口协同发展。与四川宣汉、万源合作共建革命老区振兴发展示范区，促进川东北渝东北一体化发展。积极联动陕西镇坪、平利、岚皋、紫阳，探索建立区域合作机制，谋划共建秦巴山生态合作示范区，共推形成优势互补协同发展的良性格局，提升区域整体竞争力。利用东西部协作和“一区两群”协同发展平台，强化与东部地区、重庆主城都市区的发展互动，深化产业协作和消费协作。</w:t>
      </w:r>
    </w:p>
    <w:bookmarkEnd w:id="668"/>
    <w:bookmarkEnd w:id="669"/>
    <w:bookmarkEnd w:id="670"/>
    <w:p>
      <w:pPr>
        <w:overflowPunct w:val="0"/>
        <w:adjustRightInd w:val="0"/>
        <w:snapToGrid w:val="0"/>
        <w:spacing w:line="560" w:lineRule="exact"/>
        <w:jc w:val="center"/>
        <w:outlineLvl w:val="2"/>
        <w:rPr>
          <w:rFonts w:ascii="Times New Roman" w:hAnsi="Times New Roman" w:eastAsia="方正楷体_GBK"/>
          <w:b/>
          <w:sz w:val="32"/>
          <w:szCs w:val="32"/>
        </w:rPr>
      </w:pPr>
      <w:bookmarkStart w:id="671" w:name="_Toc11035"/>
      <w:bookmarkStart w:id="672" w:name="_Toc24076"/>
      <w:bookmarkStart w:id="673" w:name="_Toc23796"/>
      <w:bookmarkStart w:id="674" w:name="_Toc8218"/>
      <w:bookmarkStart w:id="675" w:name="_Toc16938"/>
      <w:bookmarkStart w:id="676" w:name="_Toc22063"/>
      <w:bookmarkStart w:id="677" w:name="_Toc20746"/>
      <w:bookmarkStart w:id="678" w:name="_Toc20279"/>
      <w:bookmarkStart w:id="679" w:name="_Toc19643"/>
      <w:bookmarkStart w:id="680" w:name="_Toc5663"/>
      <w:bookmarkStart w:id="681" w:name="_Toc20921"/>
      <w:bookmarkStart w:id="682" w:name="_Toc6382"/>
      <w:bookmarkStart w:id="683" w:name="_Toc21190"/>
      <w:bookmarkStart w:id="684" w:name="_Toc968"/>
      <w:bookmarkStart w:id="685" w:name="_Toc29015"/>
      <w:bookmarkStart w:id="686" w:name="_Toc20987"/>
      <w:bookmarkStart w:id="687" w:name="_Toc4441"/>
      <w:bookmarkStart w:id="688" w:name="_Toc27796"/>
      <w:bookmarkStart w:id="689" w:name="_Toc13225"/>
      <w:r>
        <w:rPr>
          <w:rFonts w:ascii="Times New Roman" w:hAnsi="Times New Roman" w:eastAsia="方正楷体_GBK"/>
          <w:b/>
          <w:sz w:val="32"/>
          <w:szCs w:val="32"/>
        </w:rPr>
        <w:t xml:space="preserve">第二节  </w:t>
      </w:r>
      <w:bookmarkEnd w:id="671"/>
      <w:bookmarkEnd w:id="672"/>
      <w:bookmarkEnd w:id="673"/>
      <w:bookmarkEnd w:id="674"/>
      <w:bookmarkEnd w:id="675"/>
      <w:bookmarkEnd w:id="676"/>
      <w:bookmarkEnd w:id="677"/>
      <w:bookmarkEnd w:id="678"/>
      <w:bookmarkEnd w:id="679"/>
      <w:bookmarkEnd w:id="680"/>
      <w:bookmarkEnd w:id="681"/>
      <w:bookmarkEnd w:id="682"/>
      <w:bookmarkEnd w:id="683"/>
      <w:r>
        <w:rPr>
          <w:rFonts w:ascii="Times New Roman" w:hAnsi="Times New Roman" w:eastAsia="方正楷体_GBK"/>
          <w:b/>
          <w:sz w:val="32"/>
          <w:szCs w:val="32"/>
        </w:rPr>
        <w:t>拓展投资空间</w:t>
      </w:r>
      <w:bookmarkEnd w:id="684"/>
      <w:bookmarkEnd w:id="685"/>
      <w:bookmarkEnd w:id="686"/>
      <w:bookmarkEnd w:id="687"/>
      <w:bookmarkEnd w:id="688"/>
      <w:bookmarkEnd w:id="689"/>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积极扩大有效投资。聚焦基础设施、农业农村、公共安全、生态环保、科技教育、公共卫生、防灾减灾、民生保障等既有需求又有空间的短板领域，保持投资合理增长。推进重大生态系统保护修复、东部新区、防洪抗旱减灾等一批强基础、增功能、利长远的重大项目建设。加大项目谋划储备力度，建立重大项目库。强化要素保障，加强项目科学调度，尽快形成更多实物投资量。增强投资有效性，让更多基础设施投资形成优质资产、产业投资形成实体企业、民生投资形成消费潜力。</w:t>
      </w:r>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深化投融资体制改革创新。发挥政府投资引导和撬动作用，强化“项目池”“资金池”“资源要素池”对接，推动资金资产资源“三资融合”。创新投融资模式，多渠道盘活存量资产以市场化方式引导债券资金、保险资金、公募资金等社会资本更多参与基础设施、公共服务、生态产业、科技创新等重点领域建设。积极扩大直接融资，引导更多资本要素向中小微企业、民营企业高效配置，支持企业上市融资。增强投资服务效能，调动民间投资积极性，形成市场主导、政府引导的投资内生增长机制。</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690" w:name="_Toc25419"/>
      <w:bookmarkStart w:id="691" w:name="_Toc13278"/>
      <w:bookmarkStart w:id="692" w:name="_Toc7967"/>
      <w:bookmarkStart w:id="693" w:name="_Toc24463"/>
      <w:bookmarkStart w:id="694" w:name="_Toc20335"/>
      <w:bookmarkStart w:id="695" w:name="_Toc17304"/>
      <w:bookmarkStart w:id="696" w:name="_Toc22483"/>
      <w:bookmarkStart w:id="697" w:name="_Toc16558"/>
      <w:bookmarkStart w:id="698" w:name="_Toc21890"/>
      <w:bookmarkStart w:id="699" w:name="_Toc19186"/>
      <w:bookmarkStart w:id="700" w:name="_Toc28158"/>
      <w:bookmarkStart w:id="701" w:name="_Toc16232"/>
      <w:bookmarkStart w:id="702" w:name="_Toc15458"/>
      <w:bookmarkStart w:id="703" w:name="_Toc18807"/>
      <w:r>
        <w:rPr>
          <w:rFonts w:ascii="Times New Roman" w:hAnsi="Times New Roman" w:eastAsia="方正楷体_GBK"/>
          <w:b/>
          <w:sz w:val="32"/>
          <w:szCs w:val="32"/>
        </w:rPr>
        <w:t>第三节  全面促进消费</w:t>
      </w:r>
      <w:bookmarkEnd w:id="690"/>
      <w:bookmarkEnd w:id="691"/>
      <w:bookmarkEnd w:id="692"/>
      <w:bookmarkEnd w:id="693"/>
      <w:bookmarkEnd w:id="694"/>
      <w:bookmarkEnd w:id="695"/>
      <w:bookmarkEnd w:id="696"/>
      <w:bookmarkEnd w:id="697"/>
      <w:bookmarkEnd w:id="698"/>
      <w:bookmarkEnd w:id="699"/>
      <w:bookmarkEnd w:id="700"/>
      <w:bookmarkEnd w:id="701"/>
      <w:bookmarkEnd w:id="702"/>
    </w:p>
    <w:p>
      <w:pPr>
        <w:overflowPunct w:val="0"/>
        <w:adjustRightInd w:val="0"/>
        <w:snapToGrid w:val="0"/>
        <w:spacing w:line="560" w:lineRule="exact"/>
        <w:ind w:firstLine="640" w:firstLineChars="200"/>
        <w:jc w:val="left"/>
        <w:rPr>
          <w:rFonts w:ascii="Times New Roman" w:hAnsi="Times New Roman" w:eastAsia="方正仿宋_GBK"/>
          <w:b/>
          <w:bCs/>
          <w:sz w:val="32"/>
          <w:szCs w:val="32"/>
        </w:rPr>
      </w:pPr>
      <w:r>
        <w:rPr>
          <w:rFonts w:ascii="Times New Roman" w:hAnsi="Times New Roman" w:eastAsia="方正仿宋_GBK"/>
          <w:bCs/>
          <w:sz w:val="32"/>
          <w:szCs w:val="32"/>
        </w:rPr>
        <w:t>拓展优化消费空间。构建多元融合的消费业态，提升县城中心城区商圈品质，承接高端消费群体。引导商业步行街、文化街、土城老街等打造市民消费升级载体，因地制宜发展新型文旅商业消费聚集区。</w:t>
      </w:r>
      <w:r>
        <w:rPr>
          <w:rFonts w:ascii="Times New Roman" w:hAnsi="Times New Roman" w:eastAsia="方正仿宋_GBK"/>
          <w:sz w:val="32"/>
          <w:szCs w:val="32"/>
        </w:rPr>
        <w:t>拓展消费新场景，提升假日消费、旅游消费、夜间经济，建设具有巴山特色的绿色高端消费目的地和渝东北地区具有影响力的康养胜地。</w:t>
      </w:r>
      <w:r>
        <w:rPr>
          <w:rFonts w:ascii="Times New Roman" w:hAnsi="Times New Roman" w:eastAsia="方正仿宋_GBK"/>
          <w:bCs/>
          <w:sz w:val="32"/>
          <w:szCs w:val="32"/>
        </w:rPr>
        <w:t>适当增加公共消费，提高教育、医疗、养老、育幼等公共服务支出效率。扩大消费需求，挖掘和增强居民消费能力。开拓乡村市场，推动农村消费扩容提质，吸引城市消费下乡。</w:t>
      </w:r>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推动消费供给升级。顺应消费品质化、智能化、多元化、服务化升级趋势，以消费升级引领供给创新，</w:t>
      </w:r>
      <w:r>
        <w:rPr>
          <w:rFonts w:ascii="Times New Roman" w:hAnsi="Times New Roman" w:eastAsia="方正仿宋_GBK"/>
          <w:bCs/>
          <w:sz w:val="32"/>
          <w:szCs w:val="32"/>
        </w:rPr>
        <w:t>着力发展平台经济、共享经济、美丽经济，</w:t>
      </w:r>
      <w:r>
        <w:rPr>
          <w:rFonts w:ascii="Times New Roman" w:hAnsi="Times New Roman" w:eastAsia="方正仿宋_GBK"/>
          <w:sz w:val="32"/>
          <w:szCs w:val="32"/>
        </w:rPr>
        <w:t>构建多元融合的消费业态</w:t>
      </w:r>
      <w:r>
        <w:rPr>
          <w:rFonts w:ascii="Times New Roman" w:hAnsi="Times New Roman" w:eastAsia="方正仿宋_GBK"/>
          <w:bCs/>
          <w:sz w:val="32"/>
          <w:szCs w:val="32"/>
        </w:rPr>
        <w:t>。加快完善“互联网+”消费生态体系，促进线上线下消费融合发展，培育消费新模式。</w:t>
      </w:r>
      <w:r>
        <w:rPr>
          <w:rFonts w:ascii="Times New Roman" w:hAnsi="Times New Roman" w:eastAsia="方正仿宋_GBK"/>
          <w:sz w:val="32"/>
          <w:szCs w:val="32"/>
        </w:rPr>
        <w:t>加快推动生态旅游消费升级，发展大巴山特色生态美食、传统手工艺品、养生食疗等产业，促进消费向绿色、健康、安全发展。</w:t>
      </w:r>
    </w:p>
    <w:p>
      <w:pPr>
        <w:overflowPunct w:val="0"/>
        <w:adjustRightInd w:val="0"/>
        <w:snapToGrid w:val="0"/>
        <w:spacing w:line="560" w:lineRule="exact"/>
        <w:ind w:firstLine="640" w:firstLineChars="200"/>
        <w:jc w:val="left"/>
        <w:rPr>
          <w:rFonts w:ascii="Times New Roman" w:hAnsi="Times New Roman"/>
        </w:rPr>
      </w:pPr>
      <w:r>
        <w:rPr>
          <w:rFonts w:ascii="Times New Roman" w:hAnsi="Times New Roman" w:eastAsia="方正仿宋_GBK"/>
          <w:sz w:val="32"/>
          <w:szCs w:val="32"/>
        </w:rPr>
        <w:t>全面提升消费环境。完善消费促进政策，健全消费者权益保障制度，营造安全友好的诚信消费环境。建立健全市场监测、用户权益保障、重要产品追溯等机制，完善消费信用监管体系，确保消费者安全消费。</w:t>
      </w:r>
    </w:p>
    <w:p>
      <w:pPr>
        <w:overflowPunct w:val="0"/>
        <w:spacing w:line="480" w:lineRule="exact"/>
        <w:jc w:val="center"/>
        <w:rPr>
          <w:rFonts w:ascii="Times New Roman" w:hAnsi="Times New Roman" w:eastAsia="方正黑体_GBK"/>
          <w:sz w:val="28"/>
          <w:szCs w:val="28"/>
        </w:rPr>
      </w:pPr>
      <w:r>
        <w:rPr>
          <w:rFonts w:ascii="Times New Roman" w:hAnsi="Times New Roman" w:eastAsia="方正黑体_GBK"/>
          <w:sz w:val="28"/>
          <w:szCs w:val="28"/>
        </w:rPr>
        <w:t>专栏4  特色消费集聚区建设</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2" w:firstLineChars="200"/>
              <w:rPr>
                <w:rFonts w:ascii="Times New Roman" w:hAnsi="Times New Roman" w:eastAsia="方正仿宋_GBK"/>
                <w:sz w:val="24"/>
                <w:szCs w:val="32"/>
              </w:rPr>
            </w:pPr>
            <w:r>
              <w:rPr>
                <w:rFonts w:ascii="Times New Roman" w:hAnsi="Times New Roman" w:eastAsia="方正仿宋_GBK"/>
                <w:b/>
                <w:bCs/>
                <w:sz w:val="24"/>
                <w:szCs w:val="32"/>
              </w:rPr>
              <w:t>商业街区。</w:t>
            </w:r>
            <w:r>
              <w:rPr>
                <w:rFonts w:ascii="Times New Roman" w:hAnsi="Times New Roman" w:eastAsia="方正仿宋_GBK"/>
                <w:sz w:val="24"/>
                <w:szCs w:val="32"/>
              </w:rPr>
              <w:t>推动南大街、步行街、商业街、后南街等商业设施改造升级，建设百年广场商业综合体、土城历史文化名街等一批特色商业街区。</w:t>
            </w:r>
          </w:p>
          <w:p>
            <w:pPr>
              <w:overflowPunct w:val="0"/>
              <w:spacing w:line="400" w:lineRule="exact"/>
              <w:ind w:firstLine="482" w:firstLineChars="200"/>
              <w:rPr>
                <w:rFonts w:ascii="Times New Roman" w:hAnsi="Times New Roman" w:eastAsia="方正仿宋_GBK"/>
                <w:b/>
                <w:bCs/>
                <w:sz w:val="24"/>
                <w:szCs w:val="32"/>
              </w:rPr>
            </w:pPr>
            <w:r>
              <w:rPr>
                <w:rFonts w:ascii="Times New Roman" w:hAnsi="Times New Roman" w:eastAsia="方正仿宋_GBK"/>
                <w:b/>
                <w:bCs/>
                <w:sz w:val="24"/>
                <w:szCs w:val="32"/>
              </w:rPr>
              <w:t>特色美食街。</w:t>
            </w:r>
            <w:r>
              <w:rPr>
                <w:rFonts w:ascii="Times New Roman" w:hAnsi="Times New Roman" w:eastAsia="方正仿宋_GBK"/>
                <w:kern w:val="0"/>
                <w:sz w:val="24"/>
                <w:szCs w:val="28"/>
              </w:rPr>
              <w:t>打造葛城大巴山美食街、庙坝山地鸡美食街、修齐老腊肉美食街、巴山湖美食街、亢谷美食街、九重山美食街六大特色美食街。</w:t>
            </w:r>
          </w:p>
        </w:tc>
      </w:tr>
    </w:tbl>
    <w:p>
      <w:pPr>
        <w:overflowPunct w:val="0"/>
        <w:spacing w:line="560" w:lineRule="exact"/>
        <w:rPr>
          <w:rFonts w:ascii="Times New Roman" w:hAnsi="Times New Roman" w:eastAsia="方正黑体_GBK"/>
          <w:b/>
          <w:bCs/>
          <w:kern w:val="44"/>
          <w:sz w:val="32"/>
          <w:szCs w:val="32"/>
        </w:rPr>
      </w:pPr>
    </w:p>
    <w:p>
      <w:pPr>
        <w:overflowPunct w:val="0"/>
        <w:adjustRightInd w:val="0"/>
        <w:snapToGrid w:val="0"/>
        <w:spacing w:line="560" w:lineRule="exact"/>
        <w:jc w:val="center"/>
        <w:outlineLvl w:val="1"/>
        <w:rPr>
          <w:rFonts w:ascii="Times New Roman" w:hAnsi="Times New Roman" w:eastAsia="方正黑体_GBK"/>
          <w:b/>
          <w:bCs/>
          <w:w w:val="98"/>
          <w:kern w:val="44"/>
          <w:sz w:val="32"/>
          <w:szCs w:val="32"/>
        </w:rPr>
      </w:pPr>
      <w:bookmarkStart w:id="704" w:name="_Toc7331"/>
      <w:bookmarkStart w:id="705" w:name="_Toc2828"/>
      <w:bookmarkStart w:id="706" w:name="_Toc6452"/>
      <w:bookmarkStart w:id="707" w:name="_Toc12573"/>
      <w:bookmarkStart w:id="708" w:name="_Toc9378"/>
      <w:bookmarkStart w:id="709" w:name="_Toc14410"/>
      <w:bookmarkStart w:id="710" w:name="_Toc1840"/>
      <w:bookmarkStart w:id="711" w:name="_Toc15586"/>
      <w:bookmarkStart w:id="712" w:name="_Toc2049"/>
      <w:bookmarkStart w:id="713" w:name="_Toc18275"/>
      <w:bookmarkStart w:id="714" w:name="_Toc1252"/>
      <w:bookmarkStart w:id="715" w:name="_Toc25953"/>
      <w:bookmarkStart w:id="716" w:name="_Toc31202"/>
      <w:bookmarkStart w:id="717" w:name="_Toc28393"/>
      <w:bookmarkStart w:id="718" w:name="_Toc750"/>
      <w:bookmarkStart w:id="719" w:name="_Toc4287"/>
      <w:bookmarkStart w:id="720" w:name="_Toc18912"/>
      <w:bookmarkStart w:id="721" w:name="_Toc19845"/>
      <w:r>
        <w:rPr>
          <w:rFonts w:ascii="Times New Roman" w:hAnsi="Times New Roman" w:eastAsia="方正黑体_GBK"/>
          <w:b/>
          <w:bCs/>
          <w:w w:val="98"/>
          <w:kern w:val="44"/>
          <w:sz w:val="32"/>
          <w:szCs w:val="32"/>
        </w:rPr>
        <w:t xml:space="preserve">第十章  </w:t>
      </w:r>
      <w:bookmarkEnd w:id="703"/>
      <w:r>
        <w:rPr>
          <w:rFonts w:ascii="Times New Roman" w:hAnsi="Times New Roman" w:eastAsia="方正黑体_GBK"/>
          <w:b/>
          <w:bCs/>
          <w:w w:val="98"/>
          <w:kern w:val="44"/>
          <w:sz w:val="32"/>
          <w:szCs w:val="32"/>
        </w:rPr>
        <w:t>推进成渝地区双城经济圈和渝东北三峡库区城镇群建设</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牢固树立一体化发展理念，</w:t>
      </w:r>
      <w:r>
        <w:rPr>
          <w:rFonts w:ascii="Times New Roman" w:hAnsi="Times New Roman" w:eastAsia="方正仿宋_GBK"/>
          <w:bCs/>
          <w:sz w:val="32"/>
          <w:szCs w:val="32"/>
        </w:rPr>
        <w:t>以城（口）宣（汉）万（源）革命老区振兴发展示范区为重要平台，</w:t>
      </w:r>
      <w:r>
        <w:rPr>
          <w:rFonts w:ascii="Times New Roman" w:hAnsi="Times New Roman" w:eastAsia="方正仿宋_GBK"/>
          <w:sz w:val="32"/>
          <w:szCs w:val="32"/>
        </w:rPr>
        <w:t>积极融入成渝地区双城经济圈建设，促进川东北渝东北一体化发展。深入落实重庆“一区两群”协调发展机制，加快建设生态优先绿色发展示范区。</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722" w:name="_Toc19550"/>
      <w:bookmarkStart w:id="723" w:name="_Toc26237"/>
      <w:bookmarkStart w:id="724" w:name="_Toc25549"/>
      <w:bookmarkStart w:id="725" w:name="_Toc13492"/>
      <w:bookmarkStart w:id="726" w:name="_Toc11460"/>
      <w:bookmarkStart w:id="727" w:name="_Toc2204"/>
      <w:bookmarkStart w:id="728" w:name="_Toc14969"/>
      <w:bookmarkStart w:id="729" w:name="_Toc11439"/>
      <w:bookmarkStart w:id="730" w:name="_Toc25050"/>
      <w:bookmarkStart w:id="731" w:name="_Toc22112"/>
      <w:bookmarkStart w:id="732" w:name="_Toc11645"/>
      <w:bookmarkStart w:id="733" w:name="_Toc13782"/>
      <w:bookmarkStart w:id="734" w:name="_Toc6346"/>
      <w:bookmarkStart w:id="735" w:name="_Toc7851"/>
      <w:bookmarkStart w:id="736" w:name="_Toc20389"/>
      <w:bookmarkStart w:id="737" w:name="_Toc10330"/>
      <w:bookmarkStart w:id="738" w:name="_Toc8762"/>
      <w:bookmarkStart w:id="739" w:name="_Toc30638"/>
      <w:r>
        <w:rPr>
          <w:rFonts w:ascii="Times New Roman" w:hAnsi="Times New Roman" w:eastAsia="方正楷体_GBK"/>
          <w:b/>
          <w:sz w:val="32"/>
          <w:szCs w:val="32"/>
        </w:rPr>
        <w:t>第一节  合力推进基础设施建设</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推进区域交通基础设施互联互通，加快推动渝西高铁、城口至万源、城口至宣汉、城口至巫溪高速公路建设，全力争取安张铁路过境城口方案、万（州）至开（州）至城（口）至安（康）铁路</w:t>
      </w:r>
      <w:bookmarkStart w:id="740" w:name="_Hlk60904149"/>
      <w:r>
        <w:rPr>
          <w:rFonts w:ascii="Times New Roman" w:hAnsi="Times New Roman" w:eastAsia="方正仿宋_GBK"/>
          <w:sz w:val="32"/>
          <w:szCs w:val="32"/>
        </w:rPr>
        <w:t>和城口至镇坪至神农架高速公路等重大交通项目</w:t>
      </w:r>
      <w:bookmarkEnd w:id="740"/>
      <w:r>
        <w:rPr>
          <w:rFonts w:ascii="Times New Roman" w:hAnsi="Times New Roman" w:eastAsia="方正仿宋_GBK"/>
          <w:sz w:val="32"/>
          <w:szCs w:val="32"/>
        </w:rPr>
        <w:t>，打通城口与陕西紫阳县间的“断头路”。加强水利基础设施共建共管，协同建设城乡防洪、中小河流治理、山洪灾害防治、水土流失等一系列水利工程，加强任河、前河、中河、后河流域水利基础设施建设管理协作，合作实施饮水安全巩固提升工程。优化区域能源基础设施布局，促进能源基础设施共建共用。</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741" w:name="_Toc14524"/>
      <w:bookmarkStart w:id="742" w:name="_Toc17280"/>
      <w:bookmarkStart w:id="743" w:name="_Toc8199"/>
      <w:bookmarkStart w:id="744" w:name="_Toc598"/>
      <w:bookmarkStart w:id="745" w:name="_Toc27315"/>
      <w:bookmarkStart w:id="746" w:name="_Toc18269"/>
      <w:bookmarkStart w:id="747" w:name="_Toc18920"/>
      <w:bookmarkStart w:id="748" w:name="_Toc31702"/>
      <w:bookmarkStart w:id="749" w:name="_Toc9699"/>
      <w:bookmarkStart w:id="750" w:name="_Toc28469"/>
      <w:bookmarkStart w:id="751" w:name="_Toc28503"/>
      <w:bookmarkStart w:id="752" w:name="_Toc26783"/>
      <w:bookmarkStart w:id="753" w:name="_Toc23130"/>
      <w:bookmarkStart w:id="754" w:name="_Toc25250"/>
      <w:bookmarkStart w:id="755" w:name="_Toc15857"/>
      <w:bookmarkStart w:id="756" w:name="_Toc17629"/>
      <w:bookmarkStart w:id="757" w:name="_Toc9011"/>
      <w:bookmarkStart w:id="758" w:name="_Toc15293"/>
      <w:r>
        <w:rPr>
          <w:rFonts w:ascii="Times New Roman" w:hAnsi="Times New Roman" w:eastAsia="方正楷体_GBK"/>
          <w:b/>
          <w:sz w:val="32"/>
          <w:szCs w:val="32"/>
        </w:rPr>
        <w:t>第二节  合力推进产业互融互补</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动区域山地特色高效农业协同发展。深度参与大三峡区域生态绿色产品和地理标志产品的品牌建设，协同推进“三峡”系列农产品地方标准制定，推动“大巴山硒谷”品牌融入“巴味渝珍”区域公用品牌体系。充分利用独具特色的农产品资源，合力推动品牌创造、品牌输出与品牌营销，建设成渝地区有机农产品供应地与特色农产品优势区。</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共同打造大巴山国际旅游度假区。坚持市场带动、景区联动、客源共享、集群发展理念，推动区域旅游康养基础设施建设，提升旅游康养服务水平，协同毗邻地区共推巴蜀文化旅游走廊建设，积极融入“大三峡”世界级精品景区和线路。</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推进区域绿色工业发展。探索与毗邻地区互利共赢的税收分享机制，合作共建产业园区，发展“飞地经济”，推动锰钡加工转型升级。</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759" w:name="_Toc12914"/>
      <w:bookmarkStart w:id="760" w:name="_Toc28939"/>
      <w:bookmarkStart w:id="761" w:name="_Toc19521"/>
      <w:bookmarkStart w:id="762" w:name="_Toc11430"/>
      <w:bookmarkStart w:id="763" w:name="_Toc24388"/>
      <w:bookmarkStart w:id="764" w:name="_Toc21870"/>
      <w:bookmarkStart w:id="765" w:name="_Toc11662"/>
      <w:bookmarkStart w:id="766" w:name="_Toc24529"/>
      <w:bookmarkStart w:id="767" w:name="_Toc15568"/>
      <w:bookmarkStart w:id="768" w:name="_Toc11673"/>
      <w:bookmarkStart w:id="769" w:name="_Toc25007"/>
      <w:bookmarkStart w:id="770" w:name="_Toc12411"/>
      <w:bookmarkStart w:id="771" w:name="_Toc29880"/>
      <w:bookmarkStart w:id="772" w:name="_Toc24078"/>
      <w:bookmarkStart w:id="773" w:name="_Toc8517"/>
      <w:bookmarkStart w:id="774" w:name="_Toc15943"/>
      <w:bookmarkStart w:id="775" w:name="_Toc5020"/>
      <w:bookmarkStart w:id="776" w:name="_Toc3194"/>
      <w:r>
        <w:rPr>
          <w:rFonts w:ascii="Times New Roman" w:hAnsi="Times New Roman" w:eastAsia="方正楷体_GBK"/>
          <w:b/>
          <w:sz w:val="32"/>
          <w:szCs w:val="32"/>
        </w:rPr>
        <w:t>第三节  合力推进生态环境共建共保</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深入推进跨区域生态共建环境共保。加强区域生态环境政策协同，完善毗邻地区生态环境部门协同工作机制。统筹区域山水林田湖草一体化保护和修复，深化跨区域生态保护合作，共同谋划实施一批区域性生态项目。以跨界河流与跨界山脉为支撑，共建绿色生态廊道，持续提升自然保护地生态环境质量。</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积极开展跨区域生态环境防控治理。建立与毗邻地区生态环境联防联控机制，开展常态化跨界河流联合“巡河”行动，推进林业有害生物防控合作。加强跨界水体环境和水土流失综合治理。建立跨区域突发环境事件应急管理联动与协作处置机制，开展跨界生态环境联合执法。协同推进企业环境信用体系建设，建立跨区域环评会商机制。</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777" w:name="_Toc27928"/>
      <w:bookmarkStart w:id="778" w:name="_Toc30650"/>
      <w:bookmarkStart w:id="779" w:name="_Toc1695"/>
      <w:bookmarkStart w:id="780" w:name="_Toc15723"/>
      <w:bookmarkStart w:id="781" w:name="_Toc18404"/>
      <w:bookmarkStart w:id="782" w:name="_Toc21629"/>
      <w:bookmarkStart w:id="783" w:name="_Toc11171"/>
      <w:bookmarkStart w:id="784" w:name="_Toc12288"/>
      <w:bookmarkStart w:id="785" w:name="_Toc30510"/>
      <w:bookmarkStart w:id="786" w:name="_Toc8546"/>
      <w:bookmarkStart w:id="787" w:name="_Toc10203"/>
      <w:bookmarkStart w:id="788" w:name="_Toc30356"/>
      <w:bookmarkStart w:id="789" w:name="_Toc19109"/>
      <w:bookmarkStart w:id="790" w:name="_Toc18685"/>
      <w:bookmarkStart w:id="791" w:name="_Toc24885"/>
      <w:bookmarkStart w:id="792" w:name="_Toc2407"/>
      <w:bookmarkStart w:id="793" w:name="_Toc29339"/>
      <w:bookmarkStart w:id="794" w:name="_Toc18918"/>
      <w:r>
        <w:rPr>
          <w:rFonts w:ascii="Times New Roman" w:hAnsi="Times New Roman" w:eastAsia="方正楷体_GBK"/>
          <w:b/>
          <w:sz w:val="32"/>
          <w:szCs w:val="32"/>
        </w:rPr>
        <w:t>第四节  合力推进公共服务共建共享</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动医疗卫生服务共建共享。联合毗邻地区统筹布局优质医疗卫生资源，落实异地就医直接结算与定点医疗机构协同互认。共建紧密型医联体，加强医院间项目合作、技术帮扶、专科建设、人才培养、学术交流、科研开发。完善重大疫情和突发公共卫生事件联防联控机制，提升公共卫生应急救治能力。</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进教育资源互融互通。共建大巴山研学旅行基地，为毗邻地区学生提供优质社会实践和劳动教育服务。大力推动开放办学、合作办学、特色办学、差异办学，促进区域内教师招录、培养、交流合作，探索毗邻地区边界学校义务教育招生联动机制，实现“籍随人走”，全力融入区域教育协同发展版图。</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促进就业创业互扶互认。积极参与建立跨区域公共就业创业服务长效对接机制，强化就业帮扶、创业扶持、人才流动、农民工服务保障、社会保险服务政策及措施协同。合力推进户籍便利化迁移和居住证互认互通、社会保险协同认证、养老保险关系无障碍转移、公积金互认互贷等。加强毗邻地区人力资源服务许可备案、从业人员职业资格等事项互认，促进跨区域就业信息、工伤保险参保登记、劳动能力鉴定等信息共享。</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795" w:name="_Toc13419"/>
      <w:bookmarkStart w:id="796" w:name="_Toc12970"/>
      <w:bookmarkStart w:id="797" w:name="_Toc28180"/>
      <w:bookmarkStart w:id="798" w:name="_Toc19111"/>
      <w:bookmarkStart w:id="799" w:name="_Toc28244"/>
      <w:bookmarkStart w:id="800" w:name="_Toc24786"/>
      <w:bookmarkStart w:id="801" w:name="_Toc338"/>
      <w:bookmarkStart w:id="802" w:name="_Toc14887"/>
      <w:bookmarkStart w:id="803" w:name="_Toc1398"/>
      <w:bookmarkStart w:id="804" w:name="_Toc7814"/>
      <w:bookmarkStart w:id="805" w:name="_Toc19619"/>
      <w:bookmarkStart w:id="806" w:name="_Toc19286"/>
      <w:bookmarkStart w:id="807" w:name="_Toc27880"/>
      <w:bookmarkStart w:id="808" w:name="_Toc18291"/>
      <w:bookmarkStart w:id="809" w:name="_Toc8024"/>
      <w:bookmarkStart w:id="810" w:name="_Toc23983"/>
      <w:bookmarkStart w:id="811" w:name="_Toc24517"/>
      <w:bookmarkStart w:id="812" w:name="_Toc11078"/>
      <w:r>
        <w:rPr>
          <w:rFonts w:ascii="Times New Roman" w:hAnsi="Times New Roman" w:eastAsia="方正楷体_GBK"/>
          <w:b/>
          <w:sz w:val="32"/>
          <w:szCs w:val="32"/>
        </w:rPr>
        <w:t>第五节  合力深化战略合作机制</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overflowPunct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深化落实毗邻地区相关协调会议机制，健全交通、产业、创新、市场、资源环境、公共服务等专项合作机制，分领域策划和推进具体合作事项及项目。培育合作文化，加强宣传引导，营造全社会共同推动成渝地区双城经济圈建设与渝东北三峡库区城镇群建设的良好氛围。</w:t>
      </w:r>
    </w:p>
    <w:p>
      <w:pPr>
        <w:overflowPunct w:val="0"/>
        <w:spacing w:line="560" w:lineRule="exact"/>
        <w:rPr>
          <w:rFonts w:ascii="Times New Roman" w:hAnsi="Times New Roman"/>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813" w:name="_Toc28416"/>
      <w:bookmarkStart w:id="814" w:name="_Toc19741"/>
      <w:bookmarkStart w:id="815" w:name="_Toc12356"/>
      <w:bookmarkStart w:id="816" w:name="_Toc5364"/>
      <w:bookmarkStart w:id="817" w:name="_Toc11810"/>
      <w:bookmarkStart w:id="818" w:name="_Toc26478"/>
      <w:bookmarkStart w:id="819" w:name="_Toc16683"/>
      <w:bookmarkStart w:id="820" w:name="_Toc6761"/>
      <w:bookmarkStart w:id="821" w:name="_Toc2652"/>
      <w:bookmarkStart w:id="822" w:name="_Toc27603"/>
      <w:bookmarkStart w:id="823" w:name="_Toc24850"/>
      <w:bookmarkStart w:id="824" w:name="_Toc106"/>
      <w:bookmarkStart w:id="825" w:name="_Toc23734"/>
      <w:bookmarkStart w:id="826" w:name="_Toc19429"/>
      <w:bookmarkStart w:id="827" w:name="_Toc23806"/>
      <w:bookmarkStart w:id="828" w:name="_Toc19003"/>
      <w:bookmarkStart w:id="829" w:name="_Toc31748"/>
      <w:bookmarkStart w:id="830" w:name="_Toc24743"/>
      <w:r>
        <w:rPr>
          <w:rFonts w:ascii="Times New Roman" w:hAnsi="Times New Roman" w:eastAsia="方正黑体_GBK"/>
          <w:b/>
          <w:bCs/>
          <w:kern w:val="44"/>
          <w:sz w:val="32"/>
          <w:szCs w:val="32"/>
        </w:rPr>
        <w:t>第十一章  实施更高水平开放</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overflowPunct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坚持“引进来”与“走出去”并举，实施更大范围、更宽领域、更深层次开放，促进各类要素自由流动、高效聚集。积极开展对外经贸合作与人文交流，提升开放水平。</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831" w:name="_Toc20236"/>
      <w:bookmarkStart w:id="832" w:name="_Toc690"/>
      <w:bookmarkStart w:id="833" w:name="_Toc9328"/>
      <w:bookmarkStart w:id="834" w:name="_Toc23595"/>
      <w:bookmarkStart w:id="835" w:name="_Toc22436"/>
      <w:bookmarkStart w:id="836" w:name="_Toc9233"/>
      <w:bookmarkStart w:id="837" w:name="_Toc3785"/>
      <w:bookmarkStart w:id="838" w:name="_Toc2305"/>
      <w:bookmarkStart w:id="839" w:name="_Toc8314"/>
      <w:bookmarkStart w:id="840" w:name="_Toc32421"/>
      <w:bookmarkStart w:id="841" w:name="_Toc7763"/>
      <w:bookmarkStart w:id="842" w:name="_Toc26666"/>
      <w:bookmarkStart w:id="843" w:name="_Toc6101"/>
      <w:bookmarkStart w:id="844" w:name="_Toc8658"/>
      <w:bookmarkStart w:id="845" w:name="_Toc15630"/>
      <w:bookmarkStart w:id="846" w:name="_Toc1372"/>
      <w:bookmarkStart w:id="847" w:name="_Toc14669"/>
      <w:bookmarkStart w:id="848" w:name="_Toc14540"/>
      <w:r>
        <w:rPr>
          <w:rFonts w:ascii="Times New Roman" w:hAnsi="Times New Roman" w:eastAsia="方正楷体_GBK"/>
          <w:b/>
          <w:sz w:val="32"/>
          <w:szCs w:val="32"/>
        </w:rPr>
        <w:t>第一节  加快开放通道建设</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全面融入、主动服务国家和全市对外开放战略，</w:t>
      </w:r>
      <w:r>
        <w:rPr>
          <w:rFonts w:ascii="Times New Roman" w:hAnsi="Times New Roman" w:eastAsia="方正仿宋_GBK"/>
          <w:bCs/>
          <w:sz w:val="32"/>
          <w:szCs w:val="32"/>
        </w:rPr>
        <w:t>统筹东西南北四个方向，加快畅通东向城（口）巫（溪）鄂、西向城（口）宣（汉）达（州）蓉、南向城（口）开（州）万（州）渝、北向城（口）岚（皋）安（康）西、西北城（口）万（源）的五大对外通道，主动融入周边大中城市发展，构建连接长江三峡腹地贯通大西北的重要节点。</w:t>
      </w:r>
      <w:r>
        <w:rPr>
          <w:rFonts w:ascii="Times New Roman" w:hAnsi="Times New Roman" w:eastAsia="方正仿宋_GBK"/>
          <w:sz w:val="32"/>
          <w:szCs w:val="32"/>
        </w:rPr>
        <w:t>以高速、高铁为纽带，促进通道物流、物流带经贸、经贸带产业，大力发展通道经济、枢纽经济，推动通道创造经济价值、提升经济效益，打造渝川陕合作门户。</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849" w:name="_Toc2612"/>
      <w:bookmarkStart w:id="850" w:name="_Toc23780"/>
      <w:bookmarkStart w:id="851" w:name="_Toc2894"/>
      <w:bookmarkStart w:id="852" w:name="_Toc24190"/>
      <w:bookmarkStart w:id="853" w:name="_Toc23442"/>
      <w:bookmarkStart w:id="854" w:name="_Toc30505"/>
      <w:bookmarkStart w:id="855" w:name="_Toc4589"/>
      <w:bookmarkStart w:id="856" w:name="_Toc17821"/>
      <w:bookmarkStart w:id="857" w:name="_Toc4802"/>
      <w:bookmarkStart w:id="858" w:name="_Toc2841"/>
      <w:bookmarkStart w:id="859" w:name="_Toc31321"/>
      <w:bookmarkStart w:id="860" w:name="_Toc19816"/>
      <w:bookmarkStart w:id="861" w:name="_Toc1128"/>
      <w:bookmarkStart w:id="862" w:name="_Toc3145"/>
      <w:bookmarkStart w:id="863" w:name="_Toc29672"/>
      <w:bookmarkStart w:id="864" w:name="_Toc2814"/>
      <w:bookmarkStart w:id="865" w:name="_Toc16358"/>
      <w:bookmarkStart w:id="866" w:name="_Toc13393"/>
      <w:r>
        <w:rPr>
          <w:rFonts w:ascii="Times New Roman" w:hAnsi="Times New Roman" w:eastAsia="方正楷体_GBK"/>
          <w:b/>
          <w:sz w:val="32"/>
          <w:szCs w:val="32"/>
        </w:rPr>
        <w:t>第二节  加快开放平台建设</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bCs/>
          <w:sz w:val="32"/>
          <w:szCs w:val="32"/>
        </w:rPr>
        <w:t>依托成渝地区双城经济圈、万达开川渝统筹发展示范区、渝东北三峡库区城镇群、万开云板块等平台，集聚发展资源要素，加快推动城（口）宣（汉）万（源）革命老区振兴发展示范区建设，加强旅游景区、旅游示范区共建，积极融入周边区域协调发展</w:t>
      </w:r>
      <w:r>
        <w:rPr>
          <w:rFonts w:ascii="Times New Roman" w:hAnsi="Times New Roman" w:eastAsia="方正仿宋_GBK"/>
          <w:sz w:val="32"/>
          <w:szCs w:val="32"/>
        </w:rPr>
        <w:t>平台，为推进区域合作交流提供有力支撑。</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快建设城（口）宣（汉）万（源）革命老区振兴发展示范区。加强规划、政策、项目统筹，联合宣汉、万源在共建区域振兴体制机制、基础设施互联互通、公共服务共建共享、一体化社会治理上做好“四个探索”，在继承发扬红色革命精神、区域绿色发展、特色产业协作互促、扶贫增收助推乡村振兴上做到“四个示范”，促进革命老区加快振兴。</w:t>
      </w:r>
    </w:p>
    <w:p>
      <w:pPr>
        <w:overflowPunct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协同建设高品质大巴山景区集群。加快推动亢家寨国家5A级旅游景区建设，联合万源市八台山国家5A级旅游景区、宣汉县巴山大峡谷国家5A级旅游景区一体化发展，聚势形成大巴山国际旅游度假区。加快建设长征国家文化公园、川陕红军干部学院、川陕苏区城口纪念馆、红三十三军纪念馆，抱团万源市、宣汉县，一体化发展红色旅游，打造红色旅游“金三角”。</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867" w:name="_Toc2746"/>
      <w:bookmarkStart w:id="868" w:name="_Toc14116"/>
      <w:bookmarkStart w:id="869" w:name="_Toc16773"/>
      <w:bookmarkStart w:id="870" w:name="_Toc13498"/>
      <w:bookmarkStart w:id="871" w:name="_Toc20494"/>
      <w:bookmarkStart w:id="872" w:name="_Toc19700"/>
      <w:bookmarkStart w:id="873" w:name="_Toc21319"/>
      <w:bookmarkStart w:id="874" w:name="_Toc31998"/>
      <w:bookmarkStart w:id="875" w:name="_Toc10470"/>
      <w:bookmarkStart w:id="876" w:name="_Toc30211"/>
      <w:bookmarkStart w:id="877" w:name="_Toc12700"/>
      <w:bookmarkStart w:id="878" w:name="_Toc2462"/>
      <w:bookmarkStart w:id="879" w:name="_Toc28922"/>
      <w:bookmarkStart w:id="880" w:name="_Toc2710"/>
      <w:bookmarkStart w:id="881" w:name="_Toc20628"/>
      <w:bookmarkStart w:id="882" w:name="_Toc11791"/>
      <w:bookmarkStart w:id="883" w:name="_Toc14664"/>
      <w:bookmarkStart w:id="884" w:name="_Toc6863"/>
      <w:r>
        <w:rPr>
          <w:rFonts w:ascii="Times New Roman" w:hAnsi="Times New Roman" w:eastAsia="方正楷体_GBK"/>
          <w:b/>
          <w:sz w:val="32"/>
          <w:szCs w:val="32"/>
        </w:rPr>
        <w:t>第三节  提升开放型经济发展水平</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overflowPunct w:val="0"/>
        <w:spacing w:line="560" w:lineRule="exact"/>
        <w:ind w:firstLine="624" w:firstLineChars="200"/>
        <w:rPr>
          <w:rFonts w:ascii="Times New Roman" w:hAnsi="Times New Roman" w:eastAsia="方正仿宋_GBK"/>
          <w:spacing w:val="-4"/>
          <w:sz w:val="32"/>
          <w:szCs w:val="32"/>
        </w:rPr>
      </w:pPr>
      <w:r>
        <w:rPr>
          <w:rFonts w:ascii="Times New Roman" w:hAnsi="Times New Roman" w:eastAsia="方正仿宋_GBK"/>
          <w:spacing w:val="-4"/>
          <w:sz w:val="32"/>
          <w:szCs w:val="32"/>
        </w:rPr>
        <w:t>加大招商引资力度。立足资源禀赋和发展定位，坚持引龙头、补链条、建集群原则，重点围绕</w:t>
      </w:r>
      <w:r>
        <w:rPr>
          <w:rFonts w:ascii="Times New Roman" w:hAnsi="Times New Roman" w:eastAsia="方正仿宋_GBK"/>
          <w:bCs/>
          <w:spacing w:val="-4"/>
          <w:sz w:val="32"/>
          <w:szCs w:val="32"/>
        </w:rPr>
        <w:t>山地特色农业、绿色工业、现代服务业、文化旅游、城市建设等领域，实施量质双优精准招商。引进一批投资规模大、处于产业链关键环节、上下游带动性强的产业发展项目，为开放型经济注入新动能</w:t>
      </w:r>
      <w:r>
        <w:rPr>
          <w:rFonts w:ascii="Times New Roman" w:hAnsi="Times New Roman" w:eastAsia="方正仿宋_GBK"/>
          <w:spacing w:val="-4"/>
          <w:sz w:val="32"/>
          <w:szCs w:val="32"/>
        </w:rPr>
        <w:t>。创新“人、财、项目”打包引进模式，引入有生态认同、专业技能的人才和技术团队，鼓励城口企业家返乡创业，为城口经济高质量发展提供有力支撑。</w:t>
      </w:r>
    </w:p>
    <w:p>
      <w:pPr>
        <w:overflowPunct w:val="0"/>
        <w:adjustRightInd w:val="0"/>
        <w:snapToGrid w:val="0"/>
        <w:spacing w:line="560" w:lineRule="exact"/>
        <w:ind w:firstLine="640" w:firstLineChars="200"/>
        <w:rPr>
          <w:rFonts w:ascii="Times New Roman" w:hAnsi="Times New Roman" w:eastAsia="方正小标宋_GBK"/>
          <w:b/>
          <w:bCs/>
          <w:kern w:val="44"/>
          <w:sz w:val="36"/>
          <w:szCs w:val="36"/>
        </w:rPr>
      </w:pPr>
      <w:r>
        <w:rPr>
          <w:rFonts w:ascii="Times New Roman" w:hAnsi="Times New Roman" w:eastAsia="方正仿宋_GBK"/>
          <w:sz w:val="32"/>
          <w:szCs w:val="32"/>
        </w:rPr>
        <w:t>加速外向型经济发展。推进优势行业技术创新和特色资源整合，为外向型经济发展夯实基础。全力培育本地特色产品，加快推动城口老腊肉、漆器工艺品、中药材产品、优质农产品等城口特色产品“走出去”。开展跨境电子商务，加强跨境电商体系建设，推动特色产品出口。鼓励企业参与国际经贸交流，发展进出口业务。参与和发展会展经济，引导企业积极参加秦巴绿色生态产品交易博览会、西洽会等国内外知名交易会，举办秦巴地区区域性会展活动。用好智博会、中新金融峰会、“一带一路”国际技能大赛等重大开放活动平台，拓展城口对外开放合作空间。</w:t>
      </w:r>
    </w:p>
    <w:p>
      <w:pPr>
        <w:overflowPunct w:val="0"/>
        <w:adjustRightInd w:val="0"/>
        <w:snapToGrid w:val="0"/>
        <w:spacing w:line="560" w:lineRule="exact"/>
        <w:jc w:val="center"/>
        <w:outlineLvl w:val="0"/>
        <w:rPr>
          <w:rFonts w:ascii="Times New Roman" w:hAnsi="Times New Roman" w:eastAsia="方正小标宋_GBK"/>
          <w:b/>
          <w:bCs/>
          <w:kern w:val="44"/>
          <w:sz w:val="36"/>
          <w:szCs w:val="36"/>
        </w:rPr>
      </w:pPr>
      <w:bookmarkStart w:id="885" w:name="_Toc5498"/>
    </w:p>
    <w:p>
      <w:pPr>
        <w:overflowPunct w:val="0"/>
        <w:adjustRightInd w:val="0"/>
        <w:snapToGrid w:val="0"/>
        <w:spacing w:line="560" w:lineRule="exact"/>
        <w:jc w:val="center"/>
        <w:outlineLvl w:val="0"/>
        <w:rPr>
          <w:rFonts w:ascii="Times New Roman" w:hAnsi="Times New Roman" w:eastAsia="方正小标宋_GBK"/>
          <w:b/>
          <w:bCs/>
          <w:kern w:val="44"/>
          <w:sz w:val="36"/>
          <w:szCs w:val="36"/>
        </w:rPr>
      </w:pPr>
      <w:bookmarkStart w:id="886" w:name="_Toc5414"/>
      <w:bookmarkStart w:id="887" w:name="_Toc2665"/>
      <w:bookmarkStart w:id="888" w:name="_Toc14730"/>
      <w:bookmarkStart w:id="889" w:name="_Toc27719"/>
      <w:bookmarkStart w:id="890" w:name="_Toc21007"/>
      <w:bookmarkStart w:id="891" w:name="_Toc31393"/>
      <w:bookmarkStart w:id="892" w:name="_Toc23225"/>
      <w:bookmarkStart w:id="893" w:name="_Toc3905"/>
      <w:bookmarkStart w:id="894" w:name="_Toc11036"/>
      <w:bookmarkStart w:id="895" w:name="_Toc32616"/>
      <w:bookmarkStart w:id="896" w:name="_Toc14490"/>
      <w:bookmarkStart w:id="897" w:name="_Toc24525"/>
      <w:bookmarkStart w:id="898" w:name="_Toc22591"/>
      <w:bookmarkStart w:id="899" w:name="_Toc28340"/>
      <w:bookmarkStart w:id="900" w:name="_Toc14003"/>
      <w:bookmarkStart w:id="901" w:name="_Toc3563"/>
      <w:bookmarkStart w:id="902" w:name="_Toc21427"/>
      <w:r>
        <w:rPr>
          <w:rFonts w:ascii="Times New Roman" w:hAnsi="Times New Roman" w:eastAsia="方正小标宋_GBK"/>
          <w:b/>
          <w:bCs/>
          <w:kern w:val="44"/>
          <w:sz w:val="36"/>
          <w:szCs w:val="36"/>
        </w:rPr>
        <w:t>第四篇  全力推进基础设施建设 夯实高质量发展基础</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overflowPunct w:val="0"/>
        <w:rPr>
          <w:rFonts w:ascii="Times New Roman" w:hAnsi="Times New Roman" w:eastAsia="方正黑体_GBK"/>
          <w:b/>
          <w:bCs/>
          <w:kern w:val="44"/>
          <w:sz w:val="36"/>
          <w:szCs w:val="36"/>
        </w:rPr>
      </w:pPr>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聚焦基础设施补短板，以提升内联外通水平为导向，全力推进传统基础设施和新型基础设施建设，构建集约高效、经济适用、智能绿色、安全可靠的现代化基础设施体系，进一步夯实高质量发展基础，为县域经济社会发展提供强力支撑。</w:t>
      </w:r>
    </w:p>
    <w:p>
      <w:pPr>
        <w:overflowPunct w:val="0"/>
        <w:adjustRightInd w:val="0"/>
        <w:snapToGrid w:val="0"/>
        <w:spacing w:line="560" w:lineRule="exact"/>
        <w:jc w:val="center"/>
        <w:outlineLvl w:val="1"/>
        <w:rPr>
          <w:rFonts w:ascii="Times New Roman" w:hAnsi="Times New Roman" w:eastAsia="方正黑体_GBK"/>
          <w:b/>
          <w:sz w:val="32"/>
          <w:szCs w:val="32"/>
        </w:rPr>
      </w:pPr>
      <w:bookmarkStart w:id="903" w:name="_Toc59950006"/>
      <w:bookmarkStart w:id="904" w:name="_Toc26157"/>
      <w:bookmarkStart w:id="905" w:name="_Toc31973"/>
      <w:bookmarkStart w:id="906" w:name="_Toc481"/>
      <w:bookmarkStart w:id="907" w:name="_Toc32582"/>
      <w:bookmarkStart w:id="908" w:name="_Toc5419"/>
      <w:bookmarkStart w:id="909" w:name="_Toc29348"/>
      <w:bookmarkStart w:id="910" w:name="_Toc16420"/>
      <w:bookmarkStart w:id="911" w:name="_Toc15917"/>
      <w:bookmarkStart w:id="912" w:name="_Toc3394"/>
      <w:bookmarkStart w:id="913" w:name="_Toc27350"/>
      <w:bookmarkStart w:id="914" w:name="_Toc31692"/>
      <w:bookmarkStart w:id="915" w:name="_Toc19852"/>
      <w:bookmarkStart w:id="916" w:name="_Toc6803"/>
      <w:bookmarkStart w:id="917" w:name="_Toc24950"/>
      <w:bookmarkStart w:id="918" w:name="_Toc27251"/>
      <w:bookmarkStart w:id="919" w:name="_Toc20290"/>
      <w:bookmarkStart w:id="920" w:name="_Toc27464"/>
      <w:bookmarkStart w:id="921" w:name="_Toc27787"/>
    </w:p>
    <w:p>
      <w:pPr>
        <w:overflowPunct w:val="0"/>
        <w:adjustRightInd w:val="0"/>
        <w:snapToGrid w:val="0"/>
        <w:spacing w:line="560" w:lineRule="exact"/>
        <w:jc w:val="center"/>
        <w:outlineLvl w:val="1"/>
        <w:rPr>
          <w:rFonts w:ascii="Times New Roman" w:hAnsi="Times New Roman" w:eastAsia="方正黑体_GBK"/>
          <w:b/>
          <w:sz w:val="32"/>
          <w:szCs w:val="32"/>
        </w:rPr>
      </w:pPr>
      <w:r>
        <w:rPr>
          <w:rFonts w:ascii="Times New Roman" w:hAnsi="Times New Roman" w:eastAsia="方正黑体_GBK"/>
          <w:b/>
          <w:sz w:val="32"/>
          <w:szCs w:val="32"/>
        </w:rPr>
        <w:t xml:space="preserve">第十二章  </w:t>
      </w:r>
      <w:bookmarkEnd w:id="903"/>
      <w:r>
        <w:rPr>
          <w:rFonts w:ascii="Times New Roman" w:hAnsi="Times New Roman" w:eastAsia="方正黑体_GBK"/>
          <w:b/>
          <w:sz w:val="32"/>
          <w:szCs w:val="32"/>
        </w:rPr>
        <w:t>建设渝川陕毗邻区县综合交通枢纽</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构建“重庆向北重要交通节点”和“渝川陕毗邻区县综合交通枢纽”为目标，打通对外“大动脉”和畅通内部“微循环”，构建县域对外、县域内部高效衔接多层次综合交通网，强化枢纽衔接，优先推进高铁高速等重大交通基础设施互联互通，着力弥补区域性综合运输通道短板。</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922" w:name="_Toc13172"/>
      <w:bookmarkStart w:id="923" w:name="_Toc11910"/>
      <w:bookmarkStart w:id="924" w:name="_Toc24956"/>
      <w:bookmarkStart w:id="925" w:name="_Toc310"/>
      <w:bookmarkStart w:id="926" w:name="_Toc30194"/>
      <w:bookmarkStart w:id="927" w:name="_Toc17085"/>
      <w:bookmarkStart w:id="928" w:name="_Toc6954"/>
      <w:bookmarkStart w:id="929" w:name="_Toc8008"/>
      <w:bookmarkStart w:id="930" w:name="_Toc29457"/>
      <w:bookmarkStart w:id="931" w:name="_Toc17048"/>
      <w:bookmarkStart w:id="932" w:name="_Toc13888"/>
      <w:bookmarkStart w:id="933" w:name="_Toc14072"/>
      <w:bookmarkStart w:id="934" w:name="_Toc26627"/>
      <w:bookmarkStart w:id="935" w:name="_Toc27076"/>
      <w:bookmarkStart w:id="936" w:name="_Toc1835"/>
      <w:bookmarkStart w:id="937" w:name="_Toc19152"/>
      <w:bookmarkStart w:id="938" w:name="_Toc3262"/>
      <w:bookmarkStart w:id="939" w:name="_Toc29622"/>
      <w:r>
        <w:rPr>
          <w:rFonts w:ascii="Times New Roman" w:hAnsi="Times New Roman" w:eastAsia="方正楷体_GBK"/>
          <w:b/>
          <w:sz w:val="32"/>
          <w:szCs w:val="32"/>
        </w:rPr>
        <w:t>第一节  加快畅通对外通道</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bCs/>
          <w:sz w:val="32"/>
          <w:szCs w:val="32"/>
        </w:rPr>
        <w:t>完善对外综合交通通道布局，加快构建“一高两干”铁路网络和“两纵三横”高速路网。</w:t>
      </w:r>
      <w:r>
        <w:rPr>
          <w:rFonts w:ascii="Times New Roman" w:hAnsi="Times New Roman" w:eastAsia="方正仿宋_GBK"/>
          <w:sz w:val="32"/>
          <w:szCs w:val="32"/>
        </w:rPr>
        <w:t>建成G69银百高速城口段，新开工渝西高铁、城口至万源高速公路，加快推</w:t>
      </w:r>
      <w:r>
        <w:rPr>
          <w:rFonts w:ascii="Times New Roman" w:hAnsi="Times New Roman" w:eastAsia="方正仿宋_GBK"/>
          <w:sz w:val="32"/>
          <w:szCs w:val="32"/>
          <w:lang w:val="zh-CN" w:bidi="zh-CN"/>
        </w:rPr>
        <w:t>进城口至宣汉、城口至巫溪高速公路前期工作并及早开工，</w:t>
      </w:r>
      <w:r>
        <w:rPr>
          <w:rFonts w:ascii="Times New Roman" w:hAnsi="Times New Roman" w:eastAsia="方正仿宋_GBK"/>
          <w:sz w:val="32"/>
          <w:szCs w:val="32"/>
          <w:lang w:val="zh-CN"/>
        </w:rPr>
        <w:t>积极做好万州至城口至安康铁路、安张铁路过境城口、城口支线（通用）机场等重大交通项目规划争取工作，</w:t>
      </w:r>
      <w:r>
        <w:rPr>
          <w:rFonts w:ascii="Times New Roman" w:hAnsi="Times New Roman" w:eastAsia="方正仿宋_GBK"/>
          <w:sz w:val="32"/>
          <w:szCs w:val="32"/>
        </w:rPr>
        <w:t>新建和改建高楠或左岚至陕西紫阳、厚坪至巫溪、明中至巫溪等一批出境道路，实现“1小时万州、达州、安康”和“2小时重庆、成都、西安”联通目标。</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940" w:name="_Toc1290"/>
      <w:bookmarkStart w:id="941" w:name="_Toc35"/>
      <w:bookmarkStart w:id="942" w:name="_Toc25494"/>
      <w:bookmarkStart w:id="943" w:name="_Toc9008"/>
      <w:bookmarkStart w:id="944" w:name="_Toc17134"/>
      <w:bookmarkStart w:id="945" w:name="_Toc5087"/>
      <w:bookmarkStart w:id="946" w:name="_Toc11710"/>
      <w:bookmarkStart w:id="947" w:name="_Toc26075"/>
      <w:bookmarkStart w:id="948" w:name="_Toc15669"/>
      <w:bookmarkStart w:id="949" w:name="_Toc32514"/>
      <w:bookmarkStart w:id="950" w:name="_Toc26057"/>
      <w:bookmarkStart w:id="951" w:name="_Toc3134"/>
      <w:bookmarkStart w:id="952" w:name="_Toc28335"/>
      <w:bookmarkStart w:id="953" w:name="_Toc27104"/>
      <w:bookmarkStart w:id="954" w:name="_Toc28225"/>
      <w:bookmarkStart w:id="955" w:name="_Toc2334"/>
      <w:bookmarkStart w:id="956" w:name="_Toc22098"/>
      <w:bookmarkStart w:id="957" w:name="_Toc29096"/>
      <w:r>
        <w:rPr>
          <w:rFonts w:ascii="Times New Roman" w:hAnsi="Times New Roman" w:eastAsia="方正楷体_GBK"/>
          <w:b/>
          <w:sz w:val="32"/>
          <w:szCs w:val="32"/>
        </w:rPr>
        <w:t>第二节  加快完善内部网络</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以服务带动产业发展、便捷居民生产生活为目标，加快推动县域内部公路成环成网、互联互通。改（新）建G211庙坝至蓼子、S201左岚至巴山等一批国省道和重要连接道，加快构建县城与修齐、北屏、高燕、龙田等周边乡镇的城市核心交通网络。抓好“四好农村路”建设和管护，深入实施通达通畅“进村入户”工程，新建和改建一批产业路、旅游路。到2025年，力争实现国道二级及以上比重达到80%，普通省道三级及以上比重达到65%，普通干线公路安保设施覆盖率达到100%，入户道路通达率、具备条件路段增设错车道率达到100%，实现县内“1小时通勤”目标。</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958" w:name="_Toc2591"/>
      <w:bookmarkStart w:id="959" w:name="_Toc24707"/>
      <w:bookmarkStart w:id="960" w:name="_Toc23649"/>
      <w:bookmarkStart w:id="961" w:name="_Toc7533"/>
      <w:bookmarkStart w:id="962" w:name="_Toc23059"/>
      <w:bookmarkStart w:id="963" w:name="_Toc25960"/>
      <w:bookmarkStart w:id="964" w:name="_Toc15299"/>
      <w:bookmarkStart w:id="965" w:name="_Toc17300"/>
      <w:bookmarkStart w:id="966" w:name="_Toc5771"/>
      <w:bookmarkStart w:id="967" w:name="_Toc14313"/>
      <w:bookmarkStart w:id="968" w:name="_Toc26288"/>
      <w:bookmarkStart w:id="969" w:name="_Toc17031"/>
      <w:bookmarkStart w:id="970" w:name="_Toc4564"/>
      <w:bookmarkStart w:id="971" w:name="_Toc2437"/>
      <w:bookmarkStart w:id="972" w:name="_Toc8412"/>
      <w:bookmarkStart w:id="973" w:name="_Toc19617"/>
      <w:bookmarkStart w:id="974" w:name="_Toc18716"/>
      <w:bookmarkStart w:id="975" w:name="_Toc16643"/>
      <w:r>
        <w:rPr>
          <w:rFonts w:ascii="Times New Roman" w:hAnsi="Times New Roman" w:eastAsia="方正楷体_GBK"/>
          <w:b/>
          <w:sz w:val="32"/>
          <w:szCs w:val="32"/>
        </w:rPr>
        <w:t>第三节  强化运输服务能力</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规划布局“1+1+23”客运枢纽节点体系，建成城口县综合客运枢纽、渝西高铁城口站、23个乡镇交通综合服务站，开通城口至重庆主城、万州、开州、四川达州、万源、宣汉6条城际快速客运专线，开通双河至万源石塘、周溪至宣汉渡口、新田至巫溪土城3条毗邻区县城乡公交和高观、沿河、双河3个乡镇城乡公交，加快构建一体化现代综合客运体系。规划布局“6+7”货运枢纽体系，建成城口高铁物流中心、城口高速公路物流中心、城口县综合货运枢纽站、高燕锰产品物流中心、巴山钡产品物流中心、治平页岩产品物流中心6个一级物流中心，高观、明通、坪坝、巴山、东安、鸡鸣、沿河7个乡镇三级货运站，打造集约高效的现代货运物流服务体系。</w:t>
      </w:r>
    </w:p>
    <w:p>
      <w:pPr>
        <w:overflowPunct w:val="0"/>
        <w:adjustRightInd w:val="0"/>
        <w:snapToGrid w:val="0"/>
        <w:spacing w:line="560" w:lineRule="exact"/>
        <w:jc w:val="center"/>
        <w:outlineLvl w:val="2"/>
        <w:rPr>
          <w:rFonts w:ascii="Times New Roman" w:hAnsi="Times New Roman"/>
        </w:rPr>
      </w:pPr>
      <w:bookmarkStart w:id="976" w:name="_Toc24535"/>
      <w:bookmarkStart w:id="977" w:name="_Toc11013"/>
      <w:bookmarkStart w:id="978" w:name="_Toc3839"/>
      <w:bookmarkStart w:id="979" w:name="_Toc15578"/>
      <w:bookmarkStart w:id="980" w:name="_Toc9099"/>
      <w:bookmarkStart w:id="981" w:name="_Toc16028"/>
      <w:bookmarkStart w:id="982" w:name="_Toc4417"/>
      <w:bookmarkStart w:id="983" w:name="_Toc16713"/>
      <w:bookmarkStart w:id="984" w:name="_Toc12974"/>
      <w:bookmarkStart w:id="985" w:name="_Toc6563"/>
      <w:bookmarkStart w:id="986" w:name="_Toc17003"/>
      <w:bookmarkStart w:id="987" w:name="_Toc9645"/>
      <w:bookmarkStart w:id="988" w:name="_Toc2547"/>
      <w:bookmarkStart w:id="989" w:name="_Toc3726"/>
      <w:bookmarkStart w:id="990" w:name="_Toc22877"/>
      <w:bookmarkStart w:id="991" w:name="_Toc7442"/>
      <w:bookmarkStart w:id="992" w:name="_Toc6745"/>
      <w:bookmarkStart w:id="993" w:name="_Toc26180"/>
      <w:r>
        <w:rPr>
          <w:rFonts w:ascii="Times New Roman" w:hAnsi="Times New Roman" w:eastAsia="方正楷体_GBK"/>
          <w:b/>
          <w:sz w:val="32"/>
          <w:szCs w:val="32"/>
        </w:rPr>
        <w:t>第四节  提升养护管理水平</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深化推进“路长制”，完善公路管养职责体系，保护路产路权。常态化抓好公路日常养护、预防性养护、小修保养，着力整治公路地灾、危桥危隧，推进农村公路养护市场化。持续推进防护栏安装。大力发展智慧交通，加速交通基础设施网、运输服务网、能源网与信息网络融合发展，推进高质量的智慧交通运输系统建设。</w:t>
      </w:r>
    </w:p>
    <w:p>
      <w:pPr>
        <w:overflowPunct w:val="0"/>
        <w:spacing w:line="480" w:lineRule="exact"/>
        <w:jc w:val="center"/>
        <w:rPr>
          <w:rFonts w:ascii="Times New Roman" w:hAnsi="Times New Roman" w:eastAsia="方正黑体_GBK"/>
          <w:sz w:val="28"/>
          <w:szCs w:val="28"/>
        </w:rPr>
      </w:pPr>
      <w:bookmarkStart w:id="994" w:name="_Toc59950009"/>
      <w:bookmarkStart w:id="995" w:name="_Toc59950008"/>
      <w:r>
        <w:rPr>
          <w:rFonts w:ascii="Times New Roman" w:hAnsi="Times New Roman" w:eastAsia="方正黑体_GBK"/>
          <w:sz w:val="28"/>
          <w:szCs w:val="28"/>
        </w:rPr>
        <w:t>专栏5  交通基础设施重点项目</w:t>
      </w:r>
    </w:p>
    <w:tbl>
      <w:tblPr>
        <w:tblStyle w:val="27"/>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20" w:type="dxa"/>
            <w:tcBorders>
              <w:top w:val="single" w:color="auto" w:sz="4" w:space="0"/>
              <w:left w:val="single" w:color="auto" w:sz="4" w:space="0"/>
              <w:bottom w:val="single" w:color="auto" w:sz="4" w:space="0"/>
              <w:right w:val="single" w:color="auto" w:sz="4" w:space="0"/>
            </w:tcBorders>
          </w:tcPr>
          <w:p>
            <w:pPr>
              <w:widowControl/>
              <w:overflowPunct w:val="0"/>
              <w:spacing w:line="400" w:lineRule="exact"/>
              <w:ind w:firstLine="482" w:firstLineChars="200"/>
              <w:rPr>
                <w:rFonts w:ascii="Times New Roman" w:hAnsi="Times New Roman" w:eastAsia="方正仿宋_GBK"/>
                <w:sz w:val="24"/>
              </w:rPr>
            </w:pPr>
            <w:r>
              <w:rPr>
                <w:rFonts w:ascii="Times New Roman" w:hAnsi="Times New Roman" w:eastAsia="方正仿宋_GBK"/>
                <w:b/>
                <w:sz w:val="24"/>
              </w:rPr>
              <w:t>铁路。</w:t>
            </w:r>
            <w:r>
              <w:rPr>
                <w:rFonts w:ascii="Times New Roman" w:hAnsi="Times New Roman" w:eastAsia="方正仿宋_GBK"/>
                <w:sz w:val="24"/>
              </w:rPr>
              <w:t>开工建设渝西高铁，争取安张铁路过境城口方案、万州至开州至城口至安康普速铁路，基本形成“一高两干”铁路运输网。</w:t>
            </w:r>
          </w:p>
          <w:p>
            <w:pPr>
              <w:widowControl/>
              <w:overflowPunct w:val="0"/>
              <w:spacing w:line="400" w:lineRule="exact"/>
              <w:ind w:firstLine="482" w:firstLineChars="200"/>
              <w:rPr>
                <w:rFonts w:ascii="Times New Roman" w:hAnsi="Times New Roman" w:eastAsia="方正仿宋_GBK"/>
                <w:sz w:val="24"/>
              </w:rPr>
            </w:pPr>
            <w:r>
              <w:rPr>
                <w:rFonts w:ascii="Times New Roman" w:hAnsi="Times New Roman" w:eastAsia="方正仿宋_GBK"/>
                <w:b/>
                <w:sz w:val="24"/>
              </w:rPr>
              <w:t>高速公路。</w:t>
            </w:r>
            <w:r>
              <w:rPr>
                <w:rFonts w:ascii="Times New Roman" w:hAnsi="Times New Roman" w:eastAsia="方正仿宋_GBK"/>
                <w:sz w:val="24"/>
              </w:rPr>
              <w:t>加快推进城开高速建设，开工建设城（口）至万（源）高速公路，加快完成城（口）宣（汉）高速公路、城（口）至巫（溪）高速公路前期工作并尽早开工。</w:t>
            </w:r>
          </w:p>
          <w:p>
            <w:pPr>
              <w:widowControl/>
              <w:overflowPunct w:val="0"/>
              <w:spacing w:line="400" w:lineRule="exact"/>
              <w:ind w:firstLine="482" w:firstLineChars="200"/>
              <w:rPr>
                <w:rFonts w:ascii="Times New Roman" w:hAnsi="Times New Roman" w:eastAsia="方正仿宋_GBK"/>
                <w:sz w:val="24"/>
              </w:rPr>
            </w:pPr>
            <w:r>
              <w:rPr>
                <w:rFonts w:ascii="Times New Roman" w:hAnsi="Times New Roman" w:eastAsia="方正仿宋_GBK"/>
                <w:b/>
                <w:sz w:val="24"/>
              </w:rPr>
              <w:t>民航。</w:t>
            </w:r>
            <w:r>
              <w:rPr>
                <w:rFonts w:ascii="Times New Roman" w:hAnsi="Times New Roman" w:eastAsia="方正仿宋_GBK"/>
                <w:sz w:val="24"/>
              </w:rPr>
              <w:t>积极推进城口支线（通用）机场前期工作。</w:t>
            </w:r>
          </w:p>
          <w:p>
            <w:pPr>
              <w:widowControl/>
              <w:overflowPunct w:val="0"/>
              <w:spacing w:line="400" w:lineRule="exact"/>
              <w:ind w:firstLine="482" w:firstLineChars="200"/>
              <w:rPr>
                <w:rFonts w:ascii="Times New Roman" w:hAnsi="Times New Roman" w:eastAsia="方正仿宋_GBK"/>
                <w:sz w:val="24"/>
              </w:rPr>
            </w:pPr>
            <w:r>
              <w:rPr>
                <w:rFonts w:ascii="Times New Roman" w:hAnsi="Times New Roman" w:eastAsia="方正仿宋_GBK"/>
                <w:b/>
                <w:sz w:val="24"/>
              </w:rPr>
              <w:t>国省道建设项目。</w:t>
            </w:r>
            <w:r>
              <w:rPr>
                <w:rFonts w:ascii="Times New Roman" w:hAnsi="Times New Roman" w:eastAsia="方正仿宋_GBK"/>
                <w:sz w:val="24"/>
              </w:rPr>
              <w:t>实施G211燕子河至通渝隧道、G211庙坝至蓼子、G211蓼子至燕子河、G211蓼子场镇改线、G211小河口至县城、S201龙田乡至巴山镇公路改扩建工程（四期）、S201左岚至巴山、S501修齐至岚天、S501岚天至河鱼、燕子河大桥至土堡寨大桥、S301县城至八台山隧道、S301修齐至巫溪、S301县城至修齐、双河乡硝水坝、周溪乡鹿坪、周溪至双河等国省道改建工程，建设总里程314公里。</w:t>
            </w:r>
          </w:p>
          <w:p>
            <w:pPr>
              <w:widowControl/>
              <w:overflowPunct w:val="0"/>
              <w:spacing w:line="400" w:lineRule="exact"/>
              <w:ind w:firstLine="482" w:firstLineChars="200"/>
              <w:rPr>
                <w:rFonts w:ascii="Times New Roman" w:hAnsi="Times New Roman" w:eastAsia="方正仿宋_GBK"/>
                <w:b/>
                <w:sz w:val="24"/>
              </w:rPr>
            </w:pPr>
            <w:r>
              <w:rPr>
                <w:rFonts w:ascii="Times New Roman" w:hAnsi="Times New Roman" w:eastAsia="方正仿宋_GBK"/>
                <w:b/>
                <w:sz w:val="24"/>
              </w:rPr>
              <w:t>重要连接线改造提升工程。</w:t>
            </w:r>
            <w:r>
              <w:rPr>
                <w:rFonts w:ascii="Times New Roman" w:hAnsi="Times New Roman" w:eastAsia="方正仿宋_GBK"/>
                <w:sz w:val="24"/>
              </w:rPr>
              <w:t>开工建设修齐至治平（新胜村委）升级改造工程、厚坪场镇至巫溪界段新建工程、岚溪至三河公路改建工程、鸡鸣乡高速互通连接线终点至鸡鸣场镇升级改造工程、土堡寨至周溪场镇升级改造、东安至朝阳新改建公路、九重山旅游扶贫公路、高楠方斗坪至龙田羊耳坝至北屏月峰旅游环线公路工程、治平至明中新建公路、石河口至厚坪乡升级改造工程、猫儿碥至巴山路面改造工程、东安至厚坪至明中新建公路、坪坝至巴山隧道工程共计245公里。规划论证县城至亢谷景区道路改造提升。</w:t>
            </w:r>
          </w:p>
        </w:tc>
      </w:tr>
    </w:tbl>
    <w:p>
      <w:pPr>
        <w:overflowPunct w:val="0"/>
        <w:rPr>
          <w:rFonts w:ascii="Times New Roman" w:hAnsi="Times New Roman" w:eastAsia="方正黑体_GBK"/>
          <w:b/>
          <w:sz w:val="32"/>
          <w:szCs w:val="32"/>
        </w:rPr>
      </w:pPr>
    </w:p>
    <w:p>
      <w:pPr>
        <w:overflowPunct w:val="0"/>
        <w:adjustRightInd w:val="0"/>
        <w:snapToGrid w:val="0"/>
        <w:spacing w:line="560" w:lineRule="exact"/>
        <w:jc w:val="center"/>
        <w:outlineLvl w:val="1"/>
        <w:rPr>
          <w:rFonts w:ascii="Times New Roman" w:hAnsi="Times New Roman" w:eastAsia="方正黑体_GBK"/>
          <w:b/>
          <w:sz w:val="32"/>
          <w:szCs w:val="32"/>
        </w:rPr>
      </w:pPr>
      <w:bookmarkStart w:id="996" w:name="_Toc1830"/>
      <w:bookmarkStart w:id="997" w:name="_Toc23918"/>
      <w:bookmarkStart w:id="998" w:name="_Toc1610"/>
      <w:bookmarkStart w:id="999" w:name="_Toc15230"/>
      <w:bookmarkStart w:id="1000" w:name="_Toc16961"/>
      <w:bookmarkStart w:id="1001" w:name="_Toc2575"/>
      <w:bookmarkStart w:id="1002" w:name="_Toc9283"/>
      <w:bookmarkStart w:id="1003" w:name="_Toc12868"/>
      <w:bookmarkStart w:id="1004" w:name="_Toc16118"/>
      <w:bookmarkStart w:id="1005" w:name="_Toc26094"/>
      <w:bookmarkStart w:id="1006" w:name="_Toc31613"/>
      <w:bookmarkStart w:id="1007" w:name="_Toc21888"/>
      <w:bookmarkStart w:id="1008" w:name="_Toc583"/>
      <w:bookmarkStart w:id="1009" w:name="_Toc22871"/>
      <w:bookmarkStart w:id="1010" w:name="_Toc6732"/>
      <w:bookmarkStart w:id="1011" w:name="_Toc30515"/>
      <w:bookmarkStart w:id="1012" w:name="_Toc25945"/>
      <w:bookmarkStart w:id="1013" w:name="_Toc7510"/>
      <w:r>
        <w:rPr>
          <w:rFonts w:ascii="Times New Roman" w:hAnsi="Times New Roman" w:eastAsia="方正黑体_GBK"/>
          <w:b/>
          <w:sz w:val="32"/>
          <w:szCs w:val="32"/>
        </w:rPr>
        <w:t>第十三章</w:t>
      </w:r>
      <w:bookmarkEnd w:id="994"/>
      <w:r>
        <w:rPr>
          <w:rFonts w:ascii="Times New Roman" w:hAnsi="Times New Roman" w:eastAsia="方正黑体_GBK"/>
          <w:b/>
          <w:sz w:val="32"/>
          <w:szCs w:val="32"/>
        </w:rPr>
        <w:t xml:space="preserve">  提升水安全保障能力</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结合城市提升、乡村振兴、产业发展、人口集聚、防洪等重点需求，推动水利工程补短板，高质量建设均衡可靠的水资源配置和水安全保障体系。</w:t>
      </w:r>
    </w:p>
    <w:p>
      <w:pPr>
        <w:overflowPunct w:val="0"/>
        <w:adjustRightInd w:val="0"/>
        <w:snapToGrid w:val="0"/>
        <w:spacing w:line="560" w:lineRule="exact"/>
        <w:jc w:val="center"/>
        <w:outlineLvl w:val="2"/>
        <w:rPr>
          <w:rFonts w:ascii="Times New Roman" w:hAnsi="Times New Roman"/>
        </w:rPr>
      </w:pPr>
      <w:bookmarkStart w:id="1014" w:name="_Toc8320"/>
      <w:bookmarkStart w:id="1015" w:name="_Toc16362"/>
      <w:bookmarkStart w:id="1016" w:name="_Toc8971"/>
      <w:bookmarkStart w:id="1017" w:name="_Toc29451"/>
      <w:bookmarkStart w:id="1018" w:name="_Toc17206"/>
      <w:bookmarkStart w:id="1019" w:name="_Toc31490"/>
      <w:bookmarkStart w:id="1020" w:name="_Toc15159"/>
      <w:bookmarkStart w:id="1021" w:name="_Toc18649"/>
      <w:bookmarkStart w:id="1022" w:name="_Toc17294"/>
      <w:bookmarkStart w:id="1023" w:name="_Toc12022"/>
      <w:bookmarkStart w:id="1024" w:name="_Toc1033"/>
      <w:bookmarkStart w:id="1025" w:name="_Toc16115"/>
      <w:bookmarkStart w:id="1026" w:name="_Toc24225"/>
      <w:bookmarkStart w:id="1027" w:name="_Toc2634"/>
      <w:bookmarkStart w:id="1028" w:name="_Toc19091"/>
      <w:bookmarkStart w:id="1029" w:name="_Toc17892"/>
      <w:bookmarkStart w:id="1030" w:name="_Toc995"/>
      <w:bookmarkStart w:id="1031" w:name="_Toc20221"/>
      <w:r>
        <w:rPr>
          <w:rFonts w:ascii="Times New Roman" w:hAnsi="Times New Roman" w:eastAsia="方正楷体_GBK"/>
          <w:b/>
          <w:sz w:val="32"/>
          <w:szCs w:val="32"/>
        </w:rPr>
        <w:t>第一节  优化水资源配置</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统筹配置生活、生产、生态用水，构建多源互补、区域互通、集约高效的水资源供应体系。</w:t>
      </w:r>
      <w:r>
        <w:rPr>
          <w:rFonts w:ascii="Times New Roman" w:hAnsi="Times New Roman" w:eastAsia="方正仿宋_GBK"/>
          <w:bCs/>
          <w:sz w:val="32"/>
          <w:szCs w:val="32"/>
        </w:rPr>
        <w:t>加强饮用水水源保护治理和重要水源工程建设，优化水资源配置，提升水旱灾害防御能力。推进水源水库、水系连通、城乡供水等民生水利项目，改善提升城市供水保障能力。加强羊耳坝水库水源保护、水质提升，加快推进丰收水库建设。</w:t>
      </w:r>
      <w:r>
        <w:rPr>
          <w:rFonts w:ascii="Times New Roman" w:hAnsi="Times New Roman" w:eastAsia="方正仿宋_GBK"/>
          <w:sz w:val="32"/>
          <w:szCs w:val="32"/>
        </w:rPr>
        <w:t>实施饮水安全巩固提升工程，解决群众生活用水、产业用水“最后一公里”问题。推进骨干水源工程，积极引入市场机制，推进规范化供水工程建设。</w:t>
      </w:r>
    </w:p>
    <w:p>
      <w:pPr>
        <w:overflowPunct w:val="0"/>
        <w:adjustRightInd w:val="0"/>
        <w:snapToGrid w:val="0"/>
        <w:spacing w:line="560" w:lineRule="exact"/>
        <w:jc w:val="center"/>
        <w:outlineLvl w:val="2"/>
        <w:rPr>
          <w:rFonts w:ascii="Times New Roman" w:hAnsi="Times New Roman"/>
        </w:rPr>
      </w:pPr>
      <w:bookmarkStart w:id="1032" w:name="_Toc2167"/>
      <w:bookmarkStart w:id="1033" w:name="_Toc21156"/>
      <w:bookmarkStart w:id="1034" w:name="_Toc27570"/>
      <w:bookmarkStart w:id="1035" w:name="_Toc9684"/>
      <w:bookmarkStart w:id="1036" w:name="_Toc4857"/>
      <w:bookmarkStart w:id="1037" w:name="_Toc12057"/>
      <w:bookmarkStart w:id="1038" w:name="_Toc31136"/>
      <w:bookmarkStart w:id="1039" w:name="_Toc11984"/>
      <w:bookmarkStart w:id="1040" w:name="_Toc11177"/>
      <w:bookmarkStart w:id="1041" w:name="_Toc7607"/>
      <w:bookmarkStart w:id="1042" w:name="_Toc2881"/>
      <w:bookmarkStart w:id="1043" w:name="_Toc4504"/>
      <w:bookmarkStart w:id="1044" w:name="_Toc19978"/>
      <w:bookmarkStart w:id="1045" w:name="_Toc15045"/>
      <w:bookmarkStart w:id="1046" w:name="_Toc7432"/>
      <w:bookmarkStart w:id="1047" w:name="_Toc18149"/>
      <w:bookmarkStart w:id="1048" w:name="_Toc29733"/>
      <w:bookmarkStart w:id="1049" w:name="_Toc217"/>
      <w:r>
        <w:rPr>
          <w:rFonts w:ascii="Times New Roman" w:hAnsi="Times New Roman" w:eastAsia="方正楷体_GBK"/>
          <w:b/>
          <w:sz w:val="32"/>
          <w:szCs w:val="32"/>
        </w:rPr>
        <w:t>第二节  提升监督管理能力</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深入推进农村水利设施管养改革，探索市场化管养护补贴机制、管理激励机制，施行协会管理等多种水利工程管理模式，逐步实现水利工程管理规模化、市场化、企业化、专业化。深入推进智慧水利建设，打造水资源信息建设管理共享平台。强化水资源监管、河道监管、水旱灾害防御监管、水利工程监管、水土保持监管等，提升水资源配置和水旱灾害防御能力。</w:t>
      </w:r>
    </w:p>
    <w:p>
      <w:pPr>
        <w:overflowPunct w:val="0"/>
        <w:spacing w:line="480" w:lineRule="exact"/>
        <w:jc w:val="center"/>
        <w:rPr>
          <w:rFonts w:ascii="Times New Roman" w:hAnsi="Times New Roman" w:eastAsia="方正黑体_GBK"/>
          <w:sz w:val="28"/>
          <w:szCs w:val="28"/>
        </w:rPr>
      </w:pPr>
      <w:r>
        <w:rPr>
          <w:rFonts w:ascii="Times New Roman" w:hAnsi="Times New Roman" w:eastAsia="方正黑体_GBK"/>
          <w:sz w:val="28"/>
          <w:szCs w:val="28"/>
        </w:rPr>
        <w:t>专栏6  水利工程重点项目</w:t>
      </w:r>
    </w:p>
    <w:tbl>
      <w:tblPr>
        <w:tblStyle w:val="27"/>
        <w:tblW w:w="8913"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3"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2" w:firstLineChars="200"/>
              <w:rPr>
                <w:rFonts w:ascii="Times New Roman" w:hAnsi="Times New Roman" w:eastAsia="方正仿宋_GBK"/>
                <w:sz w:val="24"/>
              </w:rPr>
            </w:pPr>
            <w:r>
              <w:rPr>
                <w:rFonts w:ascii="Times New Roman" w:hAnsi="Times New Roman" w:eastAsia="方正仿宋_GBK"/>
                <w:b/>
                <w:bCs/>
                <w:sz w:val="24"/>
              </w:rPr>
              <w:t>骨干水源工程。</w:t>
            </w:r>
            <w:r>
              <w:rPr>
                <w:rFonts w:ascii="Times New Roman" w:hAnsi="Times New Roman" w:eastAsia="方正仿宋_GBK"/>
                <w:sz w:val="24"/>
              </w:rPr>
              <w:t>开工建设刘家坪水库、丰收水库，改扩建三合水库。</w:t>
            </w:r>
          </w:p>
          <w:p>
            <w:pPr>
              <w:overflowPunct w:val="0"/>
              <w:spacing w:line="400" w:lineRule="exact"/>
              <w:ind w:firstLine="482" w:firstLineChars="200"/>
              <w:rPr>
                <w:rFonts w:ascii="Times New Roman" w:hAnsi="Times New Roman" w:eastAsia="方正仿宋_GBK"/>
                <w:sz w:val="24"/>
              </w:rPr>
            </w:pPr>
            <w:r>
              <w:rPr>
                <w:rFonts w:ascii="Times New Roman" w:hAnsi="Times New Roman" w:eastAsia="方正仿宋_GBK"/>
                <w:b/>
                <w:bCs/>
                <w:sz w:val="24"/>
              </w:rPr>
              <w:t>中小河流治理工程。</w:t>
            </w:r>
            <w:r>
              <w:rPr>
                <w:rFonts w:ascii="Times New Roman" w:hAnsi="Times New Roman" w:eastAsia="方正仿宋_GBK"/>
                <w:sz w:val="24"/>
              </w:rPr>
              <w:t>实施前河蓼子段和明通段、燕子河咸宜段和鸡鸣段、中河双河段、坪坝河新华段流域综合治理工程。</w:t>
            </w:r>
          </w:p>
          <w:p>
            <w:pPr>
              <w:overflowPunct w:val="0"/>
              <w:spacing w:line="400" w:lineRule="exact"/>
              <w:ind w:firstLine="482" w:firstLineChars="200"/>
              <w:rPr>
                <w:rFonts w:ascii="Times New Roman" w:hAnsi="Times New Roman"/>
                <w:kern w:val="0"/>
                <w:szCs w:val="20"/>
              </w:rPr>
            </w:pPr>
            <w:r>
              <w:rPr>
                <w:rFonts w:ascii="Times New Roman" w:hAnsi="Times New Roman" w:eastAsia="方正仿宋_GBK"/>
                <w:b/>
                <w:bCs/>
                <w:sz w:val="24"/>
              </w:rPr>
              <w:t>水安全保障工程。</w:t>
            </w:r>
            <w:r>
              <w:rPr>
                <w:rFonts w:ascii="Times New Roman" w:hAnsi="Times New Roman" w:eastAsia="方正仿宋_GBK"/>
                <w:sz w:val="24"/>
              </w:rPr>
              <w:t>实施水文站升级改造工程、雨量站升级改造工程、山洪预警设施改造工程。</w:t>
            </w:r>
          </w:p>
        </w:tc>
      </w:tr>
    </w:tbl>
    <w:p>
      <w:pPr>
        <w:overflowPunct w:val="0"/>
        <w:rPr>
          <w:rFonts w:ascii="Times New Roman" w:hAnsi="Times New Roman" w:eastAsia="方正黑体_GBK"/>
          <w:b/>
          <w:sz w:val="32"/>
          <w:szCs w:val="32"/>
        </w:rPr>
      </w:pPr>
    </w:p>
    <w:p>
      <w:pPr>
        <w:overflowPunct w:val="0"/>
        <w:adjustRightInd w:val="0"/>
        <w:snapToGrid w:val="0"/>
        <w:spacing w:line="560" w:lineRule="exact"/>
        <w:jc w:val="center"/>
        <w:outlineLvl w:val="1"/>
        <w:rPr>
          <w:rFonts w:ascii="Times New Roman" w:hAnsi="Times New Roman" w:eastAsia="方正黑体_GBK"/>
          <w:b/>
          <w:sz w:val="32"/>
          <w:szCs w:val="32"/>
        </w:rPr>
      </w:pPr>
      <w:bookmarkStart w:id="1050" w:name="_Toc9514"/>
      <w:bookmarkStart w:id="1051" w:name="_Toc10102"/>
      <w:bookmarkStart w:id="1052" w:name="_Toc30171"/>
      <w:bookmarkStart w:id="1053" w:name="_Toc2877"/>
      <w:bookmarkStart w:id="1054" w:name="_Toc8355"/>
      <w:bookmarkStart w:id="1055" w:name="_Toc1365"/>
      <w:bookmarkStart w:id="1056" w:name="_Toc22737"/>
      <w:bookmarkStart w:id="1057" w:name="_Toc10828"/>
      <w:bookmarkStart w:id="1058" w:name="_Toc29853"/>
      <w:bookmarkStart w:id="1059" w:name="_Toc29988"/>
      <w:bookmarkStart w:id="1060" w:name="_Toc3871"/>
      <w:bookmarkStart w:id="1061" w:name="_Toc10127"/>
      <w:bookmarkStart w:id="1062" w:name="_Toc29118"/>
      <w:bookmarkStart w:id="1063" w:name="_Toc11390"/>
      <w:bookmarkStart w:id="1064" w:name="_Toc24714"/>
      <w:bookmarkStart w:id="1065" w:name="_Toc15855"/>
      <w:bookmarkStart w:id="1066" w:name="_Toc15600"/>
      <w:bookmarkStart w:id="1067" w:name="_Toc19090"/>
      <w:r>
        <w:rPr>
          <w:rFonts w:ascii="Times New Roman" w:hAnsi="Times New Roman" w:eastAsia="方正黑体_GBK"/>
          <w:b/>
          <w:sz w:val="32"/>
          <w:szCs w:val="32"/>
        </w:rPr>
        <w:t>第十四章</w:t>
      </w:r>
      <w:bookmarkEnd w:id="995"/>
      <w:r>
        <w:rPr>
          <w:rFonts w:ascii="Times New Roman" w:hAnsi="Times New Roman" w:eastAsia="方正黑体_GBK"/>
          <w:b/>
          <w:sz w:val="32"/>
          <w:szCs w:val="32"/>
        </w:rPr>
        <w:t xml:space="preserve">  构建能源保障体系</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overflowPunct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完善能源输送通道网络，推进天然气管道工程建设并加快向乡镇延伸，构建覆盖城乡、稳定安全的天然气供应网络。大力发展清洁能源，加强分布式能源等能源供给设施规划布局，推进清洁能源重点工程建设，推动光伏、风能发电等可再生能源开发。建成50万千瓦光伏、风电项目，新开工城口至开州220千伏电网、前河110千伏变电站（扩容）及附属工程、万源至城口天然气长输管网建设工程。建设智慧能源，加强新能源充电基础设施布局和建设。加快环保和清洁能源推广应用，推广新能源汽车。加强成品油储运设施建设，提高成品油保障能力。</w:t>
      </w:r>
    </w:p>
    <w:p>
      <w:pPr>
        <w:overflowPunct w:val="0"/>
        <w:spacing w:line="480" w:lineRule="exact"/>
        <w:jc w:val="center"/>
        <w:rPr>
          <w:rFonts w:ascii="Times New Roman" w:hAnsi="Times New Roman" w:eastAsia="方正黑体_GBK"/>
          <w:sz w:val="28"/>
          <w:szCs w:val="28"/>
        </w:rPr>
      </w:pPr>
      <w:bookmarkStart w:id="1068" w:name="_Toc59950007"/>
      <w:r>
        <w:rPr>
          <w:rFonts w:ascii="Times New Roman" w:hAnsi="Times New Roman" w:eastAsia="方正黑体_GBK"/>
          <w:sz w:val="28"/>
          <w:szCs w:val="28"/>
        </w:rPr>
        <w:t>专栏7  能源重点项目</w:t>
      </w:r>
    </w:p>
    <w:tbl>
      <w:tblPr>
        <w:tblStyle w:val="27"/>
        <w:tblW w:w="0" w:type="auto"/>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826"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2" w:firstLineChars="200"/>
              <w:rPr>
                <w:rFonts w:ascii="Times New Roman" w:hAnsi="Times New Roman" w:eastAsia="方正仿宋_GBK"/>
                <w:sz w:val="24"/>
              </w:rPr>
            </w:pPr>
            <w:r>
              <w:rPr>
                <w:rFonts w:ascii="Times New Roman" w:hAnsi="Times New Roman" w:eastAsia="方正仿宋_GBK"/>
                <w:b/>
                <w:bCs/>
                <w:sz w:val="24"/>
              </w:rPr>
              <w:t>输变电工程。</w:t>
            </w:r>
            <w:r>
              <w:rPr>
                <w:rFonts w:ascii="Times New Roman" w:hAnsi="Times New Roman" w:eastAsia="方正仿宋_GBK"/>
                <w:sz w:val="24"/>
              </w:rPr>
              <w:t>实施城口至开州220千伏电力线路建设工程、前河110千伏变电站（扩容）及配套电网建设工程、35千伏电力线路建设项目。</w:t>
            </w:r>
          </w:p>
          <w:p>
            <w:pPr>
              <w:overflowPunct w:val="0"/>
              <w:spacing w:line="400" w:lineRule="exact"/>
              <w:ind w:firstLine="482" w:firstLineChars="200"/>
              <w:rPr>
                <w:rFonts w:ascii="Times New Roman" w:hAnsi="Times New Roman" w:eastAsia="方正仿宋_GBK"/>
                <w:sz w:val="24"/>
              </w:rPr>
            </w:pPr>
            <w:r>
              <w:rPr>
                <w:rFonts w:ascii="Times New Roman" w:hAnsi="Times New Roman" w:eastAsia="方正仿宋_GBK"/>
                <w:b/>
                <w:bCs/>
                <w:sz w:val="24"/>
              </w:rPr>
              <w:t>城区电网改造项目。</w:t>
            </w:r>
            <w:r>
              <w:rPr>
                <w:rFonts w:ascii="Times New Roman" w:hAnsi="Times New Roman" w:eastAsia="方正仿宋_GBK"/>
                <w:sz w:val="24"/>
              </w:rPr>
              <w:t>改造城区变压器、配电室、配电线路等设施。实施滨河南北两岸跨河电网入地改造、太和场35千伏变电站搬迁，开展东部新区电网搬迁改线。</w:t>
            </w:r>
          </w:p>
          <w:p>
            <w:pPr>
              <w:overflowPunct w:val="0"/>
              <w:spacing w:line="400" w:lineRule="exact"/>
              <w:ind w:firstLine="482" w:firstLineChars="200"/>
              <w:rPr>
                <w:rFonts w:ascii="Times New Roman" w:hAnsi="Times New Roman" w:eastAsia="方正仿宋_GBK"/>
                <w:sz w:val="24"/>
              </w:rPr>
            </w:pPr>
            <w:r>
              <w:rPr>
                <w:rFonts w:ascii="Times New Roman" w:hAnsi="Times New Roman" w:eastAsia="方正仿宋_GBK"/>
                <w:b/>
                <w:bCs/>
                <w:sz w:val="24"/>
              </w:rPr>
              <w:t>燃气管网工程。</w:t>
            </w:r>
            <w:r>
              <w:rPr>
                <w:rFonts w:ascii="Times New Roman" w:hAnsi="Times New Roman" w:eastAsia="方正仿宋_GBK"/>
                <w:sz w:val="24"/>
              </w:rPr>
              <w:t>建成城口至万源天然气长输管道、中燃综合能源利用项目。</w:t>
            </w:r>
          </w:p>
          <w:p>
            <w:pPr>
              <w:overflowPunct w:val="0"/>
              <w:spacing w:line="400" w:lineRule="exact"/>
              <w:ind w:firstLine="482" w:firstLineChars="200"/>
              <w:rPr>
                <w:rFonts w:ascii="Times New Roman" w:hAnsi="Times New Roman" w:eastAsia="方正仿宋_GBK"/>
                <w:sz w:val="24"/>
              </w:rPr>
            </w:pPr>
            <w:r>
              <w:rPr>
                <w:rFonts w:ascii="Times New Roman" w:hAnsi="Times New Roman" w:eastAsia="方正仿宋_GBK"/>
                <w:b/>
                <w:bCs/>
                <w:sz w:val="24"/>
              </w:rPr>
              <w:t>新能源项目。</w:t>
            </w:r>
            <w:r>
              <w:rPr>
                <w:rFonts w:ascii="Times New Roman" w:hAnsi="Times New Roman" w:eastAsia="方正仿宋_GBK"/>
                <w:sz w:val="24"/>
              </w:rPr>
              <w:t>力争建成大巴山新能源基地，光伏发电装机达到18万千瓦、风力发电装机达到32万千瓦。</w:t>
            </w:r>
          </w:p>
          <w:p>
            <w:pPr>
              <w:overflowPunct w:val="0"/>
              <w:spacing w:line="400" w:lineRule="exact"/>
              <w:ind w:firstLine="482" w:firstLineChars="200"/>
              <w:rPr>
                <w:rFonts w:ascii="Times New Roman" w:hAnsi="Times New Roman"/>
              </w:rPr>
            </w:pPr>
            <w:r>
              <w:rPr>
                <w:rFonts w:ascii="Times New Roman" w:hAnsi="Times New Roman" w:eastAsia="方正仿宋_GBK"/>
                <w:b/>
                <w:sz w:val="24"/>
              </w:rPr>
              <w:t>城口县充电桩建设项目。</w:t>
            </w:r>
            <w:r>
              <w:rPr>
                <w:rFonts w:ascii="Times New Roman" w:hAnsi="Times New Roman" w:eastAsia="方正仿宋_GBK"/>
                <w:bCs/>
                <w:sz w:val="24"/>
              </w:rPr>
              <w:t>在重点小区、景区、加油站等重点区域停车场新建新能源汽车充电站或配套建设充电桩。</w:t>
            </w:r>
          </w:p>
        </w:tc>
      </w:tr>
    </w:tbl>
    <w:p>
      <w:pPr>
        <w:overflowPunct w:val="0"/>
        <w:rPr>
          <w:rFonts w:ascii="Times New Roman" w:hAnsi="Times New Roman" w:eastAsia="方正黑体_GBK"/>
          <w:b/>
          <w:sz w:val="32"/>
          <w:szCs w:val="32"/>
        </w:rPr>
      </w:pPr>
    </w:p>
    <w:p>
      <w:pPr>
        <w:overflowPunct w:val="0"/>
        <w:adjustRightInd w:val="0"/>
        <w:snapToGrid w:val="0"/>
        <w:spacing w:line="560" w:lineRule="exact"/>
        <w:jc w:val="center"/>
        <w:outlineLvl w:val="1"/>
        <w:rPr>
          <w:rFonts w:ascii="Times New Roman" w:hAnsi="Times New Roman" w:eastAsia="方正黑体_GBK"/>
          <w:b/>
          <w:sz w:val="32"/>
          <w:szCs w:val="32"/>
        </w:rPr>
      </w:pPr>
      <w:bookmarkStart w:id="1069" w:name="_Toc981"/>
      <w:bookmarkStart w:id="1070" w:name="_Toc4318"/>
      <w:bookmarkStart w:id="1071" w:name="_Toc5350"/>
      <w:bookmarkStart w:id="1072" w:name="_Toc4619"/>
      <w:bookmarkStart w:id="1073" w:name="_Toc18354"/>
      <w:bookmarkStart w:id="1074" w:name="_Toc28673"/>
      <w:bookmarkStart w:id="1075" w:name="_Toc1615"/>
      <w:bookmarkStart w:id="1076" w:name="_Toc31231"/>
      <w:bookmarkStart w:id="1077" w:name="_Toc27202"/>
      <w:bookmarkStart w:id="1078" w:name="_Toc3168"/>
      <w:bookmarkStart w:id="1079" w:name="_Toc3581"/>
      <w:bookmarkStart w:id="1080" w:name="_Toc25833"/>
      <w:bookmarkStart w:id="1081" w:name="_Toc32398"/>
      <w:bookmarkStart w:id="1082" w:name="_Toc28006"/>
      <w:bookmarkStart w:id="1083" w:name="_Toc2310"/>
      <w:bookmarkStart w:id="1084" w:name="_Toc7303"/>
      <w:bookmarkStart w:id="1085" w:name="_Toc10695"/>
      <w:bookmarkStart w:id="1086" w:name="_Toc14636"/>
      <w:r>
        <w:rPr>
          <w:rFonts w:ascii="Times New Roman" w:hAnsi="Times New Roman" w:eastAsia="方正黑体_GBK"/>
          <w:b/>
          <w:sz w:val="32"/>
          <w:szCs w:val="32"/>
        </w:rPr>
        <w:t>第十五章  加快布局新型基础设施</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扎实推进5G、千兆光纤等新型网络基础设施建设，建成5G基站800个。推动传统基础设施网络化、数字化和智能化改造，深化新型基础设施与传统基础设施融合发展。加快新型智慧城市建设，新建智慧城市运行管理中心，打造综合服务平台，统筹推进智慧教育、智慧医疗、智慧交通、智慧环保、智慧物流、智慧旅游、智慧城管、智慧应急等功能模块，补齐公共服务、基础设施、社会治理等领域数字化信息化短板。适度超前谋划工业互联网、物联网等前端智能感知设备布局，加强农村信息基础设施建设，推进企业实施智能化改造，推动大数据智能化与实体经济融合发展。</w:t>
      </w:r>
    </w:p>
    <w:p>
      <w:pPr>
        <w:overflowPunct w:val="0"/>
        <w:spacing w:line="480" w:lineRule="exact"/>
        <w:jc w:val="center"/>
        <w:rPr>
          <w:rFonts w:ascii="Times New Roman" w:hAnsi="Times New Roman" w:eastAsia="方正黑体_GBK"/>
          <w:sz w:val="28"/>
          <w:szCs w:val="28"/>
        </w:rPr>
      </w:pPr>
    </w:p>
    <w:p>
      <w:pPr>
        <w:overflowPunct w:val="0"/>
        <w:spacing w:line="480" w:lineRule="exact"/>
        <w:jc w:val="center"/>
        <w:rPr>
          <w:rFonts w:ascii="Times New Roman" w:hAnsi="Times New Roman" w:eastAsia="方正黑体_GBK"/>
          <w:sz w:val="28"/>
          <w:szCs w:val="28"/>
        </w:rPr>
      </w:pPr>
      <w:r>
        <w:rPr>
          <w:rFonts w:ascii="Times New Roman" w:hAnsi="Times New Roman" w:eastAsia="方正黑体_GBK"/>
          <w:sz w:val="28"/>
          <w:szCs w:val="28"/>
        </w:rPr>
        <w:t>专栏8  新型基础设施建设工程</w:t>
      </w:r>
    </w:p>
    <w:tbl>
      <w:tblPr>
        <w:tblStyle w:val="27"/>
        <w:tblW w:w="8895"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2" w:type="dxa"/>
            <w:tcBorders>
              <w:top w:val="single" w:color="auto" w:sz="4" w:space="0"/>
              <w:left w:val="single" w:color="auto" w:sz="4" w:space="0"/>
              <w:bottom w:val="single" w:color="auto" w:sz="4" w:space="0"/>
              <w:right w:val="single" w:color="auto" w:sz="4" w:space="0"/>
            </w:tcBorders>
          </w:tcPr>
          <w:p>
            <w:pPr>
              <w:widowControl/>
              <w:overflowPunct w:val="0"/>
              <w:spacing w:line="400" w:lineRule="exact"/>
              <w:ind w:firstLine="482" w:firstLineChars="200"/>
              <w:rPr>
                <w:rFonts w:ascii="Times New Roman" w:hAnsi="Times New Roman" w:eastAsia="方正仿宋_GBK"/>
                <w:bCs/>
                <w:sz w:val="24"/>
              </w:rPr>
            </w:pPr>
            <w:bookmarkStart w:id="1087" w:name="_Toc54513929"/>
            <w:r>
              <w:rPr>
                <w:rFonts w:ascii="Times New Roman" w:hAnsi="Times New Roman" w:eastAsia="方正仿宋_GBK"/>
                <w:b/>
                <w:sz w:val="24"/>
              </w:rPr>
              <w:t>信息基础设施提升工程。</w:t>
            </w:r>
            <w:r>
              <w:rPr>
                <w:rFonts w:ascii="Times New Roman" w:hAnsi="Times New Roman" w:eastAsia="方正仿宋_GBK"/>
                <w:bCs/>
                <w:sz w:val="24"/>
              </w:rPr>
              <w:t>新建5G基站500个，实现县城建成区、重点景区、乡镇场镇等重点区域5G网络有效覆盖。新建光纤网络600皮长公里，新增双千兆示范小区5个。</w:t>
            </w:r>
          </w:p>
          <w:p>
            <w:pPr>
              <w:widowControl/>
              <w:overflowPunct w:val="0"/>
              <w:spacing w:line="400" w:lineRule="exact"/>
              <w:ind w:firstLine="482" w:firstLineChars="200"/>
              <w:rPr>
                <w:rFonts w:ascii="Times New Roman" w:hAnsi="Times New Roman"/>
              </w:rPr>
            </w:pPr>
            <w:r>
              <w:rPr>
                <w:rFonts w:ascii="Times New Roman" w:hAnsi="Times New Roman" w:eastAsia="方正仿宋_GBK"/>
                <w:b/>
                <w:sz w:val="24"/>
              </w:rPr>
              <w:t>新型智慧城市大数据运行管理中心工程</w:t>
            </w:r>
            <w:r>
              <w:rPr>
                <w:rFonts w:ascii="Times New Roman" w:hAnsi="Times New Roman" w:eastAsia="方正仿宋_GBK"/>
                <w:bCs/>
                <w:sz w:val="24"/>
              </w:rPr>
              <w:t>。建成县大数据资源中心、城口县智慧城市综合服务平台、数字城口云平台等“一中心两平台”。</w:t>
            </w:r>
          </w:p>
        </w:tc>
      </w:tr>
      <w:bookmarkEnd w:id="1087"/>
    </w:tbl>
    <w:p>
      <w:pPr>
        <w:overflowPunct w:val="0"/>
        <w:rPr>
          <w:rFonts w:ascii="Times New Roman" w:hAnsi="Times New Roman" w:eastAsia="方正小标宋_GBK"/>
          <w:b/>
          <w:bCs/>
          <w:kern w:val="44"/>
          <w:sz w:val="36"/>
          <w:szCs w:val="36"/>
        </w:rPr>
      </w:pPr>
    </w:p>
    <w:bookmarkEnd w:id="164"/>
    <w:p>
      <w:pPr>
        <w:overflowPunct w:val="0"/>
        <w:adjustRightInd w:val="0"/>
        <w:snapToGrid w:val="0"/>
        <w:spacing w:line="560" w:lineRule="exact"/>
        <w:jc w:val="center"/>
        <w:outlineLvl w:val="0"/>
        <w:rPr>
          <w:rFonts w:ascii="Times New Roman" w:hAnsi="Times New Roman" w:eastAsia="方正小标宋_GBK"/>
          <w:b/>
          <w:bCs/>
          <w:kern w:val="44"/>
          <w:sz w:val="36"/>
          <w:szCs w:val="36"/>
        </w:rPr>
      </w:pPr>
      <w:bookmarkStart w:id="1088" w:name="_Toc13374"/>
      <w:bookmarkStart w:id="1089" w:name="_Toc32377"/>
      <w:bookmarkStart w:id="1090" w:name="_Toc14366"/>
      <w:bookmarkStart w:id="1091" w:name="_Toc10849"/>
      <w:bookmarkStart w:id="1092" w:name="_Toc10380"/>
      <w:bookmarkStart w:id="1093" w:name="_Toc2843"/>
      <w:bookmarkStart w:id="1094" w:name="_Toc9984"/>
      <w:bookmarkStart w:id="1095" w:name="_Toc11820"/>
      <w:bookmarkStart w:id="1096" w:name="_Toc24893"/>
      <w:bookmarkStart w:id="1097" w:name="_Toc8000"/>
      <w:bookmarkStart w:id="1098" w:name="_Toc28097"/>
      <w:bookmarkStart w:id="1099" w:name="_Toc8654"/>
      <w:bookmarkStart w:id="1100" w:name="_Toc26121"/>
      <w:bookmarkStart w:id="1101" w:name="_Toc29699"/>
      <w:bookmarkStart w:id="1102" w:name="_Toc19425"/>
      <w:bookmarkStart w:id="1103" w:name="_Toc28155"/>
      <w:bookmarkStart w:id="1104" w:name="_Toc25461"/>
      <w:bookmarkStart w:id="1105" w:name="_Toc5742"/>
      <w:r>
        <w:rPr>
          <w:rFonts w:ascii="Times New Roman" w:hAnsi="Times New Roman" w:eastAsia="方正小标宋_GBK"/>
          <w:b/>
          <w:bCs/>
          <w:kern w:val="44"/>
          <w:sz w:val="36"/>
          <w:szCs w:val="36"/>
        </w:rPr>
        <w:t>第五篇  发展现代产业体系  推动经济体系优化升级</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overflowPunct w:val="0"/>
        <w:adjustRightInd w:val="0"/>
        <w:snapToGrid w:val="0"/>
        <w:spacing w:line="560" w:lineRule="exact"/>
        <w:ind w:firstLine="640" w:firstLineChars="200"/>
        <w:rPr>
          <w:rFonts w:ascii="Times New Roman" w:hAnsi="Times New Roman" w:eastAsia="方正仿宋_GBK"/>
          <w:sz w:val="32"/>
          <w:szCs w:val="32"/>
        </w:rPr>
      </w:pP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把发展经济的着力点放在实体经济上，一手抓传统产业转型升级，一手抓生态产业发展壮大，以生态优先绿色发展为引领，更加注重抓重点和扬优势，夯实产业基础，推进产业链升级，提高经济质量效益和绿色含量。</w:t>
      </w: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106" w:name="_Toc9930"/>
      <w:bookmarkStart w:id="1107" w:name="_Toc22966"/>
      <w:bookmarkStart w:id="1108" w:name="_Toc13887"/>
      <w:bookmarkStart w:id="1109" w:name="_Toc21281"/>
      <w:bookmarkStart w:id="1110" w:name="_Toc59950097"/>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111" w:name="_Toc22535"/>
      <w:bookmarkStart w:id="1112" w:name="_Toc28596"/>
      <w:bookmarkStart w:id="1113" w:name="_Toc23396"/>
      <w:bookmarkStart w:id="1114" w:name="_Toc18833"/>
      <w:bookmarkStart w:id="1115" w:name="_Toc30694"/>
      <w:bookmarkStart w:id="1116" w:name="_Toc29967"/>
      <w:bookmarkStart w:id="1117" w:name="_Toc32413"/>
      <w:bookmarkStart w:id="1118" w:name="_Toc28683"/>
      <w:bookmarkStart w:id="1119" w:name="_Toc4590"/>
      <w:bookmarkStart w:id="1120" w:name="_Toc32207"/>
      <w:bookmarkStart w:id="1121" w:name="_Toc19175"/>
      <w:bookmarkStart w:id="1122" w:name="_Toc11089"/>
      <w:bookmarkStart w:id="1123" w:name="_Toc11072"/>
      <w:bookmarkStart w:id="1124" w:name="_Toc23894"/>
      <w:r>
        <w:rPr>
          <w:rFonts w:ascii="Times New Roman" w:hAnsi="Times New Roman" w:eastAsia="方正黑体_GBK"/>
          <w:b/>
          <w:bCs/>
          <w:kern w:val="44"/>
          <w:sz w:val="32"/>
          <w:szCs w:val="32"/>
        </w:rPr>
        <w:t>第十六章  推动农文旅深度融合发展</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坚定不移走生态优先绿色发展新路，始终保持学好用好“两山论”、走深走实“两化路”的战略定力，以农文旅融合作为城口最大的潜力，巩固拓展脱贫攻坚成果</w:t>
      </w:r>
      <w:r>
        <w:rPr>
          <w:rFonts w:hint="eastAsia" w:ascii="Times New Roman" w:hAnsi="Times New Roman" w:eastAsia="方正仿宋_GBK"/>
          <w:sz w:val="32"/>
          <w:szCs w:val="32"/>
          <w:lang w:eastAsia="zh-CN"/>
        </w:rPr>
        <w:t>同</w:t>
      </w:r>
      <w:r>
        <w:rPr>
          <w:rFonts w:ascii="Times New Roman" w:hAnsi="Times New Roman" w:eastAsia="方正仿宋_GBK"/>
          <w:sz w:val="32"/>
          <w:szCs w:val="32"/>
        </w:rPr>
        <w:t>乡村振兴有效衔接，推动良好生态资源有效转化，实现生态经济高质量发展。</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125" w:name="_Toc29530"/>
      <w:bookmarkStart w:id="1126" w:name="_Toc22614"/>
      <w:bookmarkStart w:id="1127" w:name="_Toc12038"/>
      <w:bookmarkStart w:id="1128" w:name="_Toc7813"/>
      <w:bookmarkStart w:id="1129" w:name="_Toc22164"/>
      <w:bookmarkStart w:id="1130" w:name="_Toc17865"/>
      <w:bookmarkStart w:id="1131" w:name="_Toc29274"/>
      <w:bookmarkStart w:id="1132" w:name="_Toc13054"/>
      <w:bookmarkStart w:id="1133" w:name="_Toc926"/>
      <w:bookmarkStart w:id="1134" w:name="_Toc12283"/>
      <w:bookmarkStart w:id="1135" w:name="_Toc8081"/>
      <w:bookmarkStart w:id="1136" w:name="_Toc14331"/>
      <w:bookmarkStart w:id="1137" w:name="_Toc806"/>
      <w:r>
        <w:rPr>
          <w:rFonts w:ascii="Times New Roman" w:hAnsi="Times New Roman" w:eastAsia="方正楷体_GBK"/>
          <w:b/>
          <w:sz w:val="32"/>
          <w:szCs w:val="32"/>
        </w:rPr>
        <w:t>第一节  农文旅融合引领产业发展</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坚持以“农”为基础、以“文”为灵魂、以“旅”为载体的农文旅融合发展思路，围绕“巴山原乡·生态城口”发展定位，坚持把农文旅融合发展作为推进生态产业发展的引领产业，深挖生态、文化、旅游、农业等资源价值，打通生态资源价值转化链，延长农业产业链、注入文化增值链、拉长全域旅游发展链，实现农文旅融合高端化价值化发展。坚持项目推动，分领域、分行业、分片区规划布局一批农文旅融合珍珠项目，做深做细小而精、小而美的精致化产品，形成“大项目引领带动、小项目配套补充”的良性发展。推进基础设施建设、区域整治项目、城乡环境建设、乡村振兴任务、人文精神培育、法治环境保障等与农文旅融合发展有效衔接，形成思路融合、业态融合、项目融合、工作融合、力量融合的农文旅融合发展格局。</w:t>
      </w: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融合文旅发展农业，夯实农文旅融合发展基础。加强品种、品质、品牌建设，推进农产品精深加工向生产标准化、产品品牌化方向发展，提升农文旅融合产品竞争力。大力培育休闲农业、体验农业、观光农业、创意农业，拓展农业多种功能，不断丰富农文旅业态。加强文化基因植入，依托旅游市场营销产品，延长农业产业链、提升价值链。</w:t>
      </w: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融合农旅发展文化产业，提升农文旅融合发展品质。加强大巴山农耕文化、生态文化、红色文化、原乡文化开发和利用，壮大文化产业，推动文化、旅游、生态、康养及相关产业深度融合，促进农文旅内涵式发展。加大文创力度，讲好原乡故事、传播原乡声音，增强农文旅融合文化吸引力。培育打造涵盖城口美食、城口特产、城口伴手礼的“城口大礼包”文创系列拳头产品。</w:t>
      </w: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融合农文发展旅游业，构筑农文旅融合发展平台。坚持“全域旅游”理念，围绕“巴山、生态、康养、原乡、人文、红色”等旅游元素，加快形成景区观光游、美丽乡村游、民宿养心游、生态研学游、文化体验游、健康养生游、红色洗礼游等七大类旅游产品体系，做大做强旅游产业。提档升级大巴山森林人家集群片区，推动“大巴山森林人家”向“微田园旅游综合体”升级，推动旅游业与农业、文化产业融合发展，提升农产品价值，彰显文化内涵，培育壮大旅游支柱产业。</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138" w:name="_Toc26065"/>
      <w:bookmarkStart w:id="1139" w:name="_Toc29873"/>
      <w:bookmarkStart w:id="1140" w:name="_Toc31746"/>
      <w:bookmarkStart w:id="1141" w:name="_Toc16548"/>
      <w:bookmarkStart w:id="1142" w:name="_Toc12759"/>
      <w:bookmarkStart w:id="1143" w:name="_Toc28305"/>
      <w:bookmarkStart w:id="1144" w:name="_Toc4771"/>
      <w:bookmarkStart w:id="1145" w:name="_Toc19871"/>
      <w:bookmarkStart w:id="1146" w:name="_Toc14993"/>
      <w:bookmarkStart w:id="1147" w:name="_Toc26091"/>
      <w:bookmarkStart w:id="1148" w:name="_Toc25889"/>
      <w:bookmarkStart w:id="1149" w:name="_Toc436"/>
      <w:bookmarkStart w:id="1150" w:name="_Toc6143"/>
      <w:r>
        <w:rPr>
          <w:rFonts w:ascii="Times New Roman" w:hAnsi="Times New Roman" w:eastAsia="方正楷体_GBK"/>
          <w:b/>
          <w:sz w:val="32"/>
          <w:szCs w:val="32"/>
        </w:rPr>
        <w:t>第二节  优化农文旅融合总体布局</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农文旅融合空间布局。依托全县“十字通廊”交通体系，对接全县农业产业基地、自然资源、文化资源空间分布和生态保护空间范围、地形地貌条件、城镇体系分布等，构建以县城为核心、以“任河流域”和“两高通道”为农文旅融合发展带、以“大九重山”“亢谷—亢家寨”“大巴山湖”为农文旅融合发展带动片，以全县微田园综合体为农文旅融合点的“一核·两带·三片·多点”全域旅游格局。</w:t>
      </w: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加快精品景区建设。实施国家级旅游景区创建工程，打造高端旅游。创建完成亢家寨国家5A级旅游景区、土城老街国家4A级旅游景区和亢谷国家级旅游度假区，高标准推进九重山国家5A级旅游景区建设。提档升级修齐神谷道、九重花岭、乡土岚天三大精品旅游景区。加快培育打造巴山湖旅游景区。</w:t>
      </w: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打造精品旅游线路。依托农文旅资源，畅通重点景区景点和重点乡镇旅游交通网络，推出生态康养、农文旅融合、红色文化、非遗文化、民俗风情等为主题的体验游、自驾游、研学游等旅游线路，形成东部生态康养主题旅游环线、南部农文旅主题旅游环线、西部红色主题旅游环线。完善环线“吃住行游购娱商养学闲情奇”旅游要素配套，做优体验，增强农文旅融合旅游承载力。</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bCs/>
          <w:sz w:val="32"/>
          <w:szCs w:val="32"/>
        </w:rPr>
        <w:t>开展农文旅融合示范。按照“因地制宜、合理布局、循序渐进、协调发展”原则，以“小而美、小而优、小而强、小而精”为标准，有序打造农文旅融合发展示范模板。依托现有特色民宿打造农文旅融合示范户，主推自酿酒、城口老腊肉两大产品，形成餐饮住宿、过程参观、产品销售、文化体验、活动参与于一体的经营链。依托特色村社打造农文旅融合示范村，利用红色文化、生态文化、民俗文化，对当地民居进行适当改造，增强接待能力及文化内涵。依托乡村旅游集群片区进行文创、农创升级，打造农文旅融合示范片。依托条件较好的乡镇打造农文旅融合示范基地，对区域内农文旅产业进行布局、要素设施进行整体补充完善和提档升级，探索全域农文旅融合发展。</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151" w:name="_Toc25518"/>
      <w:bookmarkStart w:id="1152" w:name="_Toc11310"/>
      <w:bookmarkStart w:id="1153" w:name="_Toc19493"/>
      <w:bookmarkStart w:id="1154" w:name="_Toc15754"/>
      <w:bookmarkStart w:id="1155" w:name="_Toc29453"/>
      <w:bookmarkStart w:id="1156" w:name="_Toc23214"/>
      <w:bookmarkStart w:id="1157" w:name="_Toc9748"/>
      <w:bookmarkStart w:id="1158" w:name="_Toc4077"/>
      <w:bookmarkStart w:id="1159" w:name="_Toc1417"/>
      <w:bookmarkStart w:id="1160" w:name="_Toc17355"/>
      <w:bookmarkStart w:id="1161" w:name="_Toc30862"/>
      <w:bookmarkStart w:id="1162" w:name="_Toc24753"/>
      <w:bookmarkStart w:id="1163" w:name="_Toc26514"/>
      <w:r>
        <w:rPr>
          <w:rFonts w:ascii="Times New Roman" w:hAnsi="Times New Roman" w:eastAsia="方正楷体_GBK"/>
          <w:b/>
          <w:sz w:val="32"/>
          <w:szCs w:val="32"/>
        </w:rPr>
        <w:t>第三节  健全农文旅融合支撑体系</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完善旅游设施建设。合理布局旅游交通基础设施，推进“最后一公里”旅游交通线路建设提升，开通旅游公交或旅游大巴，实现干线公路、景区景点、大巴山森林人家集群片区等重点区域和重要节点互联互通。科学布局重点景区、大巴山森林人家集群片区与游客承载量相适应的生态停车场、无障碍设施、新能源汽车充电桩，完善供电、供水、通信网络、垃圾污水等配套基础设施，加快建设公共休憩区、景观平台、露营地、标识引导系统等自助旅游服务设施，加强旅游厕所标准化建设和规范管理，强化医疗救助、应急救援、汽车租赁等公共服务，实现全要素保障。</w:t>
      </w: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提升旅游接待能力。规划建设城口县旅游集散中心。加强现有酒店服务设施和服务能力提升，鼓励新建与改造商务酒店、星级酒店以及文化主题酒店。结合景区文化特色和旅游功能，支持重点景区、大巴山森林人家集群片区新建和改造住宿设施，打造一批特色民宿和星级大巴山森林人家，重点支持各乡镇利用闲置废弃“老房”改造升级，强化文化内涵。</w:t>
      </w: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加强智慧景区建设。以旅游产业数字化为抓手，积极推动智慧旅游项目建设。建设城口县智慧旅游指挥中心，完善游客信息服务、旅游管理、营销等体系，建立智慧导航、导游、导览和导购等功能，实现旅游服务、管理、营销、体验的智能化，实现重点景区无线网络全覆盖。</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164" w:name="_Toc13401"/>
      <w:bookmarkStart w:id="1165" w:name="_Toc24787"/>
      <w:bookmarkStart w:id="1166" w:name="_Toc14324"/>
      <w:bookmarkStart w:id="1167" w:name="_Toc28603"/>
      <w:bookmarkStart w:id="1168" w:name="_Toc25936"/>
      <w:bookmarkStart w:id="1169" w:name="_Toc29209"/>
      <w:bookmarkStart w:id="1170" w:name="_Toc5091"/>
      <w:bookmarkStart w:id="1171" w:name="_Toc2403"/>
      <w:bookmarkStart w:id="1172" w:name="_Toc1461"/>
      <w:bookmarkStart w:id="1173" w:name="_Toc26749"/>
      <w:bookmarkStart w:id="1174" w:name="_Toc14034"/>
      <w:bookmarkStart w:id="1175" w:name="_Toc20984"/>
      <w:bookmarkStart w:id="1176" w:name="_Toc20857"/>
      <w:r>
        <w:rPr>
          <w:rFonts w:ascii="Times New Roman" w:hAnsi="Times New Roman" w:eastAsia="方正楷体_GBK"/>
          <w:b/>
          <w:sz w:val="32"/>
          <w:szCs w:val="32"/>
        </w:rPr>
        <w:t>第四节  培育发展“农文旅+”</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按照“宜融则融”“因特而融”“择优而融”“能融尽融”思路，以“旅游+”为融合载体，快速打造一批集旅游、文化、大健康、体育赛事为主的产业业态，实施农文旅产业链培育工程，推动旅游元素、文化元素、康养元素全面融入一二三产业各个环节。</w:t>
      </w: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发展“农文旅+”研学游经济。依托大巴山生物多样性、漆器漆艺、红色文化等资源，面向渝川陕毗邻地区学生、干部、生态环保人士等重点群体，支持企业、农业合作社、家庭农场、种养大户等开展农文旅业态创新，开展大巴山物种科普、农业采摘、非遗文化体验、红色场馆建设等，推动“红+绿”研学游经济发展。发展“农文旅+”体育经济。依托景区发展户外运动、冰雪运动、高山运动等体育旅游业态，加快推进体育运动示范基地建设，广泛开展马拉松、自行车、垂钓等比赛活动。发展“农文旅+”文创经济。依托城口漆艺、老腊肉等非物质文化遗产，支持手工业者、工艺美术从业人员，发挥工匠精神，创新本土文化产品，壮大文创产业，支持旅游业发展。发展“农文旅+”康养经济。依托大巴山丰富中草药等优质生态资源，发展中医理疗产业，树立健康疗养品牌。培育“农文旅+”产业链。实施农文旅融合产业链培育工程，做大做强城口漆艺和老腊肉两大文化产业，强化非物质文化遗产品牌效应和产业链示范带动效应，引领农文旅融合，推动产业价值链向高端延伸。</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177" w:name="_Toc9722"/>
      <w:bookmarkStart w:id="1178" w:name="_Toc13189"/>
      <w:bookmarkStart w:id="1179" w:name="_Toc32508"/>
      <w:bookmarkStart w:id="1180" w:name="_Toc11620"/>
      <w:bookmarkStart w:id="1181" w:name="_Toc2376"/>
      <w:bookmarkStart w:id="1182" w:name="_Toc10550"/>
      <w:bookmarkStart w:id="1183" w:name="_Toc32151"/>
      <w:bookmarkStart w:id="1184" w:name="_Toc10190"/>
      <w:bookmarkStart w:id="1185" w:name="_Toc15807"/>
      <w:bookmarkStart w:id="1186" w:name="_Toc20843"/>
      <w:bookmarkStart w:id="1187" w:name="_Toc13778"/>
      <w:bookmarkStart w:id="1188" w:name="_Toc25997"/>
      <w:bookmarkStart w:id="1189" w:name="_Toc28983"/>
      <w:r>
        <w:rPr>
          <w:rFonts w:ascii="Times New Roman" w:hAnsi="Times New Roman" w:eastAsia="方正楷体_GBK"/>
          <w:b/>
          <w:sz w:val="32"/>
          <w:szCs w:val="32"/>
        </w:rPr>
        <w:t>第五节  加大农文旅品牌宣传推广</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bCs/>
          <w:sz w:val="32"/>
          <w:szCs w:val="32"/>
        </w:rPr>
        <w:t>加强“巴山原乡·生态城口”旅游主题形象宣传。借助传统媒体和新兴媒体，开展集中、连续、深入立体宣传推介。依托智慧传播方式，做好线上线下同步推介，传播原乡声音。通过新媒体等时兴宣传平台策划专题宣传，做好线下引流工作，不断扩大目标客源市场。积极举办大中型文旅节会活动、体育赛事，着力形成“四季有赛事，月月有活动”的宣传态势。积极参加各类旅游节会活动，开展主要客源地市场旅游专题宣传推介会和营销周等活动，提高城口旅游知名度。</w:t>
      </w:r>
    </w:p>
    <w:bookmarkEnd w:id="1106"/>
    <w:bookmarkEnd w:id="1107"/>
    <w:bookmarkEnd w:id="1108"/>
    <w:bookmarkEnd w:id="1109"/>
    <w:bookmarkEnd w:id="1110"/>
    <w:bookmarkEnd w:id="1124"/>
    <w:p>
      <w:pPr>
        <w:overflowPunct w:val="0"/>
        <w:spacing w:line="480" w:lineRule="exact"/>
        <w:jc w:val="center"/>
        <w:rPr>
          <w:rFonts w:ascii="Times New Roman" w:hAnsi="Times New Roman" w:eastAsia="方正黑体_GBK"/>
          <w:sz w:val="28"/>
          <w:szCs w:val="28"/>
        </w:rPr>
      </w:pPr>
      <w:bookmarkStart w:id="1190" w:name="_Toc14705"/>
    </w:p>
    <w:p>
      <w:pPr>
        <w:overflowPunct w:val="0"/>
        <w:spacing w:line="480" w:lineRule="exact"/>
        <w:jc w:val="center"/>
        <w:rPr>
          <w:rFonts w:ascii="Times New Roman" w:hAnsi="Times New Roman" w:eastAsia="方正黑体_GBK"/>
          <w:sz w:val="28"/>
          <w:szCs w:val="28"/>
        </w:rPr>
      </w:pPr>
      <w:r>
        <w:rPr>
          <w:rFonts w:ascii="Times New Roman" w:hAnsi="Times New Roman" w:eastAsia="方正黑体_GBK"/>
          <w:sz w:val="28"/>
          <w:szCs w:val="28"/>
        </w:rPr>
        <w:t>专栏9  农文旅融合发展重点工程</w:t>
      </w:r>
      <w:bookmarkEnd w:id="1190"/>
    </w:p>
    <w:tbl>
      <w:tblPr>
        <w:tblStyle w:val="27"/>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81"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2" w:firstLineChars="200"/>
              <w:rPr>
                <w:rFonts w:ascii="Times New Roman" w:hAnsi="Times New Roman" w:eastAsia="方正仿宋_GBK"/>
                <w:b/>
                <w:bCs/>
                <w:kern w:val="0"/>
                <w:sz w:val="24"/>
                <w:szCs w:val="28"/>
              </w:rPr>
            </w:pPr>
            <w:r>
              <w:rPr>
                <w:rFonts w:ascii="Times New Roman" w:hAnsi="Times New Roman" w:eastAsia="方正仿宋_GBK"/>
                <w:b/>
                <w:bCs/>
                <w:kern w:val="0"/>
                <w:sz w:val="24"/>
                <w:szCs w:val="28"/>
              </w:rPr>
              <w:t>国家5A级旅游景区创建</w:t>
            </w:r>
          </w:p>
          <w:p>
            <w:pPr>
              <w:overflowPunct w:val="0"/>
              <w:spacing w:line="400" w:lineRule="exact"/>
              <w:ind w:firstLine="480" w:firstLineChars="200"/>
              <w:rPr>
                <w:rFonts w:ascii="Times New Roman" w:hAnsi="Times New Roman" w:eastAsia="方正仿宋_GBK"/>
                <w:kern w:val="0"/>
                <w:sz w:val="24"/>
                <w:szCs w:val="28"/>
              </w:rPr>
            </w:pPr>
            <w:r>
              <w:rPr>
                <w:rFonts w:ascii="Times New Roman" w:hAnsi="Times New Roman" w:eastAsia="方正仿宋_GBK"/>
                <w:kern w:val="0"/>
                <w:sz w:val="24"/>
                <w:szCs w:val="28"/>
              </w:rPr>
              <w:t>完成亢家寨国家</w:t>
            </w:r>
            <w:r>
              <w:rPr>
                <w:rFonts w:ascii="Times New Roman" w:hAnsi="Times New Roman" w:eastAsia="方正仿宋_GBK"/>
                <w:b/>
                <w:bCs/>
                <w:kern w:val="0"/>
                <w:sz w:val="24"/>
                <w:szCs w:val="28"/>
              </w:rPr>
              <w:t>5A</w:t>
            </w:r>
            <w:r>
              <w:rPr>
                <w:rFonts w:ascii="Times New Roman" w:hAnsi="Times New Roman" w:eastAsia="方正仿宋_GBK"/>
                <w:kern w:val="0"/>
                <w:sz w:val="24"/>
                <w:szCs w:val="28"/>
              </w:rPr>
              <w:t>级旅游景区创建。完成亢家寨旅游景区山神庙、索道、廊桥等重点工程建设。</w:t>
            </w:r>
          </w:p>
          <w:p>
            <w:pPr>
              <w:overflowPunct w:val="0"/>
              <w:spacing w:line="400" w:lineRule="exact"/>
              <w:ind w:firstLine="480" w:firstLineChars="200"/>
              <w:rPr>
                <w:rFonts w:ascii="Times New Roman" w:hAnsi="Times New Roman" w:eastAsia="方正仿宋_GBK"/>
                <w:kern w:val="0"/>
                <w:sz w:val="24"/>
                <w:szCs w:val="28"/>
              </w:rPr>
            </w:pPr>
            <w:r>
              <w:rPr>
                <w:rFonts w:ascii="Times New Roman" w:hAnsi="Times New Roman" w:eastAsia="方正仿宋_GBK"/>
                <w:kern w:val="0"/>
                <w:sz w:val="24"/>
                <w:szCs w:val="28"/>
              </w:rPr>
              <w:t>九重山国家</w:t>
            </w:r>
            <w:r>
              <w:rPr>
                <w:rFonts w:ascii="Times New Roman" w:hAnsi="Times New Roman" w:eastAsia="方正仿宋_GBK"/>
                <w:b/>
                <w:bCs/>
                <w:kern w:val="0"/>
                <w:sz w:val="24"/>
                <w:szCs w:val="28"/>
              </w:rPr>
              <w:t>5A</w:t>
            </w:r>
            <w:r>
              <w:rPr>
                <w:rFonts w:ascii="Times New Roman" w:hAnsi="Times New Roman" w:eastAsia="方正仿宋_GBK"/>
                <w:kern w:val="0"/>
                <w:sz w:val="24"/>
                <w:szCs w:val="28"/>
              </w:rPr>
              <w:t>级旅游景区创建。</w:t>
            </w:r>
          </w:p>
          <w:p>
            <w:pPr>
              <w:overflowPunct w:val="0"/>
              <w:spacing w:line="400" w:lineRule="exact"/>
              <w:ind w:firstLine="482" w:firstLineChars="200"/>
              <w:rPr>
                <w:rFonts w:ascii="Times New Roman" w:hAnsi="Times New Roman" w:eastAsia="方正仿宋_GBK"/>
                <w:b/>
                <w:bCs/>
                <w:kern w:val="0"/>
                <w:sz w:val="24"/>
                <w:szCs w:val="28"/>
              </w:rPr>
            </w:pPr>
            <w:r>
              <w:rPr>
                <w:rFonts w:ascii="Times New Roman" w:hAnsi="Times New Roman" w:eastAsia="方正仿宋_GBK"/>
                <w:b/>
                <w:bCs/>
                <w:kern w:val="0"/>
                <w:sz w:val="24"/>
                <w:szCs w:val="28"/>
              </w:rPr>
              <w:t>国家级旅游度假区创建</w:t>
            </w:r>
          </w:p>
          <w:p>
            <w:pPr>
              <w:overflowPunct w:val="0"/>
              <w:spacing w:line="400" w:lineRule="exact"/>
              <w:ind w:firstLine="480" w:firstLineChars="200"/>
              <w:rPr>
                <w:rFonts w:ascii="Times New Roman" w:hAnsi="Times New Roman" w:eastAsia="方正仿宋_GBK"/>
                <w:kern w:val="0"/>
                <w:sz w:val="24"/>
                <w:szCs w:val="28"/>
              </w:rPr>
            </w:pPr>
            <w:r>
              <w:rPr>
                <w:rFonts w:ascii="Times New Roman" w:hAnsi="Times New Roman" w:eastAsia="方正仿宋_GBK"/>
                <w:kern w:val="0"/>
                <w:sz w:val="24"/>
                <w:szCs w:val="28"/>
              </w:rPr>
              <w:t>完成亢谷国家级旅游度假区创建。推动亢谷精品度假酒店集群、亢谷文化艺术中心、四方碑高端度假集群、亢谷度假康养长廊、亢谷滨河商业街等重点工程建设。</w:t>
            </w:r>
          </w:p>
          <w:p>
            <w:pPr>
              <w:overflowPunct w:val="0"/>
              <w:spacing w:line="400" w:lineRule="exact"/>
              <w:ind w:firstLine="482" w:firstLineChars="200"/>
              <w:rPr>
                <w:rFonts w:ascii="Times New Roman" w:hAnsi="Times New Roman" w:eastAsia="方正仿宋_GBK"/>
                <w:b/>
                <w:bCs/>
                <w:kern w:val="0"/>
                <w:sz w:val="24"/>
                <w:szCs w:val="28"/>
              </w:rPr>
            </w:pPr>
            <w:r>
              <w:rPr>
                <w:rFonts w:ascii="Times New Roman" w:hAnsi="Times New Roman" w:eastAsia="方正仿宋_GBK"/>
                <w:b/>
                <w:bCs/>
                <w:kern w:val="0"/>
                <w:sz w:val="24"/>
                <w:szCs w:val="28"/>
              </w:rPr>
              <w:t>国家4A级旅游景区创建</w:t>
            </w:r>
          </w:p>
          <w:p>
            <w:pPr>
              <w:overflowPunct w:val="0"/>
              <w:spacing w:line="400" w:lineRule="exact"/>
              <w:ind w:firstLine="480" w:firstLineChars="200"/>
              <w:rPr>
                <w:rFonts w:ascii="Times New Roman" w:hAnsi="Times New Roman" w:eastAsia="方正仿宋_GBK"/>
                <w:kern w:val="0"/>
                <w:sz w:val="24"/>
                <w:szCs w:val="28"/>
                <w:highlight w:val="yellow"/>
              </w:rPr>
            </w:pPr>
            <w:r>
              <w:rPr>
                <w:rFonts w:ascii="Times New Roman" w:hAnsi="Times New Roman" w:eastAsia="方正仿宋_GBK"/>
                <w:kern w:val="0"/>
                <w:sz w:val="24"/>
                <w:szCs w:val="28"/>
              </w:rPr>
              <w:t>土城老街4A级旅游景区创建。</w:t>
            </w:r>
          </w:p>
          <w:p>
            <w:pPr>
              <w:overflowPunct w:val="0"/>
              <w:spacing w:line="400" w:lineRule="exact"/>
              <w:ind w:firstLine="482" w:firstLineChars="200"/>
              <w:rPr>
                <w:rFonts w:ascii="Times New Roman" w:hAnsi="Times New Roman" w:eastAsia="方正仿宋_GBK"/>
                <w:b/>
                <w:bCs/>
                <w:kern w:val="0"/>
                <w:sz w:val="24"/>
                <w:szCs w:val="28"/>
              </w:rPr>
            </w:pPr>
            <w:r>
              <w:rPr>
                <w:rFonts w:ascii="Times New Roman" w:hAnsi="Times New Roman" w:eastAsia="方正仿宋_GBK"/>
                <w:b/>
                <w:bCs/>
                <w:kern w:val="0"/>
                <w:sz w:val="24"/>
                <w:szCs w:val="28"/>
              </w:rPr>
              <w:t>提档升级三大精品旅游景区</w:t>
            </w:r>
          </w:p>
          <w:p>
            <w:pPr>
              <w:overflowPunct w:val="0"/>
              <w:spacing w:line="400" w:lineRule="exact"/>
              <w:ind w:firstLine="480" w:firstLineChars="200"/>
              <w:rPr>
                <w:rFonts w:ascii="Times New Roman" w:hAnsi="Times New Roman" w:eastAsia="方正仿宋_GBK"/>
                <w:kern w:val="0"/>
                <w:sz w:val="24"/>
                <w:szCs w:val="28"/>
              </w:rPr>
            </w:pPr>
            <w:r>
              <w:rPr>
                <w:rFonts w:ascii="Times New Roman" w:hAnsi="Times New Roman" w:eastAsia="方正仿宋_GBK"/>
                <w:kern w:val="0"/>
                <w:sz w:val="24"/>
                <w:szCs w:val="28"/>
              </w:rPr>
              <w:t>以国家4A级旅游景区、市级旅游度假区为标准，提档升级修齐神道谷、九重花岭、乡土岚天三大精品旅游景区。</w:t>
            </w:r>
          </w:p>
          <w:p>
            <w:pPr>
              <w:overflowPunct w:val="0"/>
              <w:spacing w:line="400" w:lineRule="exact"/>
              <w:ind w:firstLine="482" w:firstLineChars="200"/>
              <w:rPr>
                <w:rFonts w:ascii="Times New Roman" w:hAnsi="Times New Roman" w:eastAsia="方正仿宋_GBK"/>
                <w:b/>
                <w:bCs/>
                <w:kern w:val="0"/>
                <w:sz w:val="24"/>
                <w:szCs w:val="28"/>
              </w:rPr>
            </w:pPr>
            <w:r>
              <w:rPr>
                <w:rFonts w:ascii="Times New Roman" w:hAnsi="Times New Roman" w:eastAsia="方正仿宋_GBK"/>
                <w:b/>
                <w:bCs/>
                <w:kern w:val="0"/>
                <w:sz w:val="24"/>
                <w:szCs w:val="28"/>
              </w:rPr>
              <w:t>特色文旅街区建设</w:t>
            </w:r>
          </w:p>
          <w:p>
            <w:pPr>
              <w:overflowPunct w:val="0"/>
              <w:spacing w:line="400" w:lineRule="exact"/>
              <w:ind w:firstLine="480" w:firstLineChars="200"/>
              <w:rPr>
                <w:rFonts w:ascii="Times New Roman" w:hAnsi="Times New Roman" w:eastAsia="方正仿宋_GBK"/>
                <w:kern w:val="0"/>
                <w:sz w:val="24"/>
                <w:szCs w:val="28"/>
              </w:rPr>
            </w:pPr>
            <w:r>
              <w:rPr>
                <w:rFonts w:ascii="Times New Roman" w:hAnsi="Times New Roman" w:eastAsia="方正仿宋_GBK"/>
                <w:kern w:val="0"/>
                <w:sz w:val="24"/>
                <w:szCs w:val="28"/>
              </w:rPr>
              <w:t>依托土城老街、红军小镇、九重山、亢谷中心商业地段发展文化娱乐产业，打造文化娱乐聚集区和“不夜街区”。</w:t>
            </w:r>
          </w:p>
          <w:p>
            <w:pPr>
              <w:overflowPunct w:val="0"/>
              <w:spacing w:line="400" w:lineRule="exact"/>
              <w:ind w:firstLine="482" w:firstLineChars="200"/>
              <w:rPr>
                <w:rFonts w:ascii="Times New Roman" w:hAnsi="Times New Roman" w:eastAsia="方正仿宋_GBK"/>
                <w:b/>
                <w:bCs/>
                <w:kern w:val="0"/>
                <w:sz w:val="24"/>
                <w:szCs w:val="28"/>
              </w:rPr>
            </w:pPr>
            <w:r>
              <w:rPr>
                <w:rFonts w:ascii="Times New Roman" w:hAnsi="Times New Roman" w:eastAsia="方正仿宋_GBK"/>
                <w:b/>
                <w:bCs/>
                <w:kern w:val="0"/>
                <w:sz w:val="24"/>
                <w:szCs w:val="28"/>
              </w:rPr>
              <w:t>大巴山森林人家集群片区建设</w:t>
            </w:r>
          </w:p>
          <w:p>
            <w:pPr>
              <w:overflowPunct w:val="0"/>
              <w:spacing w:line="400" w:lineRule="exact"/>
              <w:ind w:firstLine="480" w:firstLineChars="200"/>
              <w:rPr>
                <w:rFonts w:ascii="Times New Roman" w:hAnsi="Times New Roman" w:eastAsia="方正仿宋_GBK"/>
                <w:kern w:val="0"/>
                <w:sz w:val="24"/>
                <w:szCs w:val="28"/>
              </w:rPr>
            </w:pPr>
            <w:r>
              <w:rPr>
                <w:rFonts w:ascii="Times New Roman" w:hAnsi="Times New Roman" w:eastAsia="方正仿宋_GBK"/>
                <w:kern w:val="0"/>
                <w:sz w:val="24"/>
                <w:szCs w:val="28"/>
              </w:rPr>
              <w:t>重点建设北屏松柏、厚坪龙盘、河鱼两扇门、双河八台天寨、周溪九龙坪、治平惠民、沿河迎红、坪坝聚马坪等8个大巴山森林人家集群片区；提档升级巴山、蓼子、高燕、修齐、高楠等5个乡镇大巴山森林人家集群片区。</w:t>
            </w:r>
          </w:p>
          <w:p>
            <w:pPr>
              <w:overflowPunct w:val="0"/>
              <w:spacing w:line="400" w:lineRule="exact"/>
              <w:ind w:firstLine="482" w:firstLineChars="200"/>
              <w:rPr>
                <w:rFonts w:ascii="Times New Roman" w:hAnsi="Times New Roman" w:eastAsia="方正仿宋_GBK"/>
                <w:b/>
                <w:bCs/>
                <w:kern w:val="0"/>
                <w:sz w:val="24"/>
                <w:szCs w:val="28"/>
              </w:rPr>
            </w:pPr>
            <w:r>
              <w:rPr>
                <w:rFonts w:ascii="Times New Roman" w:hAnsi="Times New Roman" w:eastAsia="方正仿宋_GBK"/>
                <w:b/>
                <w:bCs/>
                <w:kern w:val="0"/>
                <w:sz w:val="24"/>
                <w:szCs w:val="28"/>
              </w:rPr>
              <w:t>特色民宿建设</w:t>
            </w:r>
          </w:p>
          <w:p>
            <w:pPr>
              <w:overflowPunct w:val="0"/>
              <w:spacing w:line="400" w:lineRule="exact"/>
              <w:ind w:firstLine="480" w:firstLineChars="200"/>
              <w:rPr>
                <w:rFonts w:ascii="Times New Roman" w:hAnsi="Times New Roman" w:eastAsia="方正仿宋_GBK"/>
                <w:kern w:val="0"/>
                <w:sz w:val="24"/>
                <w:szCs w:val="28"/>
              </w:rPr>
            </w:pPr>
            <w:r>
              <w:rPr>
                <w:rFonts w:ascii="Times New Roman" w:hAnsi="Times New Roman" w:eastAsia="方正仿宋_GBK"/>
                <w:kern w:val="0"/>
                <w:sz w:val="24"/>
                <w:szCs w:val="28"/>
              </w:rPr>
              <w:t>提档升级东安镇巴渝民宿、双河乡半山居民宿等精品民宿；</w:t>
            </w:r>
          </w:p>
          <w:p>
            <w:pPr>
              <w:overflowPunct w:val="0"/>
              <w:spacing w:line="400" w:lineRule="exact"/>
              <w:ind w:firstLine="480" w:firstLineChars="200"/>
              <w:rPr>
                <w:rFonts w:ascii="Times New Roman" w:hAnsi="Times New Roman" w:eastAsia="方正仿宋_GBK"/>
                <w:kern w:val="0"/>
                <w:sz w:val="24"/>
                <w:szCs w:val="28"/>
              </w:rPr>
            </w:pPr>
            <w:r>
              <w:rPr>
                <w:rFonts w:ascii="Times New Roman" w:hAnsi="Times New Roman" w:eastAsia="方正仿宋_GBK"/>
                <w:kern w:val="0"/>
                <w:sz w:val="24"/>
                <w:szCs w:val="28"/>
              </w:rPr>
              <w:t>改造巴山镇坪上村民宿群、高楠镇方斗坪民宿群等特色民宿群落。</w:t>
            </w:r>
          </w:p>
          <w:p>
            <w:pPr>
              <w:overflowPunct w:val="0"/>
              <w:spacing w:line="400" w:lineRule="exact"/>
              <w:ind w:firstLine="482" w:firstLineChars="200"/>
              <w:rPr>
                <w:rFonts w:ascii="Times New Roman" w:hAnsi="Times New Roman" w:eastAsia="方正仿宋_GBK"/>
                <w:b/>
                <w:bCs/>
                <w:kern w:val="0"/>
                <w:sz w:val="24"/>
                <w:szCs w:val="28"/>
              </w:rPr>
            </w:pPr>
            <w:r>
              <w:rPr>
                <w:rFonts w:ascii="Times New Roman" w:hAnsi="Times New Roman" w:eastAsia="方正仿宋_GBK"/>
                <w:b/>
                <w:bCs/>
                <w:kern w:val="0"/>
                <w:sz w:val="24"/>
                <w:szCs w:val="28"/>
              </w:rPr>
              <w:t>旅游基础设施建设</w:t>
            </w:r>
          </w:p>
          <w:p>
            <w:pPr>
              <w:overflowPunct w:val="0"/>
              <w:spacing w:line="400" w:lineRule="exact"/>
              <w:ind w:firstLine="480" w:firstLineChars="200"/>
              <w:rPr>
                <w:rFonts w:ascii="Times New Roman" w:hAnsi="Times New Roman" w:eastAsia="方正仿宋_GBK"/>
                <w:kern w:val="0"/>
                <w:sz w:val="24"/>
                <w:szCs w:val="28"/>
              </w:rPr>
            </w:pPr>
            <w:r>
              <w:rPr>
                <w:rFonts w:ascii="Times New Roman" w:hAnsi="Times New Roman" w:eastAsia="方正仿宋_GBK"/>
                <w:kern w:val="0"/>
                <w:sz w:val="24"/>
                <w:szCs w:val="28"/>
              </w:rPr>
              <w:t>规划建设城口县旅游集散中心。</w:t>
            </w:r>
          </w:p>
          <w:p>
            <w:pPr>
              <w:overflowPunct w:val="0"/>
              <w:spacing w:line="400" w:lineRule="exact"/>
              <w:ind w:firstLine="480" w:firstLineChars="200"/>
              <w:rPr>
                <w:rFonts w:ascii="Times New Roman" w:hAnsi="Times New Roman" w:eastAsia="方正仿宋_GBK"/>
                <w:bCs/>
                <w:kern w:val="0"/>
                <w:sz w:val="24"/>
                <w:szCs w:val="28"/>
              </w:rPr>
            </w:pPr>
            <w:r>
              <w:rPr>
                <w:rFonts w:ascii="Times New Roman" w:hAnsi="Times New Roman" w:eastAsia="方正仿宋_GBK"/>
                <w:bCs/>
                <w:kern w:val="0"/>
                <w:sz w:val="24"/>
                <w:szCs w:val="28"/>
              </w:rPr>
              <w:t>建成城口县智慧旅游指挥中心。</w:t>
            </w:r>
          </w:p>
          <w:p>
            <w:pPr>
              <w:overflowPunct w:val="0"/>
              <w:spacing w:line="400" w:lineRule="exact"/>
              <w:ind w:firstLine="480" w:firstLineChars="200"/>
              <w:rPr>
                <w:rFonts w:ascii="Times New Roman" w:hAnsi="Times New Roman" w:eastAsia="方正仿宋_GBK"/>
                <w:bCs/>
                <w:kern w:val="0"/>
                <w:sz w:val="24"/>
                <w:szCs w:val="28"/>
              </w:rPr>
            </w:pPr>
            <w:r>
              <w:rPr>
                <w:rFonts w:ascii="Times New Roman" w:hAnsi="Times New Roman" w:eastAsia="方正仿宋_GBK"/>
                <w:bCs/>
                <w:kern w:val="0"/>
                <w:sz w:val="24"/>
                <w:szCs w:val="28"/>
              </w:rPr>
              <w:t>建设全域通景廊道。“环九重山”山水田园慢行绿道、“环巴山湖”高山平湖慢行碧道、“生态亢谷”任河上游慢行碧道、“前河画廊”文化遗风慢行碧道。</w:t>
            </w:r>
          </w:p>
          <w:p>
            <w:pPr>
              <w:overflowPunct w:val="0"/>
              <w:spacing w:line="400" w:lineRule="exact"/>
              <w:ind w:firstLine="480" w:firstLineChars="200"/>
              <w:rPr>
                <w:rFonts w:ascii="Times New Roman" w:hAnsi="Times New Roman" w:eastAsia="方正仿宋_GBK"/>
                <w:bCs/>
                <w:kern w:val="0"/>
                <w:sz w:val="24"/>
                <w:szCs w:val="28"/>
              </w:rPr>
            </w:pPr>
            <w:r>
              <w:rPr>
                <w:rFonts w:ascii="Times New Roman" w:hAnsi="Times New Roman" w:eastAsia="方正仿宋_GBK"/>
                <w:bCs/>
                <w:kern w:val="0"/>
                <w:sz w:val="24"/>
                <w:szCs w:val="28"/>
              </w:rPr>
              <w:t>规划建设城口县大巴山九重云梯。改造红军纪念公园登山梯，建设九段云梯平台延伸至后山山峰。</w:t>
            </w:r>
          </w:p>
          <w:p>
            <w:pPr>
              <w:overflowPunct w:val="0"/>
              <w:spacing w:line="400" w:lineRule="exact"/>
              <w:ind w:firstLine="482" w:firstLineChars="200"/>
              <w:rPr>
                <w:rFonts w:ascii="Times New Roman" w:hAnsi="Times New Roman" w:eastAsia="方正仿宋_GBK"/>
                <w:b/>
                <w:kern w:val="0"/>
                <w:sz w:val="24"/>
                <w:szCs w:val="28"/>
              </w:rPr>
            </w:pPr>
            <w:r>
              <w:rPr>
                <w:rFonts w:ascii="Times New Roman" w:hAnsi="Times New Roman" w:eastAsia="方正仿宋_GBK"/>
                <w:b/>
                <w:kern w:val="0"/>
                <w:sz w:val="24"/>
                <w:szCs w:val="28"/>
              </w:rPr>
              <w:t>农文旅产业链培育工程</w:t>
            </w:r>
          </w:p>
          <w:p>
            <w:pPr>
              <w:overflowPunct w:val="0"/>
              <w:spacing w:line="400" w:lineRule="exact"/>
              <w:ind w:firstLine="480" w:firstLineChars="200"/>
              <w:rPr>
                <w:rFonts w:ascii="Times New Roman" w:hAnsi="Times New Roman" w:eastAsia="方正仿宋_GBK"/>
                <w:bCs/>
                <w:kern w:val="0"/>
                <w:sz w:val="24"/>
                <w:szCs w:val="28"/>
              </w:rPr>
            </w:pPr>
            <w:r>
              <w:rPr>
                <w:rFonts w:ascii="Times New Roman" w:hAnsi="Times New Roman" w:eastAsia="方正仿宋_GBK"/>
                <w:bCs/>
                <w:kern w:val="0"/>
                <w:sz w:val="24"/>
                <w:szCs w:val="28"/>
              </w:rPr>
              <w:t>中药材产业链培育工程。支持中药材种植、加工、研发项目，鼓励企业向康养医疗产业延伸。</w:t>
            </w:r>
          </w:p>
          <w:p>
            <w:pPr>
              <w:overflowPunct w:val="0"/>
              <w:spacing w:line="400" w:lineRule="exact"/>
              <w:ind w:firstLine="480" w:firstLineChars="200"/>
              <w:rPr>
                <w:rFonts w:ascii="Times New Roman" w:hAnsi="Times New Roman" w:eastAsia="方正仿宋_GBK"/>
                <w:bCs/>
                <w:kern w:val="0"/>
                <w:sz w:val="24"/>
                <w:szCs w:val="28"/>
              </w:rPr>
            </w:pPr>
            <w:r>
              <w:rPr>
                <w:rFonts w:ascii="Times New Roman" w:hAnsi="Times New Roman" w:eastAsia="方正仿宋_GBK"/>
                <w:bCs/>
                <w:kern w:val="0"/>
                <w:sz w:val="24"/>
                <w:szCs w:val="28"/>
              </w:rPr>
              <w:t>城口漆器漆艺全产业链培育工程。支持漆树育苗种植、大木漆生产、漆器制造、漆艺传承与研发发展。</w:t>
            </w:r>
          </w:p>
          <w:p>
            <w:pPr>
              <w:overflowPunct w:val="0"/>
              <w:spacing w:line="400" w:lineRule="exact"/>
              <w:ind w:firstLine="480" w:firstLineChars="200"/>
              <w:rPr>
                <w:rFonts w:ascii="Times New Roman" w:hAnsi="Times New Roman" w:eastAsia="方正仿宋_GBK"/>
                <w:bCs/>
                <w:kern w:val="0"/>
                <w:sz w:val="24"/>
                <w:szCs w:val="28"/>
              </w:rPr>
            </w:pPr>
            <w:r>
              <w:rPr>
                <w:rFonts w:ascii="Times New Roman" w:hAnsi="Times New Roman" w:eastAsia="方正仿宋_GBK"/>
                <w:bCs/>
                <w:kern w:val="0"/>
                <w:sz w:val="24"/>
                <w:szCs w:val="28"/>
              </w:rPr>
              <w:t>城口老腊肉产业链培育工程。支持生猪养殖、屠宰、加工、饲料与城口老腊肉企业上下游配套联动发展。</w:t>
            </w:r>
          </w:p>
          <w:p>
            <w:pPr>
              <w:overflowPunct w:val="0"/>
              <w:spacing w:line="400" w:lineRule="exact"/>
              <w:ind w:firstLine="480" w:firstLineChars="200"/>
              <w:rPr>
                <w:rFonts w:ascii="Times New Roman" w:hAnsi="Times New Roman" w:eastAsia="方正仿宋_GBK"/>
                <w:bCs/>
                <w:kern w:val="0"/>
                <w:sz w:val="24"/>
                <w:szCs w:val="28"/>
              </w:rPr>
            </w:pPr>
            <w:r>
              <w:rPr>
                <w:rFonts w:ascii="Times New Roman" w:hAnsi="Times New Roman" w:eastAsia="方正仿宋_GBK"/>
                <w:bCs/>
                <w:kern w:val="0"/>
                <w:sz w:val="24"/>
                <w:szCs w:val="28"/>
              </w:rPr>
              <w:t>城口山地鸡产业链培育工程。支持城口山地鸡养殖、屠宰、加工项目，建设城口山地鸡博物馆。</w:t>
            </w:r>
          </w:p>
          <w:p>
            <w:pPr>
              <w:overflowPunct w:val="0"/>
              <w:spacing w:line="400" w:lineRule="exact"/>
              <w:ind w:firstLine="480" w:firstLineChars="200"/>
              <w:rPr>
                <w:rFonts w:ascii="Times New Roman" w:hAnsi="Times New Roman" w:eastAsia="方正仿宋_GBK"/>
                <w:bCs/>
                <w:kern w:val="0"/>
                <w:sz w:val="24"/>
                <w:szCs w:val="28"/>
              </w:rPr>
            </w:pPr>
            <w:r>
              <w:rPr>
                <w:rFonts w:ascii="Times New Roman" w:hAnsi="Times New Roman" w:eastAsia="方正仿宋_GBK"/>
                <w:bCs/>
                <w:kern w:val="0"/>
                <w:sz w:val="24"/>
                <w:szCs w:val="28"/>
              </w:rPr>
              <w:t>食用菌产业链培育工程。支持食用菌种植、加工、研发项目，集聚食用菌特色产业。</w:t>
            </w:r>
          </w:p>
          <w:p>
            <w:pPr>
              <w:overflowPunct w:val="0"/>
              <w:spacing w:line="400" w:lineRule="exact"/>
              <w:ind w:firstLine="480" w:firstLineChars="200"/>
              <w:rPr>
                <w:rFonts w:ascii="Times New Roman" w:hAnsi="Times New Roman" w:eastAsia="方正仿宋_GBK"/>
                <w:bCs/>
                <w:kern w:val="0"/>
                <w:sz w:val="24"/>
                <w:szCs w:val="28"/>
              </w:rPr>
            </w:pPr>
            <w:r>
              <w:rPr>
                <w:rFonts w:ascii="Times New Roman" w:hAnsi="Times New Roman" w:eastAsia="方正仿宋_GBK"/>
                <w:bCs/>
                <w:kern w:val="0"/>
                <w:sz w:val="24"/>
                <w:szCs w:val="28"/>
              </w:rPr>
              <w:t>城口鸡鸣禅茶产业链培育工程。支持鸡鸣禅茶种植、加工，鼓励开展集观光体验、茶艺传承、民俗旅游于一体的茶园建设。</w:t>
            </w:r>
          </w:p>
          <w:p>
            <w:pPr>
              <w:overflowPunct w:val="0"/>
              <w:spacing w:line="400" w:lineRule="exact"/>
              <w:ind w:firstLine="482" w:firstLineChars="200"/>
              <w:rPr>
                <w:rFonts w:ascii="Times New Roman" w:hAnsi="Times New Roman" w:eastAsia="方正仿宋_GBK"/>
                <w:b/>
                <w:kern w:val="0"/>
                <w:sz w:val="24"/>
                <w:szCs w:val="28"/>
              </w:rPr>
            </w:pPr>
            <w:r>
              <w:rPr>
                <w:rFonts w:ascii="Times New Roman" w:hAnsi="Times New Roman" w:eastAsia="方正仿宋_GBK"/>
                <w:b/>
                <w:kern w:val="0"/>
                <w:sz w:val="24"/>
                <w:szCs w:val="28"/>
              </w:rPr>
              <w:t>农文旅融合发展试点示范工程</w:t>
            </w:r>
          </w:p>
          <w:p>
            <w:pPr>
              <w:overflowPunct w:val="0"/>
              <w:spacing w:line="400" w:lineRule="exact"/>
              <w:ind w:firstLine="480" w:firstLineChars="200"/>
              <w:rPr>
                <w:rFonts w:ascii="Times New Roman" w:hAnsi="Times New Roman" w:eastAsia="方正仿宋_GBK"/>
                <w:bCs/>
                <w:kern w:val="0"/>
                <w:sz w:val="24"/>
                <w:szCs w:val="28"/>
              </w:rPr>
            </w:pPr>
            <w:r>
              <w:rPr>
                <w:rFonts w:ascii="Times New Roman" w:hAnsi="Times New Roman" w:eastAsia="方正仿宋_GBK"/>
                <w:bCs/>
                <w:kern w:val="0"/>
                <w:sz w:val="24"/>
                <w:szCs w:val="28"/>
              </w:rPr>
              <w:t>打造农文旅融合示范户。主推自酿酒、城口老腊肉两大产品，形成餐饮住宿、过程参观、产品销售、文化体验、活动参与于一体的经营链。以北屏、岚天、河鱼等乡镇为重点试点对象。</w:t>
            </w:r>
          </w:p>
          <w:p>
            <w:pPr>
              <w:overflowPunct w:val="0"/>
              <w:spacing w:line="400" w:lineRule="exact"/>
              <w:ind w:firstLine="480" w:firstLineChars="200"/>
              <w:rPr>
                <w:rFonts w:ascii="Times New Roman" w:hAnsi="Times New Roman" w:eastAsia="方正仿宋_GBK"/>
                <w:bCs/>
                <w:kern w:val="0"/>
                <w:sz w:val="24"/>
                <w:szCs w:val="28"/>
              </w:rPr>
            </w:pPr>
            <w:r>
              <w:rPr>
                <w:rFonts w:ascii="Times New Roman" w:hAnsi="Times New Roman" w:eastAsia="方正仿宋_GBK"/>
                <w:bCs/>
                <w:kern w:val="0"/>
                <w:sz w:val="24"/>
                <w:szCs w:val="28"/>
              </w:rPr>
              <w:t>打造农文旅融合示范村。利用红色文化、生态文化、民俗文化，对当地民居进行适当改造增加文化内涵。以高燕镇红军村、岚天乡三河村、河鱼平溪村、东安兴田村、巴山坪上村等为打造对象。</w:t>
            </w:r>
          </w:p>
          <w:p>
            <w:pPr>
              <w:overflowPunct w:val="0"/>
              <w:spacing w:line="400" w:lineRule="exact"/>
              <w:ind w:firstLine="480" w:firstLineChars="200"/>
              <w:rPr>
                <w:rFonts w:ascii="Times New Roman" w:hAnsi="Times New Roman" w:eastAsia="方正仿宋_GBK"/>
                <w:bCs/>
                <w:kern w:val="0"/>
                <w:sz w:val="24"/>
                <w:szCs w:val="28"/>
              </w:rPr>
            </w:pPr>
            <w:r>
              <w:rPr>
                <w:rFonts w:ascii="Times New Roman" w:hAnsi="Times New Roman" w:eastAsia="方正仿宋_GBK"/>
                <w:bCs/>
                <w:kern w:val="0"/>
                <w:sz w:val="24"/>
                <w:szCs w:val="28"/>
              </w:rPr>
              <w:t>打造农文旅融合示范片。对大巴山森林人家集群片区进行文创、农创升级，带动产业发展。以厚坪龙盘、河鱼两扇门、高观双竹等集群为打造对象。</w:t>
            </w:r>
          </w:p>
          <w:p>
            <w:pPr>
              <w:overflowPunct w:val="0"/>
              <w:spacing w:line="400" w:lineRule="exact"/>
              <w:ind w:firstLine="480" w:firstLineChars="200"/>
              <w:rPr>
                <w:rFonts w:ascii="Times New Roman" w:hAnsi="Times New Roman" w:eastAsia="方正仿宋_GBK"/>
                <w:bCs/>
                <w:kern w:val="0"/>
                <w:sz w:val="24"/>
                <w:szCs w:val="28"/>
              </w:rPr>
            </w:pPr>
            <w:r>
              <w:rPr>
                <w:rFonts w:ascii="Times New Roman" w:hAnsi="Times New Roman" w:eastAsia="方正仿宋_GBK"/>
                <w:bCs/>
                <w:kern w:val="0"/>
                <w:sz w:val="24"/>
                <w:szCs w:val="28"/>
              </w:rPr>
              <w:t>打造农文旅融合示范基地。通过对区域内农文旅产业布局，要素设施进行整体补充完善、提档升级。以北屏乡、坪坝镇、岚天乡等乡镇为打造对象。</w:t>
            </w:r>
          </w:p>
          <w:p>
            <w:pPr>
              <w:overflowPunct w:val="0"/>
              <w:spacing w:line="400" w:lineRule="exact"/>
              <w:ind w:firstLine="482" w:firstLineChars="200"/>
              <w:rPr>
                <w:rFonts w:ascii="Times New Roman" w:hAnsi="Times New Roman" w:eastAsia="方正仿宋_GBK"/>
                <w:b/>
                <w:kern w:val="0"/>
                <w:sz w:val="24"/>
                <w:szCs w:val="28"/>
              </w:rPr>
            </w:pPr>
            <w:r>
              <w:rPr>
                <w:rFonts w:ascii="Times New Roman" w:hAnsi="Times New Roman" w:eastAsia="方正仿宋_GBK"/>
                <w:b/>
                <w:kern w:val="0"/>
                <w:sz w:val="24"/>
                <w:szCs w:val="28"/>
              </w:rPr>
              <w:t>研学旅工程</w:t>
            </w:r>
          </w:p>
          <w:p>
            <w:pPr>
              <w:overflowPunct w:val="0"/>
              <w:spacing w:line="400" w:lineRule="exact"/>
              <w:ind w:firstLine="480" w:firstLineChars="200"/>
              <w:rPr>
                <w:rFonts w:ascii="Times New Roman" w:hAnsi="Times New Roman" w:eastAsia="方正仿宋_GBK"/>
                <w:kern w:val="0"/>
                <w:sz w:val="24"/>
                <w:szCs w:val="28"/>
              </w:rPr>
            </w:pPr>
            <w:r>
              <w:rPr>
                <w:rFonts w:ascii="Times New Roman" w:hAnsi="Times New Roman" w:eastAsia="方正仿宋_GBK"/>
                <w:bCs/>
                <w:kern w:val="0"/>
                <w:sz w:val="24"/>
                <w:szCs w:val="28"/>
              </w:rPr>
              <w:t>渝东北和秦巴地区研学旅社会实践教育示范基地。支持庙坝镇依托龙头企业培育研学旅行产业。</w:t>
            </w:r>
          </w:p>
        </w:tc>
      </w:tr>
    </w:tbl>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191" w:name="_Toc5679"/>
      <w:bookmarkStart w:id="1192" w:name="_Toc7767"/>
      <w:bookmarkStart w:id="1193" w:name="_Toc7511"/>
      <w:bookmarkStart w:id="1194" w:name="_Toc28607"/>
      <w:bookmarkStart w:id="1195" w:name="_Toc953"/>
      <w:bookmarkStart w:id="1196" w:name="_Toc18085"/>
      <w:bookmarkStart w:id="1197" w:name="_Toc20969"/>
      <w:bookmarkStart w:id="1198" w:name="_Toc18914"/>
      <w:bookmarkStart w:id="1199" w:name="_Toc12684"/>
      <w:bookmarkStart w:id="1200" w:name="_Toc5760"/>
      <w:bookmarkStart w:id="1201" w:name="_Toc12044"/>
      <w:bookmarkStart w:id="1202" w:name="_Toc3599"/>
      <w:bookmarkStart w:id="1203" w:name="_Toc31185"/>
      <w:bookmarkStart w:id="1204" w:name="_Toc18994"/>
      <w:bookmarkStart w:id="1205" w:name="_Toc30840"/>
      <w:bookmarkStart w:id="1206" w:name="_Toc29443"/>
      <w:bookmarkStart w:id="1207" w:name="_Toc20684"/>
    </w:p>
    <w:p>
      <w:pPr>
        <w:overflowPunct w:val="0"/>
        <w:adjustRightInd w:val="0"/>
        <w:snapToGrid w:val="0"/>
        <w:spacing w:line="560" w:lineRule="exact"/>
        <w:jc w:val="center"/>
        <w:outlineLvl w:val="1"/>
        <w:rPr>
          <w:rFonts w:ascii="Times New Roman" w:hAnsi="Times New Roman"/>
        </w:rPr>
      </w:pPr>
      <w:bookmarkStart w:id="1208" w:name="_Toc16399"/>
      <w:r>
        <w:rPr>
          <w:rFonts w:ascii="Times New Roman" w:hAnsi="Times New Roman" w:eastAsia="方正黑体_GBK"/>
          <w:b/>
          <w:bCs/>
          <w:kern w:val="44"/>
          <w:sz w:val="32"/>
          <w:szCs w:val="32"/>
        </w:rPr>
        <w:t>第十七章  提质发展现代山地特色生态农业</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立足城口山地气候、耕地分散特点，着力优化农业结构，依托“山上中药材、林下山地鸡、坡上核桃树、中蜂百花蜜、香菌巴掌田、杂粮鸡窝地、火炕老腊肉、冷水生态鱼”生态产业格局，发展精品生态农业，提升农产品品质和价值，构建山地特色生态农业体系。</w:t>
      </w:r>
    </w:p>
    <w:p>
      <w:pPr>
        <w:keepNext/>
        <w:keepLines/>
        <w:overflowPunct w:val="0"/>
        <w:adjustRightInd w:val="0"/>
        <w:snapToGrid w:val="0"/>
        <w:spacing w:before="62" w:beforeLines="20" w:after="62" w:afterLines="20" w:line="560" w:lineRule="exact"/>
        <w:contextualSpacing/>
        <w:jc w:val="center"/>
        <w:outlineLvl w:val="2"/>
        <w:rPr>
          <w:rFonts w:ascii="Times New Roman" w:hAnsi="Times New Roman" w:eastAsia="方正楷体_GBK"/>
          <w:b/>
          <w:sz w:val="32"/>
          <w:szCs w:val="32"/>
        </w:rPr>
      </w:pPr>
      <w:bookmarkStart w:id="1209" w:name="_Toc12837"/>
      <w:bookmarkStart w:id="1210" w:name="_Toc2124"/>
      <w:bookmarkStart w:id="1211" w:name="_Toc4382"/>
      <w:bookmarkStart w:id="1212" w:name="_Toc24882"/>
      <w:bookmarkStart w:id="1213" w:name="_Toc3739"/>
      <w:bookmarkStart w:id="1214" w:name="_Toc20178"/>
      <w:bookmarkStart w:id="1215" w:name="_Toc21467"/>
      <w:bookmarkStart w:id="1216" w:name="_Toc7123"/>
      <w:bookmarkStart w:id="1217" w:name="_Toc16443"/>
      <w:bookmarkStart w:id="1218" w:name="_Toc29272"/>
      <w:bookmarkStart w:id="1219" w:name="_Toc27320"/>
      <w:bookmarkStart w:id="1220" w:name="_Toc28980"/>
      <w:bookmarkStart w:id="1221" w:name="_Toc19142"/>
      <w:bookmarkStart w:id="1222" w:name="_Toc16729"/>
      <w:bookmarkStart w:id="1223" w:name="_Toc32396"/>
      <w:bookmarkStart w:id="1224" w:name="_Toc8735"/>
      <w:bookmarkStart w:id="1225" w:name="_Toc29073"/>
      <w:bookmarkStart w:id="1226" w:name="_Toc9807"/>
      <w:r>
        <w:rPr>
          <w:rFonts w:ascii="Times New Roman" w:hAnsi="Times New Roman" w:eastAsia="方正楷体_GBK"/>
          <w:b/>
          <w:sz w:val="32"/>
          <w:szCs w:val="32"/>
        </w:rPr>
        <w:t>第一节  优化乡村产业布局</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保护好耕地，利用好生态资源，按照“小规模、多品种、高品质、好价钱”发展思路，加强产业规划统筹，优化完善乡村产业布局。以城口山地鸡、城口老腊肉、食用菌、中药材为优势特色产业，以干果（核桃+板栗）、茶叶、蜂蜜、大木漆、杂粮、生态鱼、竹笋等区域性特色产业，建设乡村产业提升示范基地、打造县级优势特色产业示范园。发挥基地示范作用，突出产业适度规模、品种品质品牌、联农带农机制、农户诚信参与、良好金融生态、防范产业风险“六个示范”，培育壮大农业龙头企业、农民合作社、家庭农场等农业经营主体，提高组织化程度。聚焦城口山地鸡、城口老腊肉、食用菌和中药材四大优势特色产业，培育4家规模以上农业产业化龙头企业，打造4个农业产业化联合体，四大特色产业链综合产值达到20亿元。</w:t>
      </w:r>
    </w:p>
    <w:p>
      <w:pPr>
        <w:keepNext/>
        <w:keepLines/>
        <w:overflowPunct w:val="0"/>
        <w:adjustRightInd w:val="0"/>
        <w:snapToGrid w:val="0"/>
        <w:spacing w:before="62" w:beforeLines="20" w:after="62" w:afterLines="20" w:line="560" w:lineRule="exact"/>
        <w:contextualSpacing/>
        <w:jc w:val="center"/>
        <w:outlineLvl w:val="2"/>
        <w:rPr>
          <w:rFonts w:ascii="Times New Roman" w:hAnsi="Times New Roman" w:eastAsia="方正楷体_GBK"/>
          <w:b/>
          <w:sz w:val="32"/>
          <w:szCs w:val="32"/>
        </w:rPr>
      </w:pPr>
      <w:bookmarkStart w:id="1227" w:name="_Toc14040"/>
      <w:bookmarkStart w:id="1228" w:name="_Toc31247"/>
      <w:bookmarkStart w:id="1229" w:name="_Toc20729"/>
      <w:bookmarkStart w:id="1230" w:name="_Toc16945"/>
      <w:bookmarkStart w:id="1231" w:name="_Toc14209"/>
      <w:bookmarkStart w:id="1232" w:name="_Toc4767"/>
      <w:bookmarkStart w:id="1233" w:name="_Toc16254"/>
      <w:bookmarkStart w:id="1234" w:name="_Toc1916"/>
      <w:bookmarkStart w:id="1235" w:name="_Toc8236"/>
      <w:bookmarkStart w:id="1236" w:name="_Toc8866"/>
      <w:bookmarkStart w:id="1237" w:name="_Toc26857"/>
      <w:bookmarkStart w:id="1238" w:name="_Toc22313"/>
      <w:bookmarkStart w:id="1239" w:name="_Toc7889"/>
      <w:bookmarkStart w:id="1240" w:name="_Toc32127"/>
      <w:bookmarkStart w:id="1241" w:name="_Toc21112"/>
      <w:bookmarkStart w:id="1242" w:name="_Toc17927"/>
      <w:bookmarkStart w:id="1243" w:name="_Toc28546"/>
      <w:bookmarkStart w:id="1244" w:name="_Toc13956"/>
      <w:r>
        <w:rPr>
          <w:rFonts w:ascii="Times New Roman" w:hAnsi="Times New Roman" w:eastAsia="方正楷体_GBK"/>
          <w:b/>
          <w:sz w:val="32"/>
          <w:szCs w:val="32"/>
        </w:rPr>
        <w:t>第二节  推动农业品牌建设</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继续实施质量强县行动，提升农业品牌建设，提升“大巴山硒谷”区域公用品牌，制定品牌使用标准规范。继续推动绿色食品、有机食品、农产品地理标志认证，创建一批特色突出、影响力较强的城口公用品牌，完善食品溯源机制。鼓励企业大力实施品牌战略和以质取胜战略，对品牌培育和质量提升实行分类奖励。积极开展“两品一标”认证，加快形成一批有川渝全国影响力的品牌产品。提升农户和农业企业品牌意识，引导农民走生态农业之路，农业企业走品牌强企之路。</w:t>
      </w:r>
    </w:p>
    <w:p>
      <w:pPr>
        <w:overflowPunct w:val="0"/>
        <w:spacing w:line="480" w:lineRule="exact"/>
        <w:jc w:val="center"/>
        <w:rPr>
          <w:rFonts w:ascii="Times New Roman" w:hAnsi="Times New Roman" w:eastAsia="方正黑体_GBK"/>
          <w:sz w:val="28"/>
          <w:szCs w:val="28"/>
        </w:rPr>
      </w:pPr>
      <w:bookmarkStart w:id="1245" w:name="_Toc59949992"/>
      <w:r>
        <w:rPr>
          <w:rFonts w:ascii="Times New Roman" w:hAnsi="Times New Roman" w:eastAsia="方正黑体_GBK"/>
          <w:sz w:val="28"/>
          <w:szCs w:val="28"/>
        </w:rPr>
        <w:t>专栏10  现代山地特色生态农业发展重点工程</w:t>
      </w:r>
    </w:p>
    <w:tbl>
      <w:tblPr>
        <w:tblStyle w:val="27"/>
        <w:tblW w:w="8895"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2"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2" w:firstLineChars="200"/>
              <w:rPr>
                <w:rFonts w:ascii="Times New Roman" w:hAnsi="Times New Roman" w:eastAsia="方正仿宋_GBK"/>
                <w:sz w:val="24"/>
                <w:szCs w:val="32"/>
              </w:rPr>
            </w:pPr>
            <w:r>
              <w:rPr>
                <w:rFonts w:ascii="Times New Roman" w:hAnsi="Times New Roman" w:eastAsia="方正仿宋_GBK"/>
                <w:b/>
                <w:bCs/>
                <w:sz w:val="24"/>
                <w:szCs w:val="32"/>
              </w:rPr>
              <w:t>城口山地鸡产业规划布局</w:t>
            </w:r>
            <w:r>
              <w:rPr>
                <w:rFonts w:ascii="Times New Roman" w:hAnsi="Times New Roman" w:eastAsia="方正仿宋_GBK"/>
                <w:sz w:val="24"/>
                <w:szCs w:val="32"/>
              </w:rPr>
              <w:t>。建设1个核心育种场、15个扩繁场（保种场），支持在巴山、坪坝、庙坝、明通、高观、咸宜、蓼子、治平、周溪、河鱼、龙田等乡镇建设城口山地鸡产业提升示范基地，在河鱼等乡镇建设城口山地鸡产业提升示范园，在高燕、坪坝等乡镇建设城口山地鸡精深加工示范基地。实施城口山地鸡资源保护及推广项目，实现城口山地鸡适度规模化养殖，年出栏商品鸡达500万只。</w:t>
            </w:r>
          </w:p>
          <w:p>
            <w:pPr>
              <w:overflowPunct w:val="0"/>
              <w:spacing w:line="400" w:lineRule="exact"/>
              <w:ind w:firstLine="482" w:firstLineChars="200"/>
              <w:rPr>
                <w:rFonts w:ascii="Times New Roman" w:hAnsi="Times New Roman" w:eastAsia="方正仿宋_GBK"/>
                <w:sz w:val="24"/>
                <w:szCs w:val="32"/>
              </w:rPr>
            </w:pPr>
            <w:r>
              <w:rPr>
                <w:rFonts w:ascii="Times New Roman" w:hAnsi="Times New Roman" w:eastAsia="方正仿宋_GBK"/>
                <w:b/>
                <w:bCs/>
                <w:sz w:val="24"/>
                <w:szCs w:val="32"/>
              </w:rPr>
              <w:t>城口县老腊肉产业规划布局</w:t>
            </w:r>
            <w:r>
              <w:rPr>
                <w:rFonts w:ascii="Times New Roman" w:hAnsi="Times New Roman" w:eastAsia="方正仿宋_GBK"/>
                <w:sz w:val="24"/>
                <w:szCs w:val="32"/>
              </w:rPr>
              <w:t>。支持在明中、蓼子等南部片区，修齐、高观等东部片区，北屏、高燕等城区周边和坪坝、巴山等西部片区分别建设1个种猪场；在厚坪、治平、明中、北屏、高燕等乡镇择优建设2个仔猪扩繁基地；在高观、厚坪、治平、修齐、高燕、坪坝、巴山、周溪、蓼子、明通等乡镇建设城口老腊肉产业提升示范基地（城口老腊肉优质原材料示范基地）；在治平、厚坪、修齐、巴山、咸宜、坪坝、庙坝、巴山、周溪等乡镇建设鲜肉腊肉精深加工示范基地。力争到2025年底年出栏生猪25万头。</w:t>
            </w:r>
          </w:p>
          <w:p>
            <w:pPr>
              <w:overflowPunct w:val="0"/>
              <w:spacing w:line="400" w:lineRule="exact"/>
              <w:ind w:firstLine="482" w:firstLineChars="200"/>
              <w:rPr>
                <w:rFonts w:ascii="Times New Roman" w:hAnsi="Times New Roman" w:eastAsia="方正仿宋_GBK"/>
                <w:sz w:val="24"/>
                <w:szCs w:val="32"/>
              </w:rPr>
            </w:pPr>
            <w:r>
              <w:rPr>
                <w:rFonts w:ascii="Times New Roman" w:hAnsi="Times New Roman" w:eastAsia="方正仿宋_GBK"/>
                <w:b/>
                <w:bCs/>
                <w:sz w:val="24"/>
                <w:szCs w:val="32"/>
              </w:rPr>
              <w:t>食用菌产业规划布局</w:t>
            </w:r>
            <w:r>
              <w:rPr>
                <w:rFonts w:ascii="Times New Roman" w:hAnsi="Times New Roman" w:eastAsia="方正仿宋_GBK"/>
                <w:sz w:val="24"/>
                <w:szCs w:val="32"/>
              </w:rPr>
              <w:t>。食用菌产业支持在鸡鸣、周溪、明通、咸宜、蓼子、明中、修齐、高观、东安、河鱼、厚坪、治平、岚天、高楠、坪坝、巴山、沿河、左岚、龙田、北屏、高燕、葛城、复兴、庙坝、双河建设食用菌产业提升示范基地（村级小型、乡级标准化生产基地），在北屏、高燕、葛城、复兴、庙坝、双河等乡镇择优建设食用菌产业提升示范园，在北屏、高燕、鸡鸣、修齐、高观、高楠、坪坝等乡镇建设食用菌精深加工示范基地。到2025年，全县香菇规模稳定在5000万袋，其他菌类发展到700亩，食用菌总产量（鲜品）达到4万吨。</w:t>
            </w:r>
          </w:p>
          <w:p>
            <w:pPr>
              <w:overflowPunct w:val="0"/>
              <w:spacing w:line="400" w:lineRule="exact"/>
              <w:ind w:firstLine="482" w:firstLineChars="200"/>
              <w:rPr>
                <w:rFonts w:ascii="Times New Roman" w:hAnsi="Times New Roman" w:eastAsia="方正仿宋_GBK"/>
                <w:sz w:val="24"/>
                <w:szCs w:val="32"/>
              </w:rPr>
            </w:pPr>
            <w:r>
              <w:rPr>
                <w:rFonts w:ascii="Times New Roman" w:hAnsi="Times New Roman" w:eastAsia="方正仿宋_GBK"/>
                <w:b/>
                <w:bCs/>
                <w:sz w:val="24"/>
                <w:szCs w:val="32"/>
              </w:rPr>
              <w:t>中药材产业规划布局</w:t>
            </w:r>
            <w:r>
              <w:rPr>
                <w:rFonts w:ascii="Times New Roman" w:hAnsi="Times New Roman" w:eastAsia="方正仿宋_GBK"/>
                <w:sz w:val="24"/>
                <w:szCs w:val="32"/>
              </w:rPr>
              <w:t>。重点支持明中、蓼子、厚坪、周溪、咸宜、鸡鸣、明通、岚天、治平9个乡镇发展中药材规范化种植基地。中药材种植常年保持30万亩。</w:t>
            </w:r>
          </w:p>
          <w:p>
            <w:pPr>
              <w:overflowPunct w:val="0"/>
              <w:spacing w:line="400" w:lineRule="exact"/>
              <w:ind w:firstLine="482" w:firstLineChars="200"/>
              <w:rPr>
                <w:rFonts w:ascii="Times New Roman" w:hAnsi="Times New Roman" w:eastAsia="方正仿宋_GBK"/>
                <w:sz w:val="24"/>
                <w:szCs w:val="32"/>
              </w:rPr>
            </w:pPr>
            <w:r>
              <w:rPr>
                <w:rFonts w:ascii="Times New Roman" w:hAnsi="Times New Roman" w:eastAsia="方正仿宋_GBK"/>
                <w:b/>
                <w:bCs/>
                <w:sz w:val="24"/>
                <w:szCs w:val="32"/>
              </w:rPr>
              <w:t>生态鱼产业布局。</w:t>
            </w:r>
            <w:r>
              <w:rPr>
                <w:rFonts w:ascii="Times New Roman" w:hAnsi="Times New Roman" w:eastAsia="方正仿宋_GBK"/>
                <w:sz w:val="24"/>
                <w:szCs w:val="32"/>
              </w:rPr>
              <w:t>支持蓼子、巴山、龙田、厚坪等乡镇发展生态鱼。</w:t>
            </w:r>
          </w:p>
          <w:p>
            <w:pPr>
              <w:overflowPunct w:val="0"/>
              <w:spacing w:line="400" w:lineRule="exact"/>
              <w:ind w:firstLine="482" w:firstLineChars="200"/>
              <w:rPr>
                <w:rFonts w:ascii="Times New Roman" w:hAnsi="Times New Roman" w:eastAsia="方正仿宋_GBK"/>
                <w:sz w:val="24"/>
                <w:szCs w:val="32"/>
              </w:rPr>
            </w:pPr>
            <w:r>
              <w:rPr>
                <w:rFonts w:ascii="Times New Roman" w:hAnsi="Times New Roman" w:eastAsia="方正仿宋_GBK"/>
                <w:b/>
                <w:bCs/>
                <w:sz w:val="24"/>
                <w:szCs w:val="32"/>
              </w:rPr>
              <w:t>茶叶产业布局</w:t>
            </w:r>
            <w:r>
              <w:rPr>
                <w:rFonts w:ascii="Times New Roman" w:hAnsi="Times New Roman" w:eastAsia="方正仿宋_GBK"/>
                <w:sz w:val="24"/>
                <w:szCs w:val="32"/>
              </w:rPr>
              <w:t>。鸡鸣、咸宜、明通、高观、沿河、庙坝、高楠等乡镇发展茶叶。</w:t>
            </w:r>
          </w:p>
          <w:p>
            <w:pPr>
              <w:overflowPunct w:val="0"/>
              <w:spacing w:line="400" w:lineRule="exact"/>
              <w:ind w:firstLine="482" w:firstLineChars="200"/>
              <w:rPr>
                <w:rFonts w:ascii="Times New Roman" w:hAnsi="Times New Roman" w:eastAsia="方正仿宋_GBK"/>
                <w:kern w:val="0"/>
                <w:sz w:val="24"/>
                <w:szCs w:val="28"/>
              </w:rPr>
            </w:pPr>
            <w:r>
              <w:rPr>
                <w:rFonts w:ascii="Times New Roman" w:hAnsi="Times New Roman" w:eastAsia="方正仿宋_GBK"/>
                <w:b/>
                <w:bCs/>
                <w:sz w:val="24"/>
                <w:szCs w:val="32"/>
              </w:rPr>
              <w:t>农业品牌提升工程</w:t>
            </w:r>
            <w:r>
              <w:rPr>
                <w:rFonts w:ascii="Times New Roman" w:hAnsi="Times New Roman" w:eastAsia="方正仿宋_GBK"/>
                <w:sz w:val="24"/>
                <w:szCs w:val="32"/>
              </w:rPr>
              <w:t>。完善“大巴山硒谷”区域公用农产品品牌使用标准，积极开展“两品一标”认证，有效期内“两品一标”在95个以上。</w:t>
            </w:r>
          </w:p>
        </w:tc>
      </w:tr>
      <w:bookmarkEnd w:id="1245"/>
    </w:tbl>
    <w:p>
      <w:pPr>
        <w:overflowPunct w:val="0"/>
        <w:adjustRightInd w:val="0"/>
        <w:snapToGrid w:val="0"/>
        <w:spacing w:line="560" w:lineRule="exact"/>
        <w:jc w:val="center"/>
        <w:outlineLvl w:val="1"/>
        <w:rPr>
          <w:rFonts w:ascii="Times New Roman" w:hAnsi="Times New Roman" w:eastAsia="方正仿宋_GBK"/>
          <w:sz w:val="32"/>
          <w:szCs w:val="32"/>
        </w:rPr>
      </w:pPr>
      <w:bookmarkStart w:id="1246" w:name="_Toc7070"/>
      <w:bookmarkStart w:id="1247" w:name="_Toc17857"/>
      <w:bookmarkStart w:id="1248" w:name="_Toc1332"/>
      <w:bookmarkStart w:id="1249" w:name="_Toc345"/>
      <w:bookmarkStart w:id="1250" w:name="_Toc23359"/>
      <w:bookmarkStart w:id="1251" w:name="_Toc25996"/>
      <w:bookmarkStart w:id="1252" w:name="_Toc182"/>
      <w:bookmarkStart w:id="1253" w:name="_Toc248"/>
      <w:bookmarkStart w:id="1254" w:name="_Toc15785"/>
      <w:bookmarkStart w:id="1255" w:name="_Toc15517"/>
      <w:bookmarkStart w:id="1256" w:name="_Toc21443"/>
      <w:bookmarkStart w:id="1257" w:name="_Toc13844"/>
      <w:bookmarkStart w:id="1258" w:name="_Toc1663"/>
      <w:bookmarkStart w:id="1259" w:name="_Toc10535"/>
      <w:bookmarkStart w:id="1260" w:name="_Toc14564"/>
      <w:bookmarkStart w:id="1261" w:name="_Toc17144"/>
      <w:bookmarkStart w:id="1262" w:name="_Toc25669"/>
      <w:bookmarkStart w:id="1263" w:name="_Toc12746"/>
      <w:r>
        <w:rPr>
          <w:rFonts w:ascii="Times New Roman" w:hAnsi="Times New Roman" w:eastAsia="方正黑体_GBK"/>
          <w:b/>
          <w:bCs/>
          <w:kern w:val="44"/>
          <w:sz w:val="32"/>
          <w:szCs w:val="32"/>
        </w:rPr>
        <w:t>第十八章  大力发展绿色工业</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全力推动工业绿色发展转型，培育壮大以特色食品（功能食品）、中药材、水（饮料）为主的特色消费品加工业，加快发展新型绿色建筑材料产业，</w:t>
      </w:r>
      <w:bookmarkStart w:id="1264" w:name="_Hlk64612675"/>
      <w:r>
        <w:rPr>
          <w:rFonts w:ascii="Times New Roman" w:hAnsi="Times New Roman" w:eastAsia="方正仿宋_GBK"/>
          <w:sz w:val="32"/>
          <w:szCs w:val="32"/>
        </w:rPr>
        <w:t>依规推动锰钡产业转型升级，</w:t>
      </w:r>
      <w:bookmarkEnd w:id="1264"/>
      <w:bookmarkStart w:id="1265" w:name="_Hlk64612698"/>
      <w:r>
        <w:rPr>
          <w:rFonts w:ascii="Times New Roman" w:hAnsi="Times New Roman" w:eastAsia="方正仿宋_GBK"/>
          <w:sz w:val="32"/>
          <w:szCs w:val="32"/>
        </w:rPr>
        <w:t>严控高耗能、高排放项目，</w:t>
      </w:r>
      <w:bookmarkEnd w:id="1265"/>
      <w:r>
        <w:rPr>
          <w:rFonts w:ascii="Times New Roman" w:hAnsi="Times New Roman" w:eastAsia="方正仿宋_GBK"/>
          <w:sz w:val="32"/>
          <w:szCs w:val="32"/>
        </w:rPr>
        <w:t>限制和淘汰锰钡落后产能，形成特色消费品工业、新型绿色建筑材料、锰钡资源加工为骨干支撑的绿色工业体系。</w:t>
      </w:r>
    </w:p>
    <w:p>
      <w:pPr>
        <w:overflowPunct w:val="0"/>
        <w:adjustRightInd w:val="0"/>
        <w:snapToGrid w:val="0"/>
        <w:spacing w:line="560" w:lineRule="exact"/>
        <w:ind w:firstLine="643" w:firstLineChars="200"/>
        <w:jc w:val="center"/>
        <w:outlineLvl w:val="2"/>
        <w:rPr>
          <w:rFonts w:ascii="Times New Roman" w:hAnsi="Times New Roman" w:eastAsia="方正楷体_GBK"/>
          <w:b/>
          <w:sz w:val="32"/>
          <w:szCs w:val="32"/>
        </w:rPr>
      </w:pPr>
      <w:bookmarkStart w:id="1266" w:name="_Toc32276"/>
      <w:bookmarkStart w:id="1267" w:name="_Toc1892"/>
      <w:bookmarkStart w:id="1268" w:name="_Toc14041"/>
      <w:bookmarkStart w:id="1269" w:name="_Toc9558"/>
      <w:bookmarkStart w:id="1270" w:name="_Toc23374"/>
      <w:bookmarkStart w:id="1271" w:name="_Toc27750"/>
      <w:bookmarkStart w:id="1272" w:name="_Toc4352"/>
      <w:bookmarkStart w:id="1273" w:name="_Toc27897"/>
      <w:bookmarkStart w:id="1274" w:name="_Toc27218"/>
      <w:bookmarkStart w:id="1275" w:name="_Toc29183"/>
      <w:bookmarkStart w:id="1276" w:name="_Toc23094"/>
      <w:bookmarkStart w:id="1277" w:name="_Toc9965"/>
      <w:bookmarkStart w:id="1278" w:name="_Toc17468"/>
      <w:bookmarkStart w:id="1279" w:name="_Toc23197"/>
      <w:bookmarkStart w:id="1280" w:name="_Toc21766"/>
      <w:bookmarkStart w:id="1281" w:name="_Toc15175"/>
      <w:bookmarkStart w:id="1282" w:name="_Toc20803"/>
      <w:bookmarkStart w:id="1283" w:name="_Toc5286"/>
      <w:r>
        <w:rPr>
          <w:rFonts w:ascii="Times New Roman" w:hAnsi="Times New Roman" w:eastAsia="方正楷体_GBK"/>
          <w:b/>
          <w:sz w:val="32"/>
          <w:szCs w:val="32"/>
        </w:rPr>
        <w:t>第一节  推动锰钡产业转型升级</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开展矿产资源勘查开发。加大地质找矿力度，有序推动高燕锰矿详查、大渡溪锰矿详查、修齐锰矿红籽村普查、田家湾锰矿普查、巴山和左岚钡矿外围扩大普查等勘查工作，进一步强化锰钡资源保障。充分利用市场主体专业技术和投资实力优势，深入开展矿产资源开采、加工等领域合作，助推城口矿业高质量发展。</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提质发展锰矿产业。推动县内锰矿企业整合重组，撬动和倒逼县内硅锰合金企业非标转国标，硅锰合金产量达到10万吨。培优做强电解金属锰，产能达到5万吨。积极开展锰新产品开发研究。扎实推进锰资源综合利用，支持引进新设备，运用节能、减排、降耗新技术，探索矿渣循环利用，不断推进锰加工绿色化进程。</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促进钡矿产业转型。规范钡矿加工出口，推动5万吨高纯氯化钡、30万吨石油加重剂建成投产达效，鼓励依托氯化钡、石油加重剂项目开展精深加工。探索发展硅钡合金、金属钡等钡新材料产业。采用“飞地经济模式”，探索与友邻地区合作共建钡系产品化工园区，发展电子级钡盐等重大项目。</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284" w:name="_Toc9548"/>
      <w:bookmarkStart w:id="1285" w:name="_Toc18383"/>
      <w:bookmarkStart w:id="1286" w:name="_Toc16935"/>
      <w:bookmarkStart w:id="1287" w:name="_Toc753"/>
      <w:bookmarkStart w:id="1288" w:name="_Toc5793"/>
      <w:bookmarkStart w:id="1289" w:name="_Toc27732"/>
      <w:bookmarkStart w:id="1290" w:name="_Toc19469"/>
      <w:bookmarkStart w:id="1291" w:name="_Toc19235"/>
      <w:bookmarkStart w:id="1292" w:name="_Toc27494"/>
      <w:bookmarkStart w:id="1293" w:name="_Toc30341"/>
      <w:bookmarkStart w:id="1294" w:name="_Toc22936"/>
      <w:bookmarkStart w:id="1295" w:name="_Toc30450"/>
      <w:bookmarkStart w:id="1296" w:name="_Toc31337"/>
      <w:bookmarkStart w:id="1297" w:name="_Toc10168"/>
      <w:bookmarkStart w:id="1298" w:name="_Toc20214"/>
      <w:bookmarkStart w:id="1299" w:name="_Toc14149"/>
      <w:bookmarkStart w:id="1300" w:name="_Toc17197"/>
      <w:bookmarkStart w:id="1301" w:name="_Toc17064"/>
      <w:r>
        <w:rPr>
          <w:rFonts w:ascii="Times New Roman" w:hAnsi="Times New Roman" w:eastAsia="方正楷体_GBK"/>
          <w:b/>
          <w:sz w:val="32"/>
          <w:szCs w:val="32"/>
        </w:rPr>
        <w:t>第二节  加快发展新型绿色建筑材料产业</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overflowPunct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sz w:val="32"/>
          <w:szCs w:val="32"/>
        </w:rPr>
        <w:t>依托城口丰富的矿山资源，加快发展页岩陶粒、新型建筑骨料、水泥为主的新型建材。大力发展页岩陶粒和功能材料系列产品，推动页岩陶粒和轻预制件项目建设。到2025年，形成页岩陶粒200万立方米、轻混预制件30万立方米的年产能。</w:t>
      </w:r>
      <w:r>
        <w:rPr>
          <w:rFonts w:ascii="Times New Roman" w:hAnsi="Times New Roman" w:eastAsia="方正仿宋_GBK"/>
          <w:kern w:val="0"/>
          <w:sz w:val="32"/>
          <w:szCs w:val="32"/>
        </w:rPr>
        <w:t>推动传统砂石骨料向新型建筑骨料材料升级。到2025年，形成500万吨骨料的年产能，产值达到2.5亿元。推进水泥、商混稳步发展，发展高钙石材料。到2025年，形成60万吨水泥、30万方商混、100万吨高钙石的年产能，产值达到3亿元。</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302" w:name="_Toc15154"/>
      <w:bookmarkStart w:id="1303" w:name="_Toc9438"/>
      <w:bookmarkStart w:id="1304" w:name="_Toc30178"/>
      <w:bookmarkStart w:id="1305" w:name="_Toc8666"/>
      <w:bookmarkStart w:id="1306" w:name="_Toc18345"/>
      <w:bookmarkStart w:id="1307" w:name="_Toc5167"/>
      <w:bookmarkStart w:id="1308" w:name="_Toc8342"/>
      <w:bookmarkStart w:id="1309" w:name="_Toc13796"/>
      <w:bookmarkStart w:id="1310" w:name="_Toc7707"/>
      <w:bookmarkStart w:id="1311" w:name="_Toc18329"/>
      <w:bookmarkStart w:id="1312" w:name="_Toc8812"/>
      <w:bookmarkStart w:id="1313" w:name="_Toc27373"/>
      <w:bookmarkStart w:id="1314" w:name="_Toc21541"/>
      <w:bookmarkStart w:id="1315" w:name="_Toc14681"/>
      <w:bookmarkStart w:id="1316" w:name="_Toc7117"/>
      <w:bookmarkStart w:id="1317" w:name="_Toc26707"/>
      <w:bookmarkStart w:id="1318" w:name="_Toc12872"/>
      <w:r>
        <w:rPr>
          <w:rFonts w:ascii="Times New Roman" w:hAnsi="Times New Roman" w:eastAsia="方正楷体_GBK"/>
          <w:b/>
          <w:sz w:val="32"/>
          <w:szCs w:val="32"/>
        </w:rPr>
        <w:t>第三节  大力发展消费品工业</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overflowPunct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发展中药材加工产业。依托现有中药材加工企业，带动城口中药材种植、销售、加工各个环节，扩大现有种植规模，采取“龙头企业+小企业+集体经济组织”的方式，吸纳周边药材，引进先进技术，建成重庆市中药材加工基地。完善全县中药材初加工的功能布局，大力发展中药材精深加工，形成“中药材种植—精深加工—中药提取—生物制药”产业链条，与万州、云阳等其他区县医药产业形成优势互补。</w:t>
      </w:r>
    </w:p>
    <w:p>
      <w:pPr>
        <w:overflowPunct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发展特色食品加工业。培育发展全薯食品、精制鱼油、茶叶压片糖果等功能性食品为主的特色消费品。提质发展以野生核桃油、鸡鸣贡禅茶、食用菌、矿泉水为主的食品加工，发展壮大以城口老腊肉、城口山地鸡加工为主的肉制品加工，转型发展以粮食酒为主的酒类等特色食品产业。</w:t>
      </w:r>
    </w:p>
    <w:p>
      <w:pPr>
        <w:overflowPunct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发展旅游消费品。以“精工制造，工艺先进”为方向，突出工匠技艺，培育市场主体，提升制造水平，大力发展漆器等高档饰品、工艺美术品、旅游纪念品等精致旅游消费品。</w:t>
      </w:r>
    </w:p>
    <w:p>
      <w:pPr>
        <w:overflowPunct w:val="0"/>
        <w:spacing w:line="480" w:lineRule="exact"/>
        <w:jc w:val="center"/>
        <w:rPr>
          <w:rFonts w:ascii="Times New Roman" w:hAnsi="Times New Roman" w:eastAsia="方正黑体_GBK"/>
          <w:sz w:val="28"/>
          <w:szCs w:val="28"/>
        </w:rPr>
      </w:pPr>
      <w:r>
        <w:rPr>
          <w:rFonts w:ascii="Times New Roman" w:hAnsi="Times New Roman" w:eastAsia="方正黑体_GBK"/>
          <w:sz w:val="28"/>
          <w:szCs w:val="28"/>
        </w:rPr>
        <w:t>专栏11  绿色工业重点建设项目</w:t>
      </w:r>
    </w:p>
    <w:tbl>
      <w:tblPr>
        <w:tblStyle w:val="27"/>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99"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2" w:firstLineChars="200"/>
              <w:rPr>
                <w:rFonts w:ascii="Times New Roman" w:hAnsi="Times New Roman" w:eastAsia="方正仿宋_GBK"/>
                <w:sz w:val="24"/>
                <w:szCs w:val="32"/>
              </w:rPr>
            </w:pPr>
            <w:r>
              <w:rPr>
                <w:rFonts w:ascii="Times New Roman" w:hAnsi="Times New Roman" w:eastAsia="方正仿宋_GBK"/>
                <w:b/>
                <w:sz w:val="24"/>
                <w:szCs w:val="32"/>
              </w:rPr>
              <w:t>锰钡产业。</w:t>
            </w:r>
            <w:r>
              <w:rPr>
                <w:rFonts w:ascii="Times New Roman" w:hAnsi="Times New Roman" w:eastAsia="方正仿宋_GBK"/>
                <w:bCs/>
                <w:sz w:val="24"/>
                <w:szCs w:val="32"/>
              </w:rPr>
              <w:t>推进</w:t>
            </w:r>
            <w:r>
              <w:rPr>
                <w:rFonts w:ascii="Times New Roman" w:hAnsi="Times New Roman" w:eastAsia="方正仿宋_GBK"/>
                <w:sz w:val="24"/>
                <w:szCs w:val="32"/>
              </w:rPr>
              <w:t>5万吨电解金属锰项目、10万吨硅锰合金加工项目、深部锰矿开发利用项目、低品位碳酸钡混生矿生产石油加重剂项目、电子级钡盐项目，建成川渝锰钡新材料工程技术联合研究中心，推进锰钡产业高质量发展。推动5万吨高纯氯化钡、30万吨石油加重剂项目投产达效。</w:t>
            </w:r>
          </w:p>
          <w:p>
            <w:pPr>
              <w:overflowPunct w:val="0"/>
              <w:spacing w:line="400" w:lineRule="exact"/>
              <w:ind w:firstLine="482" w:firstLineChars="200"/>
              <w:rPr>
                <w:rFonts w:ascii="Times New Roman" w:hAnsi="Times New Roman" w:eastAsia="方正仿宋_GBK"/>
                <w:sz w:val="24"/>
                <w:szCs w:val="32"/>
              </w:rPr>
            </w:pPr>
            <w:r>
              <w:rPr>
                <w:rFonts w:ascii="Times New Roman" w:hAnsi="Times New Roman" w:eastAsia="方正仿宋_GBK"/>
                <w:b/>
                <w:sz w:val="24"/>
                <w:szCs w:val="32"/>
              </w:rPr>
              <w:t>新型绿色建筑材料产业。</w:t>
            </w:r>
            <w:r>
              <w:rPr>
                <w:rFonts w:ascii="Times New Roman" w:hAnsi="Times New Roman" w:eastAsia="方正仿宋_GBK"/>
                <w:sz w:val="24"/>
                <w:szCs w:val="32"/>
              </w:rPr>
              <w:t>推进200万方页岩陶粒、30万方轻质预制件、500万吨建筑骨料、60万吨水泥、30万方商混、100万吨碳酸钙项目建设和产能释放。</w:t>
            </w:r>
          </w:p>
          <w:p>
            <w:pPr>
              <w:overflowPunct w:val="0"/>
              <w:spacing w:line="400" w:lineRule="exact"/>
              <w:ind w:firstLine="482" w:firstLineChars="200"/>
              <w:rPr>
                <w:rFonts w:ascii="Times New Roman" w:hAnsi="Times New Roman"/>
              </w:rPr>
            </w:pPr>
            <w:r>
              <w:rPr>
                <w:rFonts w:ascii="Times New Roman" w:hAnsi="Times New Roman" w:eastAsia="方正仿宋_GBK"/>
                <w:b/>
                <w:bCs/>
                <w:sz w:val="24"/>
                <w:szCs w:val="32"/>
              </w:rPr>
              <w:t>消费品工业。</w:t>
            </w:r>
            <w:r>
              <w:rPr>
                <w:rFonts w:ascii="Times New Roman" w:hAnsi="Times New Roman" w:eastAsia="方正仿宋_GBK"/>
                <w:sz w:val="24"/>
                <w:szCs w:val="32"/>
              </w:rPr>
              <w:t>推进西部（重庆）功能食品研发中心项目、年产5万吨优质天然矿泉水项目、地热和矿泉水勘察开发项目、农产品加工示范项目、道地中药材全产业链项目、天宝药业仓储种植加工及中药配方颗粒生产项目等项目建设，发展包含肉制品、干果、调味品、果汁饮料、休闲食品等的消费品产业，推进核桃、中药材、功能食品等领域生产研发。</w:t>
            </w:r>
          </w:p>
        </w:tc>
      </w:tr>
      <w:bookmarkEnd w:id="1263"/>
    </w:tbl>
    <w:p>
      <w:pPr>
        <w:pStyle w:val="26"/>
        <w:overflowPunct w:val="0"/>
        <w:adjustRightInd w:val="0"/>
        <w:snapToGrid w:val="0"/>
        <w:spacing w:after="0" w:line="560" w:lineRule="exact"/>
        <w:ind w:leftChars="0" w:firstLine="0"/>
        <w:rPr>
          <w:rFonts w:ascii="Times New Roman" w:hAnsi="Times New Roman"/>
        </w:rPr>
      </w:pPr>
    </w:p>
    <w:p>
      <w:pPr>
        <w:overflowPunct w:val="0"/>
        <w:adjustRightInd w:val="0"/>
        <w:snapToGrid w:val="0"/>
        <w:spacing w:line="560" w:lineRule="exact"/>
        <w:jc w:val="center"/>
        <w:outlineLvl w:val="1"/>
        <w:rPr>
          <w:rFonts w:ascii="Times New Roman" w:hAnsi="Times New Roman" w:eastAsia="方正仿宋_GBK"/>
          <w:sz w:val="32"/>
          <w:szCs w:val="32"/>
        </w:rPr>
      </w:pPr>
      <w:bookmarkStart w:id="1319" w:name="_Toc7672"/>
      <w:bookmarkStart w:id="1320" w:name="_Toc26602"/>
      <w:bookmarkStart w:id="1321" w:name="_Toc59949997"/>
      <w:bookmarkStart w:id="1322" w:name="_Toc31961"/>
      <w:bookmarkStart w:id="1323" w:name="_Toc30486"/>
      <w:bookmarkStart w:id="1324" w:name="_Toc3351"/>
      <w:bookmarkStart w:id="1325" w:name="_Toc21801"/>
      <w:bookmarkStart w:id="1326" w:name="_Toc10586"/>
      <w:bookmarkStart w:id="1327" w:name="_Toc14662"/>
      <w:bookmarkStart w:id="1328" w:name="_Toc7625"/>
      <w:bookmarkStart w:id="1329" w:name="_Toc6325"/>
      <w:bookmarkStart w:id="1330" w:name="_Toc4658"/>
      <w:bookmarkStart w:id="1331" w:name="_Toc4987"/>
      <w:bookmarkStart w:id="1332" w:name="_Toc25120"/>
      <w:bookmarkStart w:id="1333" w:name="_Toc26846"/>
      <w:bookmarkStart w:id="1334" w:name="_Toc28214"/>
      <w:bookmarkStart w:id="1335" w:name="_Toc32325"/>
      <w:bookmarkStart w:id="1336" w:name="_Toc4401"/>
      <w:bookmarkStart w:id="1337" w:name="_Toc651"/>
      <w:r>
        <w:rPr>
          <w:rFonts w:ascii="Times New Roman" w:hAnsi="Times New Roman" w:eastAsia="方正黑体_GBK"/>
          <w:b/>
          <w:bCs/>
          <w:kern w:val="44"/>
          <w:sz w:val="32"/>
          <w:szCs w:val="32"/>
        </w:rPr>
        <w:t>第十九章  加快发展现代服务业</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坚持以引领经济高质量发展、服务人民高品质生活为导向，统筹发展生产性和生活性服务业，更好满足人民对美好生活的向往和日益增长的物质文化需求。</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338" w:name="_Toc59949998"/>
      <w:bookmarkStart w:id="1339" w:name="_Toc30282"/>
      <w:bookmarkStart w:id="1340" w:name="_Toc25801"/>
      <w:bookmarkStart w:id="1341" w:name="_Toc1067"/>
      <w:bookmarkStart w:id="1342" w:name="_Toc12641"/>
      <w:bookmarkStart w:id="1343" w:name="_Toc13668"/>
      <w:bookmarkStart w:id="1344" w:name="_Toc15034"/>
      <w:bookmarkStart w:id="1345" w:name="_Toc1124"/>
      <w:bookmarkStart w:id="1346" w:name="_Toc29370"/>
      <w:bookmarkStart w:id="1347" w:name="_Toc31959"/>
      <w:bookmarkStart w:id="1348" w:name="_Toc15592"/>
      <w:bookmarkStart w:id="1349" w:name="_Toc14986"/>
      <w:bookmarkStart w:id="1350" w:name="_Toc12145"/>
      <w:bookmarkStart w:id="1351" w:name="_Toc29547"/>
      <w:bookmarkStart w:id="1352" w:name="_Toc28315"/>
      <w:bookmarkStart w:id="1353" w:name="_Toc3138"/>
      <w:bookmarkStart w:id="1354" w:name="_Toc16503"/>
      <w:bookmarkStart w:id="1355" w:name="_Toc2317"/>
      <w:bookmarkStart w:id="1356" w:name="_Toc3808"/>
      <w:r>
        <w:rPr>
          <w:rFonts w:ascii="Times New Roman" w:hAnsi="Times New Roman" w:eastAsia="方正楷体_GBK"/>
          <w:b/>
          <w:sz w:val="32"/>
          <w:szCs w:val="32"/>
        </w:rPr>
        <w:t>第一节</w:t>
      </w:r>
      <w:bookmarkEnd w:id="1338"/>
      <w:r>
        <w:rPr>
          <w:rFonts w:ascii="Times New Roman" w:hAnsi="Times New Roman" w:eastAsia="方正楷体_GBK"/>
          <w:b/>
          <w:sz w:val="32"/>
          <w:szCs w:val="32"/>
        </w:rPr>
        <w:t xml:space="preserve">  大力发展康养服务业</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立足区域夏季气候优势和产业基础，大力发展生态避暑养生、生态健康疗愈、老年健康养老、生态健康食疗等康养产业，构建集“药、医、食、养、游、动”六位一体的大健康产业格局。支持南部片区乡镇，发挥融入万开云“桥头堡”作用，加快发展生态避暑养生产业，开拓万开云潜在市场，增强毗邻地区影响力。支持北屏乡以“松柏”生态村为重点，开展生态健康疗愈。支持以庙坝镇为重点，向全县纵深发展，培育研学游产业，加快建设秦巴地区（城宣万）研学教育基地。结合大巴山集群片区和闲置公建养老机构，探索更具活力、更具质量的“公建民营”“民办公助”的健康服务业改革模式。以亢谷度假区、厚坪龙盘、河鱼两扇门等集群片区为重点，开发多元化的生态避暑养生、生态健康疗愈、老年健康养老、生态健康食疗等产品，为旅游发展添彩赋能。探索制定医疗、康复、养老、保健养生、体育健身等领域高标准服务规范。整合各种财政性资源，加快大健康产业的关键环节投入，带动社会资源投入。</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357" w:name="_Toc59949999"/>
      <w:bookmarkStart w:id="1358" w:name="_Toc24561"/>
      <w:bookmarkStart w:id="1359" w:name="_Toc288"/>
      <w:bookmarkStart w:id="1360" w:name="_Toc19378"/>
      <w:bookmarkStart w:id="1361" w:name="_Toc10681"/>
      <w:bookmarkStart w:id="1362" w:name="_Toc17067"/>
      <w:bookmarkStart w:id="1363" w:name="_Toc10171"/>
      <w:bookmarkStart w:id="1364" w:name="_Toc10752"/>
      <w:bookmarkStart w:id="1365" w:name="_Toc19620"/>
      <w:bookmarkStart w:id="1366" w:name="_Toc13041"/>
      <w:bookmarkStart w:id="1367" w:name="_Toc170"/>
      <w:bookmarkStart w:id="1368" w:name="_Toc3954"/>
      <w:bookmarkStart w:id="1369" w:name="_Toc3733"/>
      <w:bookmarkStart w:id="1370" w:name="_Toc19353"/>
      <w:bookmarkStart w:id="1371" w:name="_Toc21139"/>
      <w:bookmarkStart w:id="1372" w:name="_Toc20637"/>
      <w:bookmarkStart w:id="1373" w:name="_Toc12838"/>
      <w:bookmarkStart w:id="1374" w:name="_Toc5995"/>
      <w:bookmarkStart w:id="1375" w:name="_Toc11648"/>
      <w:r>
        <w:rPr>
          <w:rFonts w:ascii="Times New Roman" w:hAnsi="Times New Roman" w:eastAsia="方正楷体_GBK"/>
          <w:b/>
          <w:sz w:val="32"/>
          <w:szCs w:val="32"/>
        </w:rPr>
        <w:t>第二节  大力发展现代边贸物流</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overflowPunct w:val="0"/>
        <w:adjustRightInd w:val="0"/>
        <w:snapToGrid w:val="0"/>
        <w:spacing w:line="560" w:lineRule="exact"/>
        <w:ind w:firstLine="640" w:firstLineChars="200"/>
        <w:rPr>
          <w:rFonts w:ascii="Times New Roman" w:hAnsi="Times New Roman"/>
        </w:rPr>
      </w:pPr>
      <w:r>
        <w:rPr>
          <w:rFonts w:ascii="Times New Roman" w:hAnsi="Times New Roman" w:eastAsia="方正仿宋_GBK"/>
          <w:sz w:val="32"/>
          <w:szCs w:val="32"/>
        </w:rPr>
        <w:t>发挥渝川陕结合部区位优势和交通节点功能，依托高速公路新业态发展，建设区域性仓储物流园，完善交通物流运输体系。联合万源互建人流物流“口岸”，打造连接达州、万州、安康等城市的物流中转站，打造秦巴山区商贸物流基地。推动物流企业竞争合作，开展跨区域物流资源重组整合与联合经营。完善邮政快递基础网络，提升邮政服务水平和快递服务质效。</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376" w:name="_Toc29519"/>
      <w:bookmarkStart w:id="1377" w:name="_Toc10646"/>
      <w:bookmarkStart w:id="1378" w:name="_Toc31125"/>
      <w:bookmarkStart w:id="1379" w:name="_Toc23750"/>
      <w:bookmarkStart w:id="1380" w:name="_Toc18622"/>
      <w:bookmarkStart w:id="1381" w:name="_Toc22190"/>
      <w:bookmarkStart w:id="1382" w:name="_Toc15104"/>
      <w:bookmarkStart w:id="1383" w:name="_Toc25285"/>
      <w:bookmarkStart w:id="1384" w:name="_Toc2159"/>
      <w:bookmarkStart w:id="1385" w:name="_Toc8670"/>
      <w:bookmarkStart w:id="1386" w:name="_Toc27264"/>
      <w:bookmarkStart w:id="1387" w:name="_Toc59950000"/>
      <w:bookmarkStart w:id="1388" w:name="_Toc2699"/>
      <w:bookmarkStart w:id="1389" w:name="_Toc25652"/>
      <w:bookmarkStart w:id="1390" w:name="_Toc1076"/>
      <w:bookmarkStart w:id="1391" w:name="_Toc9774"/>
      <w:bookmarkStart w:id="1392" w:name="_Toc28992"/>
      <w:bookmarkStart w:id="1393" w:name="_Toc18256"/>
      <w:bookmarkStart w:id="1394" w:name="_Toc16485"/>
      <w:r>
        <w:rPr>
          <w:rFonts w:ascii="Times New Roman" w:hAnsi="Times New Roman" w:eastAsia="方正楷体_GBK"/>
          <w:b/>
          <w:sz w:val="32"/>
          <w:szCs w:val="32"/>
        </w:rPr>
        <w:t>第三节  大力发展专业服务业</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overflowPunct w:val="0"/>
        <w:adjustRightInd w:val="0"/>
        <w:snapToGrid w:val="0"/>
        <w:spacing w:line="560" w:lineRule="exact"/>
        <w:ind w:firstLine="640" w:firstLineChars="200"/>
        <w:rPr>
          <w:rFonts w:ascii="Times New Roman" w:hAnsi="Times New Roman" w:eastAsia="方正仿宋_GBK"/>
          <w:sz w:val="32"/>
          <w:szCs w:val="32"/>
        </w:rPr>
      </w:pPr>
      <w:bookmarkStart w:id="1395" w:name="_Toc59950001"/>
      <w:r>
        <w:rPr>
          <w:rFonts w:ascii="Times New Roman" w:hAnsi="Times New Roman" w:eastAsia="方正仿宋_GBK"/>
          <w:sz w:val="32"/>
          <w:szCs w:val="32"/>
        </w:rPr>
        <w:t>以完善专业服务业态、提高在地专业供给能力为导向，加快发展法律、资产评估、会计、税务、勘察设计、工程咨询以及战略规划、营销策划、市场调查、管理咨询、产权交易、信用评估等专业服务业。建设“创新、创业”双创基地，支持本地开办的专业服务企业入驻。制定专业性服务企业人才子女就读政策，支持子女义务教育同等政策。支持民营企业、社会组织参与提供公共服务，健全公开遴选、评估体制机制，加强市场监管，建立健全公共服务市场化保障措施。以问山文旅公司为龙头，培育全过程陪伴型新兴服务业发展，推动城口生态产业发展。</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396" w:name="_Toc27785"/>
      <w:bookmarkStart w:id="1397" w:name="_Toc19646"/>
      <w:bookmarkStart w:id="1398" w:name="_Toc29544"/>
      <w:bookmarkStart w:id="1399" w:name="_Toc16307"/>
      <w:bookmarkStart w:id="1400" w:name="_Toc20242"/>
      <w:bookmarkStart w:id="1401" w:name="_Toc20433"/>
      <w:bookmarkStart w:id="1402" w:name="_Toc14494"/>
      <w:bookmarkStart w:id="1403" w:name="_Toc23501"/>
      <w:bookmarkStart w:id="1404" w:name="_Toc8918"/>
      <w:bookmarkStart w:id="1405" w:name="_Toc1522"/>
      <w:bookmarkStart w:id="1406" w:name="_Toc13502"/>
      <w:bookmarkStart w:id="1407" w:name="_Toc17022"/>
      <w:bookmarkStart w:id="1408" w:name="_Toc7842"/>
      <w:bookmarkStart w:id="1409" w:name="_Toc21524"/>
      <w:bookmarkStart w:id="1410" w:name="_Toc28608"/>
      <w:bookmarkStart w:id="1411" w:name="_Toc29128"/>
      <w:bookmarkStart w:id="1412" w:name="_Toc20930"/>
      <w:bookmarkStart w:id="1413" w:name="_Toc15741"/>
      <w:r>
        <w:rPr>
          <w:rFonts w:ascii="Times New Roman" w:hAnsi="Times New Roman" w:eastAsia="方正楷体_GBK"/>
          <w:b/>
          <w:sz w:val="32"/>
          <w:szCs w:val="32"/>
        </w:rPr>
        <w:t>第四节  升级发展生活性服务业</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提质升级商贸服务业。推动商品市场向全渠道平台商、供应链服务商、定制化服务商等多种集成服务转型，鼓励零售业向体验式、社交化、智能化等转型，引导住宿餐饮服务向高品质、精细化转型。依托城口老腊肉、城口山地鸡等大巴山优质食材，支持发展地域性特色连锁餐饮。大力推进乡村商贸服务业发展，实现一乡镇一便民生活服务圈，支持中心镇打造商贸重点集镇，辐射服务周边乡镇。优化乡村共同配送体系，丰富完善村（社区）商业服务，鼓励发展智慧门店、自助终端等“无接触”零售，提高居民生活便利化、智能化水平。</w:t>
      </w: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多元化发展社会服务业。完善提升城乡育幼、养老功能，加快物业服务的规范化和专业化建设，推动育幼、文化、旅游、家政、物业等生活性服务业便利化、精细化、品质化发展，加强公益性、基础性服务业供给。制定大巴山森林人家服务标准，提升服务质量。</w:t>
      </w:r>
    </w:p>
    <w:p>
      <w:pPr>
        <w:overflowPunct w:val="0"/>
        <w:spacing w:line="480" w:lineRule="exact"/>
        <w:jc w:val="center"/>
        <w:rPr>
          <w:rFonts w:ascii="Times New Roman" w:hAnsi="Times New Roman" w:eastAsia="方正黑体_GBK"/>
          <w:sz w:val="28"/>
          <w:szCs w:val="28"/>
        </w:rPr>
      </w:pPr>
      <w:r>
        <w:rPr>
          <w:rFonts w:ascii="Times New Roman" w:hAnsi="Times New Roman" w:eastAsia="方正黑体_GBK"/>
          <w:sz w:val="28"/>
          <w:szCs w:val="28"/>
        </w:rPr>
        <w:t>专栏12  现代服务业发展重点</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37"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2" w:firstLineChars="200"/>
              <w:rPr>
                <w:rFonts w:ascii="Times New Roman" w:hAnsi="Times New Roman" w:eastAsia="方正仿宋_GBK"/>
                <w:b/>
                <w:bCs/>
                <w:sz w:val="24"/>
                <w:szCs w:val="32"/>
              </w:rPr>
            </w:pPr>
            <w:r>
              <w:rPr>
                <w:rFonts w:ascii="Times New Roman" w:hAnsi="Times New Roman" w:eastAsia="方正仿宋_GBK"/>
                <w:b/>
                <w:bCs/>
                <w:sz w:val="24"/>
                <w:szCs w:val="32"/>
              </w:rPr>
              <w:t>康养服务业。</w:t>
            </w:r>
            <w:r>
              <w:rPr>
                <w:rFonts w:ascii="Times New Roman" w:hAnsi="Times New Roman" w:eastAsia="方正仿宋_GBK"/>
                <w:sz w:val="24"/>
                <w:szCs w:val="32"/>
              </w:rPr>
              <w:t>重点推进中国西部智慧医养健康中心标杆项目、“青云寨”森林康养项目、南部片区生态避暑养生基地建设项目、大巴山旅居康养度假区建设项目、秦巴地区研学教育基地建设项目等项目建设，依托亢谷度假区、厚坪龙盘、河鱼两扇门等集群片区，开发多元化的康养产品。</w:t>
            </w:r>
          </w:p>
          <w:p>
            <w:pPr>
              <w:overflowPunct w:val="0"/>
              <w:spacing w:line="400" w:lineRule="exact"/>
              <w:ind w:firstLine="482" w:firstLineChars="200"/>
              <w:rPr>
                <w:rFonts w:ascii="Times New Roman" w:hAnsi="Times New Roman" w:eastAsia="方正仿宋_GBK"/>
                <w:b/>
                <w:bCs/>
                <w:sz w:val="24"/>
                <w:szCs w:val="32"/>
              </w:rPr>
            </w:pPr>
            <w:r>
              <w:rPr>
                <w:rFonts w:ascii="Times New Roman" w:hAnsi="Times New Roman" w:eastAsia="方正仿宋_GBK"/>
                <w:b/>
                <w:bCs/>
                <w:sz w:val="24"/>
                <w:szCs w:val="32"/>
              </w:rPr>
              <w:t>现代物流重点工程。</w:t>
            </w:r>
            <w:r>
              <w:rPr>
                <w:rFonts w:ascii="Times New Roman" w:hAnsi="Times New Roman" w:eastAsia="方正仿宋_GBK"/>
                <w:sz w:val="24"/>
                <w:szCs w:val="32"/>
              </w:rPr>
              <w:t>推进商贸物流集散中心、冷链仓储物流中心、再生资源回收利用体系项目建设。</w:t>
            </w:r>
          </w:p>
          <w:p>
            <w:pPr>
              <w:overflowPunct w:val="0"/>
              <w:spacing w:line="400" w:lineRule="exact"/>
              <w:ind w:firstLine="482" w:firstLineChars="200"/>
              <w:rPr>
                <w:rFonts w:ascii="Times New Roman" w:hAnsi="Times New Roman"/>
              </w:rPr>
            </w:pPr>
            <w:r>
              <w:rPr>
                <w:rFonts w:ascii="Times New Roman" w:hAnsi="Times New Roman" w:eastAsia="方正仿宋_GBK"/>
                <w:b/>
                <w:bCs/>
                <w:sz w:val="24"/>
                <w:szCs w:val="32"/>
              </w:rPr>
              <w:t>专业市场。</w:t>
            </w:r>
            <w:r>
              <w:rPr>
                <w:rFonts w:ascii="Times New Roman" w:hAnsi="Times New Roman" w:eastAsia="方正仿宋_GBK"/>
                <w:sz w:val="24"/>
                <w:szCs w:val="32"/>
              </w:rPr>
              <w:t>加快城区菜市场和水果市场、乡镇农贸市场新建和标准化改造。</w:t>
            </w:r>
          </w:p>
        </w:tc>
      </w:tr>
    </w:tbl>
    <w:p>
      <w:pPr>
        <w:overflowPunct w:val="0"/>
        <w:adjustRightInd w:val="0"/>
        <w:snapToGrid w:val="0"/>
        <w:spacing w:line="560" w:lineRule="exact"/>
        <w:rPr>
          <w:rFonts w:ascii="Times New Roman" w:hAnsi="Times New Roman"/>
        </w:rPr>
      </w:pPr>
    </w:p>
    <w:bookmarkEnd w:id="165"/>
    <w:p>
      <w:pPr>
        <w:overflowPunct w:val="0"/>
        <w:adjustRightInd w:val="0"/>
        <w:snapToGrid w:val="0"/>
        <w:spacing w:line="560" w:lineRule="exact"/>
        <w:jc w:val="center"/>
        <w:outlineLvl w:val="0"/>
        <w:rPr>
          <w:rFonts w:ascii="Times New Roman" w:hAnsi="Times New Roman" w:eastAsia="方正小标宋_GBK"/>
          <w:b/>
          <w:bCs/>
          <w:kern w:val="44"/>
          <w:sz w:val="32"/>
          <w:szCs w:val="36"/>
        </w:rPr>
      </w:pPr>
      <w:bookmarkStart w:id="1414" w:name="_Toc1813"/>
      <w:bookmarkStart w:id="1415" w:name="_Toc29056"/>
      <w:bookmarkStart w:id="1416" w:name="_Toc27826"/>
      <w:bookmarkStart w:id="1417" w:name="_Toc27743"/>
      <w:bookmarkStart w:id="1418" w:name="_Toc16481"/>
      <w:bookmarkStart w:id="1419" w:name="_Toc29105"/>
      <w:bookmarkStart w:id="1420" w:name="_Toc28270"/>
      <w:bookmarkStart w:id="1421" w:name="_Toc13448"/>
      <w:bookmarkStart w:id="1422" w:name="_Toc11510"/>
      <w:bookmarkStart w:id="1423" w:name="_Toc18104"/>
      <w:bookmarkStart w:id="1424" w:name="_Toc16682"/>
      <w:bookmarkStart w:id="1425" w:name="_Toc22536"/>
      <w:bookmarkStart w:id="1426" w:name="_Toc7317"/>
      <w:bookmarkStart w:id="1427" w:name="_Toc3657"/>
      <w:bookmarkStart w:id="1428" w:name="_Toc16259"/>
      <w:bookmarkStart w:id="1429" w:name="_Toc5800"/>
      <w:bookmarkStart w:id="1430" w:name="_Toc15768"/>
      <w:bookmarkStart w:id="1431" w:name="_Toc2523"/>
      <w:bookmarkStart w:id="1432" w:name="_Toc29475"/>
      <w:r>
        <w:rPr>
          <w:rFonts w:ascii="Times New Roman" w:hAnsi="Times New Roman" w:eastAsia="方正小标宋_GBK"/>
          <w:b/>
          <w:bCs/>
          <w:kern w:val="44"/>
          <w:sz w:val="32"/>
          <w:szCs w:val="36"/>
        </w:rPr>
        <w:t>第六篇  统筹乡村振兴和城市提升 全力推进城乡融合发展</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overflowPunct w:val="0"/>
        <w:adjustRightInd w:val="0"/>
        <w:snapToGrid w:val="0"/>
        <w:spacing w:line="560" w:lineRule="exact"/>
        <w:rPr>
          <w:rFonts w:ascii="Times New Roman" w:hAnsi="Times New Roman" w:eastAsia="方正仿宋_GBK"/>
          <w:sz w:val="32"/>
          <w:szCs w:val="32"/>
        </w:rPr>
      </w:pPr>
    </w:p>
    <w:p>
      <w:pPr>
        <w:overflowPunct w:val="0"/>
        <w:adjustRightInd w:val="0"/>
        <w:snapToGrid w:val="0"/>
        <w:spacing w:line="560" w:lineRule="exact"/>
        <w:ind w:firstLine="640" w:firstLineChars="200"/>
        <w:rPr>
          <w:rFonts w:ascii="Times New Roman" w:hAnsi="Times New Roman" w:eastAsia="方正黑体_GBK"/>
          <w:b/>
          <w:bCs/>
          <w:kern w:val="44"/>
          <w:sz w:val="32"/>
          <w:szCs w:val="32"/>
        </w:rPr>
      </w:pPr>
      <w:r>
        <w:rPr>
          <w:rFonts w:ascii="Times New Roman" w:hAnsi="Times New Roman" w:eastAsia="方正仿宋_GBK"/>
          <w:sz w:val="32"/>
          <w:szCs w:val="32"/>
        </w:rPr>
        <w:t>统筹抓好县城和乡村提升两个基本面，巩固拓展脱贫攻坚成果，全面推进乡村振兴，持续提升城市品质，促进城乡融合发展。</w:t>
      </w:r>
    </w:p>
    <w:p>
      <w:pPr>
        <w:overflowPunct w:val="0"/>
        <w:rPr>
          <w:rFonts w:ascii="Times New Roman" w:hAnsi="Times New Roman" w:eastAsia="方正黑体_GBK"/>
          <w:b/>
          <w:bCs/>
          <w:kern w:val="44"/>
          <w:sz w:val="32"/>
          <w:szCs w:val="32"/>
        </w:rPr>
      </w:pPr>
      <w:bookmarkStart w:id="1433" w:name="_Toc14999"/>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434" w:name="_Toc12078"/>
      <w:bookmarkStart w:id="1435" w:name="_Toc15544"/>
      <w:bookmarkStart w:id="1436" w:name="_Toc29614"/>
      <w:bookmarkStart w:id="1437" w:name="_Toc30195"/>
      <w:bookmarkStart w:id="1438" w:name="_Toc12153"/>
      <w:bookmarkStart w:id="1439" w:name="_Toc20620"/>
      <w:bookmarkStart w:id="1440" w:name="_Toc8302"/>
      <w:bookmarkStart w:id="1441" w:name="_Toc13013"/>
      <w:bookmarkStart w:id="1442" w:name="_Toc4971"/>
      <w:bookmarkStart w:id="1443" w:name="_Toc14816"/>
      <w:bookmarkStart w:id="1444" w:name="_Toc3030"/>
      <w:bookmarkStart w:id="1445" w:name="_Toc32296"/>
      <w:bookmarkStart w:id="1446" w:name="_Toc11160"/>
      <w:bookmarkStart w:id="1447" w:name="_Toc14314"/>
      <w:bookmarkStart w:id="1448" w:name="_Toc17891"/>
      <w:bookmarkStart w:id="1449" w:name="_Toc8511"/>
      <w:bookmarkStart w:id="1450" w:name="_Toc19553"/>
      <w:bookmarkStart w:id="1451" w:name="_Toc11482"/>
      <w:r>
        <w:rPr>
          <w:rFonts w:ascii="Times New Roman" w:hAnsi="Times New Roman" w:eastAsia="方正黑体_GBK"/>
          <w:b/>
          <w:bCs/>
          <w:kern w:val="44"/>
          <w:sz w:val="32"/>
          <w:szCs w:val="32"/>
        </w:rPr>
        <w:t>第二十章 优化城乡</w:t>
      </w:r>
      <w:bookmarkEnd w:id="1433"/>
      <w:r>
        <w:rPr>
          <w:rFonts w:ascii="Times New Roman" w:hAnsi="Times New Roman" w:eastAsia="方正黑体_GBK"/>
          <w:b/>
          <w:bCs/>
          <w:kern w:val="44"/>
          <w:sz w:val="32"/>
          <w:szCs w:val="32"/>
        </w:rPr>
        <w:t>发展格局</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overflowPunct w:val="0"/>
        <w:adjustRightInd w:val="0"/>
        <w:snapToGrid w:val="0"/>
        <w:spacing w:line="560" w:lineRule="exact"/>
        <w:ind w:firstLine="640" w:firstLineChars="200"/>
        <w:jc w:val="left"/>
        <w:rPr>
          <w:rFonts w:ascii="Times New Roman" w:hAnsi="Times New Roman" w:eastAsia="方正黑体_GBK"/>
          <w:sz w:val="28"/>
          <w:szCs w:val="28"/>
        </w:rPr>
      </w:pPr>
      <w:bookmarkStart w:id="1452" w:name="_Toc58693169"/>
      <w:r>
        <w:rPr>
          <w:rFonts w:ascii="Times New Roman" w:hAnsi="Times New Roman" w:eastAsia="方正仿宋_GBK"/>
          <w:sz w:val="32"/>
          <w:szCs w:val="32"/>
        </w:rPr>
        <w:t>建立完善“多规合一”国土空间规划体系，更好服务乡村振兴和城市提升。</w:t>
      </w:r>
      <w:bookmarkEnd w:id="1452"/>
      <w:r>
        <w:rPr>
          <w:rFonts w:ascii="Times New Roman" w:hAnsi="Times New Roman" w:eastAsia="方正仿宋_GBK"/>
          <w:sz w:val="32"/>
          <w:szCs w:val="32"/>
        </w:rPr>
        <w:t>依托高速路、快速路等交通轴带，构建河谷经济走廊、交通经济走廊，谋划平台经济布局，促使乡镇抱团聚势，组群发展，形成“一心三轴三片”的城乡发展格局。</w:t>
      </w:r>
    </w:p>
    <w:p>
      <w:pPr>
        <w:overflowPunct w:val="0"/>
        <w:spacing w:line="480" w:lineRule="exact"/>
        <w:jc w:val="center"/>
        <w:rPr>
          <w:rFonts w:ascii="Times New Roman" w:hAnsi="Times New Roman" w:eastAsia="方正黑体_GBK"/>
          <w:sz w:val="28"/>
          <w:szCs w:val="28"/>
        </w:rPr>
      </w:pPr>
      <w:r>
        <w:rPr>
          <w:rFonts w:ascii="Times New Roman" w:hAnsi="Times New Roman" w:eastAsia="方正黑体_GBK"/>
          <w:sz w:val="28"/>
          <w:szCs w:val="28"/>
        </w:rPr>
        <w:t>专栏13  “一心三轴三片”城乡发展格局</w:t>
      </w:r>
    </w:p>
    <w:tbl>
      <w:tblPr>
        <w:tblStyle w:val="27"/>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tcBorders>
              <w:top w:val="single" w:color="auto" w:sz="4" w:space="0"/>
              <w:left w:val="single" w:color="auto" w:sz="4" w:space="0"/>
              <w:bottom w:val="single" w:color="auto" w:sz="4" w:space="0"/>
              <w:right w:val="single" w:color="auto" w:sz="4" w:space="0"/>
            </w:tcBorders>
          </w:tcPr>
          <w:p>
            <w:pPr>
              <w:overflowPunct w:val="0"/>
              <w:spacing w:line="300" w:lineRule="exact"/>
              <w:ind w:firstLine="482" w:firstLineChars="200"/>
              <w:rPr>
                <w:rFonts w:ascii="Times New Roman" w:hAnsi="Times New Roman" w:eastAsia="方正仿宋_GBK"/>
                <w:sz w:val="24"/>
                <w:szCs w:val="32"/>
              </w:rPr>
            </w:pPr>
            <w:r>
              <w:rPr>
                <w:rFonts w:ascii="Times New Roman" w:hAnsi="Times New Roman" w:eastAsia="方正仿宋_GBK"/>
                <w:b/>
                <w:bCs/>
                <w:sz w:val="24"/>
                <w:szCs w:val="32"/>
              </w:rPr>
              <w:t>一心：</w:t>
            </w:r>
            <w:r>
              <w:rPr>
                <w:rFonts w:ascii="Times New Roman" w:hAnsi="Times New Roman" w:eastAsia="方正仿宋_GBK"/>
                <w:sz w:val="24"/>
                <w:szCs w:val="32"/>
              </w:rPr>
              <w:t>构建“中心城区—修齐—北屏—高燕—龙田”通勤经济圈，以中心城区为中心，联动周边乡镇，形成发展核心，基于城区用地拓展空间有限，引导中心城区功能疏解。</w:t>
            </w:r>
          </w:p>
          <w:p>
            <w:pPr>
              <w:overflowPunct w:val="0"/>
              <w:spacing w:line="300" w:lineRule="exact"/>
              <w:ind w:firstLine="482" w:firstLineChars="200"/>
              <w:rPr>
                <w:rFonts w:ascii="Times New Roman" w:hAnsi="Times New Roman" w:eastAsia="方正仿宋_GBK"/>
                <w:sz w:val="24"/>
                <w:szCs w:val="32"/>
              </w:rPr>
            </w:pPr>
            <w:r>
              <w:rPr>
                <w:rFonts w:ascii="Times New Roman" w:hAnsi="Times New Roman" w:eastAsia="方正仿宋_GBK"/>
                <w:b/>
                <w:bCs/>
                <w:sz w:val="24"/>
                <w:szCs w:val="32"/>
              </w:rPr>
              <w:t>三轴：</w:t>
            </w:r>
            <w:r>
              <w:rPr>
                <w:rFonts w:ascii="Times New Roman" w:hAnsi="Times New Roman" w:eastAsia="方正仿宋_GBK"/>
                <w:sz w:val="24"/>
                <w:szCs w:val="32"/>
              </w:rPr>
              <w:t>东西向城镇综合发展主轴，依托万（源）巫（溪）高速带动坪坝镇、修齐镇、东安镇、高观镇、高燕镇、沿河乡等乡镇发展。东西向城镇综合发展次轴，依托城万快速通道带动沿线高燕镇、庙坝镇、双河乡等乡镇发展。南北向城镇协同发展轴，依托银百高速南北向连通西安、重庆的区域协同通道，带动沿线北屏乡、蓼子乡、鸡鸣乡发展。</w:t>
            </w:r>
          </w:p>
          <w:p>
            <w:pPr>
              <w:overflowPunct w:val="0"/>
              <w:spacing w:line="300" w:lineRule="exact"/>
              <w:ind w:firstLine="482" w:firstLineChars="200"/>
              <w:jc w:val="left"/>
              <w:rPr>
                <w:rFonts w:ascii="Times New Roman" w:hAnsi="Times New Roman"/>
              </w:rPr>
            </w:pPr>
            <w:r>
              <w:rPr>
                <w:rFonts w:ascii="Times New Roman" w:hAnsi="Times New Roman" w:eastAsia="方正仿宋_GBK"/>
                <w:b/>
                <w:bCs/>
                <w:sz w:val="24"/>
                <w:szCs w:val="32"/>
              </w:rPr>
              <w:t>三片：</w:t>
            </w:r>
            <w:r>
              <w:rPr>
                <w:rFonts w:ascii="Times New Roman" w:hAnsi="Times New Roman" w:eastAsia="方正仿宋_GBK"/>
                <w:sz w:val="24"/>
                <w:szCs w:val="32"/>
              </w:rPr>
              <w:t>东部城镇发展片。包括修齐镇、高观镇、东安镇、岚天乡、河鱼乡、治平乡、厚坪乡。西部城镇发展片。包括坪坝镇、庙坝镇、巴山镇、高楠镇、左岚乡、沿河乡、双河乡。南部城镇发展片。包括明通镇、咸宜镇、鸡鸣乡、蓼子乡、明中乡、周溪乡。</w:t>
            </w:r>
          </w:p>
        </w:tc>
      </w:tr>
    </w:tbl>
    <w:p>
      <w:pPr>
        <w:overflowPunct w:val="0"/>
        <w:adjustRightInd w:val="0"/>
        <w:snapToGrid w:val="0"/>
        <w:spacing w:line="560" w:lineRule="exact"/>
        <w:outlineLvl w:val="1"/>
        <w:rPr>
          <w:rFonts w:ascii="Times New Roman" w:hAnsi="Times New Roman" w:eastAsia="方正黑体_GBK"/>
          <w:b/>
          <w:bCs/>
          <w:kern w:val="44"/>
          <w:sz w:val="32"/>
          <w:szCs w:val="32"/>
        </w:rPr>
      </w:pPr>
      <w:bookmarkStart w:id="1453" w:name="_Toc27917"/>
      <w:bookmarkStart w:id="1454" w:name="_Toc22022"/>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455" w:name="_Toc28567"/>
      <w:bookmarkStart w:id="1456" w:name="_Toc31124"/>
      <w:bookmarkStart w:id="1457" w:name="_Toc22878"/>
      <w:bookmarkStart w:id="1458" w:name="_Toc8026"/>
      <w:bookmarkStart w:id="1459" w:name="_Toc23357"/>
      <w:bookmarkStart w:id="1460" w:name="_Toc22785"/>
      <w:bookmarkStart w:id="1461" w:name="_Toc16992"/>
      <w:bookmarkStart w:id="1462" w:name="_Toc22119"/>
      <w:bookmarkStart w:id="1463" w:name="_Toc10740"/>
      <w:bookmarkStart w:id="1464" w:name="_Toc21956"/>
      <w:bookmarkStart w:id="1465" w:name="_Toc8364"/>
      <w:bookmarkStart w:id="1466" w:name="_Toc22527"/>
      <w:bookmarkStart w:id="1467" w:name="_Toc30919"/>
      <w:bookmarkStart w:id="1468" w:name="_Toc23350"/>
      <w:bookmarkStart w:id="1469" w:name="_Toc19851"/>
      <w:bookmarkStart w:id="1470" w:name="_Toc19578"/>
      <w:bookmarkStart w:id="1471" w:name="_Toc6278"/>
      <w:r>
        <w:rPr>
          <w:rFonts w:ascii="Times New Roman" w:hAnsi="Times New Roman" w:eastAsia="方正黑体_GBK"/>
          <w:b/>
          <w:bCs/>
          <w:kern w:val="44"/>
          <w:sz w:val="32"/>
          <w:szCs w:val="32"/>
        </w:rPr>
        <w:t>第二十一章  全面推进乡村振兴</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51"/>
        <w:overflowPunct w:val="0"/>
        <w:snapToGrid w:val="0"/>
        <w:spacing w:line="560" w:lineRule="exact"/>
        <w:ind w:firstLine="640"/>
        <w:rPr>
          <w:rFonts w:ascii="Times New Roman" w:hAnsi="Times New Roman" w:eastAsia="方正仿宋_GBK"/>
          <w:sz w:val="32"/>
          <w:szCs w:val="32"/>
        </w:rPr>
      </w:pPr>
      <w:r>
        <w:rPr>
          <w:rFonts w:ascii="Times New Roman" w:hAnsi="Times New Roman" w:eastAsia="方正仿宋_GBK"/>
          <w:sz w:val="32"/>
          <w:szCs w:val="32"/>
        </w:rPr>
        <w:t>坚持把解决好“三农”问题作为全党工作重中之重，按照产业兴旺、生态宜居、乡风文明、治理有效、生活富裕总要求，优先发展农业农村，坚决守住脱贫攻坚成果、做好巩固拓展脱贫攻坚成果同乡村振兴有效衔接，绘就农村美、农业强、农民富的美好图景。</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472" w:name="_Toc5546"/>
      <w:bookmarkStart w:id="1473" w:name="_Toc24570"/>
      <w:bookmarkStart w:id="1474" w:name="_Toc10639"/>
      <w:bookmarkStart w:id="1475" w:name="_Toc10377"/>
      <w:bookmarkStart w:id="1476" w:name="_Toc20044"/>
      <w:bookmarkStart w:id="1477" w:name="_Toc4063"/>
      <w:bookmarkStart w:id="1478" w:name="_Toc150"/>
      <w:bookmarkStart w:id="1479" w:name="_Toc29925"/>
      <w:bookmarkStart w:id="1480" w:name="_Toc10777"/>
      <w:bookmarkStart w:id="1481" w:name="_Toc20050"/>
      <w:bookmarkStart w:id="1482" w:name="_Toc17125"/>
      <w:bookmarkStart w:id="1483" w:name="_Toc16177"/>
      <w:bookmarkStart w:id="1484" w:name="_Toc11563"/>
      <w:bookmarkStart w:id="1485" w:name="_Toc29081"/>
      <w:bookmarkStart w:id="1486" w:name="_Toc26006"/>
      <w:bookmarkStart w:id="1487" w:name="_Toc29060"/>
      <w:bookmarkStart w:id="1488" w:name="_Toc15110"/>
      <w:bookmarkStart w:id="1489" w:name="_Toc31534"/>
      <w:r>
        <w:rPr>
          <w:rFonts w:ascii="Times New Roman" w:hAnsi="Times New Roman" w:eastAsia="方正楷体_GBK"/>
          <w:b/>
          <w:sz w:val="32"/>
          <w:szCs w:val="32"/>
        </w:rPr>
        <w:t xml:space="preserve">第一节  </w:t>
      </w:r>
      <w:bookmarkStart w:id="1490" w:name="_Toc20580"/>
      <w:r>
        <w:rPr>
          <w:rFonts w:ascii="Times New Roman" w:hAnsi="Times New Roman" w:eastAsia="方正楷体_GBK"/>
          <w:b/>
          <w:sz w:val="32"/>
          <w:szCs w:val="32"/>
        </w:rPr>
        <w:t>提高农业质量效益</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保障粮食安全和农产品有效供给。牢固树立耕地数量、质量、生态三位一体保护理念，严守耕地保护红线，采取长牙齿的硬措施，落实最严格的耕地保护</w:t>
      </w:r>
      <w:bookmarkStart w:id="3116" w:name="_GoBack"/>
      <w:bookmarkEnd w:id="3116"/>
      <w:r>
        <w:rPr>
          <w:rFonts w:ascii="Times New Roman" w:hAnsi="Times New Roman" w:eastAsia="方正仿宋_GBK"/>
          <w:sz w:val="32"/>
          <w:szCs w:val="32"/>
        </w:rPr>
        <w:t>制度，</w:t>
      </w:r>
      <w:r>
        <w:rPr>
          <w:rFonts w:ascii="Times New Roman" w:hAnsi="Times New Roman" w:eastAsia="方正仿宋_GBK"/>
          <w:bCs/>
          <w:sz w:val="32"/>
          <w:szCs w:val="32"/>
        </w:rPr>
        <w:t>加强农村违法建设整治，</w:t>
      </w:r>
      <w:r>
        <w:rPr>
          <w:rFonts w:ascii="Times New Roman" w:hAnsi="Times New Roman" w:eastAsia="方正仿宋_GBK"/>
          <w:sz w:val="32"/>
          <w:szCs w:val="32"/>
        </w:rPr>
        <w:t>坚决遏制耕地“非农化”行为，防止耕地“非粮化”，</w:t>
      </w:r>
      <w:r>
        <w:rPr>
          <w:rFonts w:ascii="Times New Roman" w:hAnsi="Times New Roman" w:eastAsia="方正仿宋_GBK"/>
          <w:bCs/>
          <w:sz w:val="32"/>
          <w:szCs w:val="32"/>
        </w:rPr>
        <w:t>规范“耕地占补平衡”</w:t>
      </w:r>
      <w:r>
        <w:rPr>
          <w:rFonts w:ascii="Times New Roman" w:hAnsi="Times New Roman" w:eastAsia="方正仿宋_GBK"/>
          <w:sz w:val="32"/>
          <w:szCs w:val="32"/>
        </w:rPr>
        <w:t>。开展粮食节约行动。落实粮食生产补贴政策。扛起粮食安全的政治责任，党政同责落实“米袋子”“菜篮子”负责制，确保粮食安全和重要农产品有效供给。</w:t>
      </w:r>
    </w:p>
    <w:p>
      <w:pPr>
        <w:pStyle w:val="26"/>
        <w:overflowPunct w:val="0"/>
        <w:adjustRightInd w:val="0"/>
        <w:snapToGrid w:val="0"/>
        <w:spacing w:after="0" w:line="560" w:lineRule="exact"/>
        <w:ind w:leftChars="0" w:firstLine="640" w:firstLineChars="200"/>
        <w:rPr>
          <w:rFonts w:ascii="Times New Roman" w:hAnsi="Times New Roman" w:eastAsia="方正仿宋_GBK"/>
          <w:sz w:val="32"/>
          <w:szCs w:val="32"/>
        </w:rPr>
      </w:pPr>
      <w:r>
        <w:rPr>
          <w:rFonts w:ascii="Times New Roman" w:hAnsi="Times New Roman" w:eastAsia="方正仿宋_GBK"/>
          <w:sz w:val="32"/>
          <w:szCs w:val="32"/>
        </w:rPr>
        <w:t>强化农业质量效益提升支撑。推进土地宜机化改造、高标准农田建设，提高农业综合生产力。到2025年，全县新建成高标准农田2.5万亩。加强农田水利设施建设，开展农业用水精细化管理，提高水资源利用效率和抵御自然灾害能力。强化农业科技支撑能力，加快推进农业科技成果推广应用。推动智慧农业建设，完善粮食质量安全检验和质量风险监测体系，健全农产品质量安全追溯体系，建设一批乡镇农产品质量安全监管示范站。到2025年，建立起多层级、多形式和多方参与的农产品质量安全监管体系，确保不发生重大农产品质量安全事件。推进农业面源污染防治，加强土壤污染、地下水超采、水土流失等治理和修复。完善农业农村防灾减灾体系，大力提高抵御洪涝旱灾、风灾林火、植物病虫害、重大动物疫病等灾害的综合防控能力。</w:t>
      </w:r>
    </w:p>
    <w:p>
      <w:pPr>
        <w:widowControl/>
        <w:overflowPunct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动农村一二三产业融合发展。立足特色资源，推动乡村产业发展壮大，优化产业布局，完善利益联结机制，确保依托农业农村资源的二三产业尽量留在农村，让农民更多分享产值增值收益。推进农业、林业与旅游、文创、康养等产业深度融合，加快发展休闲农业和乡村旅游，推动科技、人文等元素融入农业、生态，发展创意生态产业，扩展农民增收空间。积极发展农村电子商务，</w:t>
      </w:r>
      <w:r>
        <w:rPr>
          <w:rFonts w:ascii="Times New Roman" w:hAnsi="Times New Roman" w:eastAsia="方正仿宋_GBK"/>
          <w:kern w:val="0"/>
          <w:sz w:val="32"/>
          <w:szCs w:val="32"/>
        </w:rPr>
        <w:t>健全</w:t>
      </w:r>
      <w:r>
        <w:rPr>
          <w:rStyle w:val="58"/>
          <w:rFonts w:ascii="Times New Roman" w:hAnsi="Times New Roman" w:eastAsia="方正仿宋_GBK"/>
          <w:sz w:val="32"/>
          <w:szCs w:val="32"/>
        </w:rPr>
        <w:t>物流配送体系，</w:t>
      </w:r>
      <w:r>
        <w:rPr>
          <w:rFonts w:ascii="Times New Roman" w:hAnsi="Times New Roman" w:eastAsia="方正仿宋_GBK"/>
          <w:sz w:val="32"/>
          <w:szCs w:val="32"/>
        </w:rPr>
        <w:t>在有条件的乡镇建设电子商务集配中心，推进农产品产地、集散地和加工区的冷藏保温仓储设施建设，鼓励农村电商服务站点强化快递物流配送服务。</w:t>
      </w:r>
      <w:r>
        <w:rPr>
          <w:rStyle w:val="58"/>
          <w:rFonts w:ascii="Times New Roman" w:hAnsi="Times New Roman" w:eastAsia="方正仿宋_GBK"/>
          <w:sz w:val="32"/>
          <w:szCs w:val="20"/>
        </w:rPr>
        <w:t>支持做强“城口县农产品销售平台”“扶贫832”等特色平台，拓展农产品销售渠道。</w:t>
      </w:r>
      <w:r>
        <w:rPr>
          <w:rFonts w:ascii="Times New Roman" w:hAnsi="Times New Roman" w:eastAsia="方正仿宋_GBK"/>
          <w:sz w:val="32"/>
          <w:szCs w:val="32"/>
        </w:rPr>
        <w:t>大力发展农产品精深加工，健全特色农产品生产、加工、仓储保鲜、冷链物流等全产业链。</w:t>
      </w:r>
    </w:p>
    <w:p>
      <w:pPr>
        <w:overflowPunct w:val="0"/>
        <w:spacing w:line="480" w:lineRule="exact"/>
        <w:jc w:val="center"/>
        <w:rPr>
          <w:rFonts w:ascii="Times New Roman" w:hAnsi="Times New Roman" w:eastAsia="方正黑体_GBK"/>
          <w:sz w:val="28"/>
          <w:szCs w:val="28"/>
        </w:rPr>
      </w:pPr>
      <w:bookmarkStart w:id="1491" w:name="_Toc7055"/>
      <w:r>
        <w:rPr>
          <w:rFonts w:ascii="Times New Roman" w:hAnsi="Times New Roman" w:eastAsia="方正黑体_GBK"/>
          <w:sz w:val="28"/>
          <w:szCs w:val="28"/>
        </w:rPr>
        <w:t>专栏14  农业质量效益提升工程</w:t>
      </w:r>
    </w:p>
    <w:tbl>
      <w:tblPr>
        <w:tblStyle w:val="27"/>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1"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2" w:firstLineChars="200"/>
              <w:rPr>
                <w:rFonts w:ascii="Times New Roman" w:hAnsi="Times New Roman" w:eastAsia="方正仿宋_GBK"/>
                <w:kern w:val="0"/>
                <w:szCs w:val="20"/>
                <w:highlight w:val="yellow"/>
              </w:rPr>
            </w:pPr>
            <w:r>
              <w:rPr>
                <w:rFonts w:ascii="Times New Roman" w:hAnsi="Times New Roman" w:eastAsia="方正仿宋_GBK"/>
                <w:b/>
                <w:bCs/>
                <w:kern w:val="0"/>
                <w:sz w:val="24"/>
                <w:szCs w:val="28"/>
              </w:rPr>
              <w:t>农产品质量效益提升工程。</w:t>
            </w:r>
            <w:r>
              <w:rPr>
                <w:rFonts w:ascii="Times New Roman" w:hAnsi="Times New Roman" w:eastAsia="方正仿宋_GBK"/>
                <w:kern w:val="0"/>
                <w:sz w:val="24"/>
                <w:szCs w:val="28"/>
              </w:rPr>
              <w:t>推进土地宜机化改、标准农田建设，到2025年，全县新建成标准农田2.5万亩。建立起覆盖全过程的农产品安全追溯和质量标识体系，主要农产品例行监测合格率稳定100%。完善农业农村防灾减灾体系。支持有条件的乡镇建设电子商务集配中心。做强“城口县农产品销售平台”“扶贫832”等特色平台，拓展农产品销售渠道。</w:t>
            </w:r>
          </w:p>
        </w:tc>
      </w:tr>
    </w:tbl>
    <w:p>
      <w:pPr>
        <w:overflowPunct w:val="0"/>
        <w:adjustRightInd w:val="0"/>
        <w:snapToGrid w:val="0"/>
        <w:spacing w:line="560" w:lineRule="exact"/>
        <w:jc w:val="center"/>
        <w:outlineLvl w:val="2"/>
        <w:rPr>
          <w:rFonts w:ascii="Times New Roman" w:hAnsi="Times New Roman" w:eastAsia="方正楷体_GBK"/>
          <w:b/>
          <w:sz w:val="32"/>
          <w:szCs w:val="32"/>
        </w:rPr>
      </w:pPr>
      <w:bookmarkStart w:id="1492" w:name="_Toc1210"/>
      <w:bookmarkStart w:id="1493" w:name="_Toc28138"/>
      <w:bookmarkStart w:id="1494" w:name="_Toc15233"/>
      <w:bookmarkStart w:id="1495" w:name="_Toc14310"/>
      <w:bookmarkStart w:id="1496" w:name="_Toc17578"/>
      <w:bookmarkStart w:id="1497" w:name="_Toc28405"/>
      <w:bookmarkStart w:id="1498" w:name="_Toc12492"/>
      <w:bookmarkStart w:id="1499" w:name="_Toc19960"/>
      <w:bookmarkStart w:id="1500" w:name="_Toc1003"/>
      <w:bookmarkStart w:id="1501" w:name="_Toc19486"/>
      <w:bookmarkStart w:id="1502" w:name="_Toc9247"/>
      <w:bookmarkStart w:id="1503" w:name="_Toc11912"/>
      <w:bookmarkStart w:id="1504" w:name="_Toc8884"/>
      <w:bookmarkStart w:id="1505" w:name="_Toc32745"/>
      <w:bookmarkStart w:id="1506" w:name="_Toc16368"/>
      <w:bookmarkStart w:id="1507" w:name="_Toc20175"/>
      <w:bookmarkStart w:id="1508" w:name="_Toc17059"/>
      <w:bookmarkStart w:id="1509" w:name="_Toc25791"/>
      <w:r>
        <w:rPr>
          <w:rFonts w:ascii="Times New Roman" w:hAnsi="Times New Roman" w:eastAsia="方正楷体_GBK"/>
          <w:b/>
          <w:sz w:val="32"/>
          <w:szCs w:val="32"/>
        </w:rPr>
        <w:t>第二节  实施乡村建设行动</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26"/>
        <w:overflowPunct w:val="0"/>
        <w:adjustRightInd w:val="0"/>
        <w:snapToGrid w:val="0"/>
        <w:spacing w:after="0" w:line="560" w:lineRule="exact"/>
        <w:ind w:leftChars="0" w:firstLine="640" w:firstLineChars="200"/>
        <w:rPr>
          <w:rFonts w:ascii="Times New Roman" w:hAnsi="Times New Roman" w:eastAsia="方正仿宋_GBK"/>
          <w:sz w:val="32"/>
          <w:szCs w:val="32"/>
        </w:rPr>
      </w:pPr>
      <w:r>
        <w:rPr>
          <w:rFonts w:ascii="Times New Roman" w:hAnsi="Times New Roman" w:eastAsia="方正仿宋_GBK"/>
          <w:sz w:val="32"/>
          <w:szCs w:val="32"/>
        </w:rPr>
        <w:t>优化乡村布局。统筹推进乡镇场镇和村庄产业发展、基础设施、公共服务、生态保护，细化要素配置，建立乡村一体化发展规划体系。支持经济社会发展较好、城镇化水平较高的乡撤乡设镇，把乡镇建设成为服务农民的区域中心。坚持“重点乡镇优先培育，一般乡镇分类引导，突出特色差异化互补式发展”思路，镇（乡）村一体谋划，形成“中心镇+一般镇（乡）+村（集居区）”三级镇（村）体系。合理确定村庄分类布局，按照集聚提升、城郊融合、特色保护、搬迁撤并的导向，分类推进村庄发展。编制完善村庄规划，优化生产生活生态空间布局，注重保护传统村落和乡村特色风貌。</w:t>
      </w:r>
    </w:p>
    <w:p>
      <w:pPr>
        <w:pStyle w:val="26"/>
        <w:overflowPunct w:val="0"/>
        <w:adjustRightInd w:val="0"/>
        <w:snapToGrid w:val="0"/>
        <w:spacing w:after="0" w:line="560" w:lineRule="exact"/>
        <w:ind w:leftChars="0" w:firstLine="640" w:firstLineChars="200"/>
        <w:rPr>
          <w:rFonts w:ascii="Times New Roman" w:hAnsi="Times New Roman" w:eastAsia="方正仿宋_GBK"/>
          <w:sz w:val="32"/>
          <w:szCs w:val="32"/>
        </w:rPr>
      </w:pPr>
      <w:r>
        <w:rPr>
          <w:rFonts w:ascii="Times New Roman" w:hAnsi="Times New Roman" w:eastAsia="方正仿宋_GBK"/>
          <w:sz w:val="32"/>
          <w:szCs w:val="32"/>
        </w:rPr>
        <w:t>提升乡村基础设施和公共服务水平。继续把公共基础设施建设的重点放在农村，在推进城乡基本公共服务均等化上持续发力。有序推进县域客运班线公交化改造，持续抓好“四好农村路”建设。加强乡村供水设施建设，新建或改扩建集中供水厂、改造村级供水站、更新改造供水管网。有序推进燃气管网覆盖乡镇。加快农村电网升级改造，重点实施用户电力设备改造，增加村级变压器容量。加快数字乡村建设，合理规划布局农村5G、光纤等新型基础设施，实现通信网络和宽带网络村庄全覆盖。加快推进农村义务教育学校标准化和信息化建设。加快改善农村卫生基础设施，推动卫生院等级达标创建。加强乡村文化体育设施建设，完善村（社区）综合文化服务中心服务功能。严格落实农村养老金标准和农村医保报销政策，实现城乡低保标准并轨。</w:t>
      </w: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改善农村人居环境。深入开展城乡环境“八乱”整治、“五干净、六整齐”清洁家园、美丽乡村建设，强力推进垃圾分类、污水处理，持续推进“厕所革命”，加强农村面源污染治理，提升社会文明程度。接续推进乡镇场镇、易地扶贫搬迁安置点等重点区域人居环境整治提升，加快建设生态宜居“美丽家园”。推进农村生活垃圾分类和资源化利用，行政村生活垃圾治理比例提高到100%。分类推进农村生活污水治理，基本完成常住人口200户或500人以上的农村聚居点污水处理设施建设。巩固拓展农村厕所革命成果，农村卫生厕所普及率提高到100%。有序推进农村危房改造，提升农房建设质量。</w:t>
      </w:r>
      <w:bookmarkStart w:id="1510" w:name="_Toc15580"/>
    </w:p>
    <w:p>
      <w:pPr>
        <w:overflowPunct w:val="0"/>
        <w:adjustRightInd w:val="0"/>
        <w:snapToGrid w:val="0"/>
        <w:spacing w:line="560" w:lineRule="exact"/>
        <w:jc w:val="center"/>
        <w:rPr>
          <w:rFonts w:ascii="Times New Roman" w:hAnsi="Times New Roman" w:eastAsia="方正黑体_GBK"/>
          <w:sz w:val="28"/>
          <w:szCs w:val="28"/>
        </w:rPr>
      </w:pPr>
      <w:r>
        <w:rPr>
          <w:rFonts w:ascii="Times New Roman" w:hAnsi="Times New Roman" w:eastAsia="方正黑体_GBK"/>
          <w:sz w:val="28"/>
          <w:szCs w:val="28"/>
        </w:rPr>
        <w:t>专栏15  乡村建设重点工程</w:t>
      </w:r>
    </w:p>
    <w:tbl>
      <w:tblPr>
        <w:tblStyle w:val="27"/>
        <w:tblpPr w:leftFromText="180" w:rightFromText="180" w:vertAnchor="text" w:horzAnchor="margin" w:tblpY="129"/>
        <w:tblOverlap w:val="never"/>
        <w:tblW w:w="8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2" w:type="dxa"/>
            <w:tcBorders>
              <w:top w:val="single" w:color="auto" w:sz="4" w:space="0"/>
              <w:left w:val="single" w:color="auto" w:sz="4" w:space="0"/>
              <w:bottom w:val="single" w:color="auto" w:sz="4" w:space="0"/>
              <w:right w:val="single" w:color="auto" w:sz="4" w:space="0"/>
            </w:tcBorders>
          </w:tcPr>
          <w:p>
            <w:pPr>
              <w:overflowPunct w:val="0"/>
              <w:spacing w:line="360" w:lineRule="exact"/>
              <w:ind w:firstLine="482" w:firstLineChars="200"/>
              <w:rPr>
                <w:rFonts w:ascii="Times New Roman" w:hAnsi="Times New Roman" w:eastAsia="方正仿宋_GBK"/>
                <w:kern w:val="0"/>
                <w:sz w:val="24"/>
              </w:rPr>
            </w:pPr>
            <w:r>
              <w:rPr>
                <w:rFonts w:ascii="Times New Roman" w:hAnsi="Times New Roman" w:eastAsia="方正仿宋_GBK"/>
                <w:b/>
                <w:bCs/>
                <w:kern w:val="0"/>
                <w:sz w:val="24"/>
              </w:rPr>
              <w:t>农村交通基础设施建设。</w:t>
            </w:r>
            <w:r>
              <w:rPr>
                <w:rFonts w:ascii="Times New Roman" w:hAnsi="Times New Roman" w:eastAsia="方正仿宋_GBK"/>
                <w:kern w:val="0"/>
                <w:sz w:val="24"/>
              </w:rPr>
              <w:t>持续推进“四好农村路”畅通工程建设，实施农村公路“单改双”工程500公里、路面拓宽工程1000公里、通畅工程1147公里、通达工程937公里。</w:t>
            </w:r>
          </w:p>
          <w:p>
            <w:pPr>
              <w:overflowPunct w:val="0"/>
              <w:spacing w:line="360" w:lineRule="exact"/>
              <w:ind w:firstLine="482" w:firstLineChars="200"/>
              <w:rPr>
                <w:rFonts w:ascii="Times New Roman" w:hAnsi="Times New Roman" w:eastAsia="方正仿宋_GBK"/>
                <w:kern w:val="0"/>
                <w:sz w:val="24"/>
              </w:rPr>
            </w:pPr>
            <w:r>
              <w:rPr>
                <w:rFonts w:ascii="Times New Roman" w:hAnsi="Times New Roman" w:eastAsia="方正仿宋_GBK"/>
                <w:b/>
                <w:bCs/>
                <w:kern w:val="0"/>
                <w:sz w:val="24"/>
              </w:rPr>
              <w:t>农村公共服务提升。</w:t>
            </w:r>
            <w:r>
              <w:rPr>
                <w:rFonts w:ascii="Times New Roman" w:hAnsi="Times New Roman" w:eastAsia="方正仿宋_GBK"/>
                <w:kern w:val="0"/>
                <w:sz w:val="24"/>
              </w:rPr>
              <w:t>规划建设乡村文旅广场32个，社区集中点移动公厕96座，综合服务点基础设施配备32个。</w:t>
            </w:r>
          </w:p>
          <w:p>
            <w:pPr>
              <w:overflowPunct w:val="0"/>
              <w:spacing w:line="360" w:lineRule="exact"/>
              <w:ind w:firstLine="482" w:firstLineChars="200"/>
              <w:rPr>
                <w:rFonts w:ascii="Times New Roman" w:hAnsi="Times New Roman" w:eastAsia="方正仿宋_GBK"/>
                <w:kern w:val="0"/>
                <w:sz w:val="24"/>
              </w:rPr>
            </w:pPr>
            <w:r>
              <w:rPr>
                <w:rFonts w:ascii="Times New Roman" w:hAnsi="Times New Roman" w:eastAsia="方正仿宋_GBK"/>
                <w:b/>
                <w:bCs/>
                <w:kern w:val="0"/>
                <w:sz w:val="24"/>
              </w:rPr>
              <w:t>农村人居环境整治提升。</w:t>
            </w:r>
            <w:r>
              <w:rPr>
                <w:rFonts w:ascii="Times New Roman" w:hAnsi="Times New Roman" w:eastAsia="方正仿宋_GBK"/>
                <w:kern w:val="0"/>
                <w:sz w:val="24"/>
              </w:rPr>
              <w:t>推进农村垃圾治理，推广使用垃圾分类收集设施，完善垃圾转运系统；新建入户便道327公里，改建入户便道106公里；新增太阳能路灯1970盏；旧房整治提升4422户，闲置废弃房拆除1408栋，改院1842户；增加公共绿化空间约20万平方米。</w:t>
            </w:r>
          </w:p>
          <w:p>
            <w:pPr>
              <w:overflowPunct w:val="0"/>
              <w:spacing w:line="360" w:lineRule="exact"/>
              <w:ind w:left="479" w:leftChars="228"/>
              <w:rPr>
                <w:rFonts w:ascii="Times New Roman" w:hAnsi="Times New Roman" w:eastAsia="方正仿宋_GBK"/>
                <w:sz w:val="24"/>
              </w:rPr>
            </w:pPr>
            <w:r>
              <w:rPr>
                <w:rFonts w:ascii="Times New Roman" w:hAnsi="Times New Roman" w:eastAsia="方正仿宋_GBK"/>
                <w:b/>
                <w:bCs/>
                <w:sz w:val="24"/>
              </w:rPr>
              <w:t>农村饮水工程。</w:t>
            </w:r>
            <w:r>
              <w:rPr>
                <w:rFonts w:ascii="Times New Roman" w:hAnsi="Times New Roman" w:eastAsia="方正仿宋_GBK"/>
                <w:sz w:val="24"/>
              </w:rPr>
              <w:t>新建农村集中供水工程15处，改造农村集中供水工程22处。</w:t>
            </w:r>
          </w:p>
          <w:p>
            <w:pPr>
              <w:overflowPunct w:val="0"/>
              <w:spacing w:line="360" w:lineRule="exact"/>
              <w:ind w:firstLine="482" w:firstLineChars="200"/>
              <w:rPr>
                <w:rFonts w:ascii="Times New Roman" w:hAnsi="Times New Roman" w:eastAsia="方正仿宋_GBK"/>
                <w:sz w:val="24"/>
              </w:rPr>
            </w:pPr>
            <w:r>
              <w:rPr>
                <w:rFonts w:ascii="Times New Roman" w:hAnsi="Times New Roman" w:eastAsia="方正仿宋_GBK"/>
                <w:b/>
                <w:bCs/>
                <w:sz w:val="24"/>
              </w:rPr>
              <w:t>传统村落保护和历史建筑保护。</w:t>
            </w:r>
            <w:r>
              <w:rPr>
                <w:rFonts w:ascii="Times New Roman" w:hAnsi="Times New Roman" w:eastAsia="方正仿宋_GBK"/>
                <w:sz w:val="24"/>
              </w:rPr>
              <w:t>推进高楠镇方斗村传统村落保护，对全县范围内有历史文化和科学艺术价值的历史建筑进行修缮、保护。</w:t>
            </w:r>
          </w:p>
        </w:tc>
      </w:tr>
    </w:tbl>
    <w:p>
      <w:pPr>
        <w:overflowPunct w:val="0"/>
        <w:adjustRightInd w:val="0"/>
        <w:snapToGrid w:val="0"/>
        <w:spacing w:line="560" w:lineRule="exact"/>
        <w:jc w:val="center"/>
        <w:outlineLvl w:val="2"/>
        <w:rPr>
          <w:rFonts w:ascii="Times New Roman" w:hAnsi="Times New Roman" w:eastAsia="方正楷体_GBK"/>
          <w:b/>
          <w:sz w:val="32"/>
          <w:szCs w:val="32"/>
        </w:rPr>
      </w:pPr>
      <w:bookmarkStart w:id="1511" w:name="_Toc24691"/>
      <w:bookmarkStart w:id="1512" w:name="_Toc10650"/>
      <w:bookmarkStart w:id="1513" w:name="_Toc6776"/>
      <w:bookmarkStart w:id="1514" w:name="_Toc3545"/>
      <w:bookmarkStart w:id="1515" w:name="_Toc9357"/>
      <w:bookmarkStart w:id="1516" w:name="_Toc7506"/>
      <w:bookmarkStart w:id="1517" w:name="_Toc5764"/>
      <w:bookmarkStart w:id="1518" w:name="_Toc907"/>
      <w:bookmarkStart w:id="1519" w:name="_Toc12352"/>
      <w:bookmarkStart w:id="1520" w:name="_Toc9550"/>
      <w:bookmarkStart w:id="1521" w:name="_Toc21325"/>
      <w:bookmarkStart w:id="1522" w:name="_Toc25432"/>
      <w:bookmarkStart w:id="1523" w:name="_Toc15381"/>
      <w:bookmarkStart w:id="1524" w:name="_Toc32191"/>
      <w:bookmarkStart w:id="1525" w:name="_Toc20020"/>
      <w:bookmarkStart w:id="1526" w:name="_Toc4421"/>
      <w:bookmarkStart w:id="1527" w:name="_Toc26718"/>
      <w:bookmarkStart w:id="1528" w:name="_Toc27682"/>
      <w:r>
        <w:rPr>
          <w:rFonts w:ascii="Times New Roman" w:hAnsi="Times New Roman" w:eastAsia="方正楷体_GBK"/>
          <w:b/>
          <w:sz w:val="32"/>
          <w:szCs w:val="32"/>
        </w:rPr>
        <w:t>第三节  巩固拓展脱贫攻坚成果同乡村振兴有效衔接</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overflowPunct w:val="0"/>
        <w:adjustRightInd w:val="0"/>
        <w:snapToGrid w:val="0"/>
        <w:spacing w:line="560" w:lineRule="exact"/>
        <w:ind w:firstLine="640" w:firstLineChars="200"/>
        <w:jc w:val="left"/>
        <w:rPr>
          <w:rFonts w:ascii="Times New Roman" w:hAnsi="Times New Roman" w:eastAsia="方正仿宋_GBK"/>
          <w:bCs/>
          <w:sz w:val="32"/>
          <w:szCs w:val="32"/>
        </w:rPr>
      </w:pPr>
      <w:r>
        <w:rPr>
          <w:rFonts w:ascii="Times New Roman" w:hAnsi="Times New Roman" w:eastAsia="方正仿宋_GBK"/>
          <w:bCs/>
          <w:sz w:val="32"/>
          <w:szCs w:val="32"/>
        </w:rPr>
        <w:t>建立健全巩固脱贫攻坚成果长效机制。严格落实“四个不摘”要求，保持帮扶队伍、政策措施、攻坚力量稳定不变。继续落实好教育、医疗、住房、饮水等民生保障普惠性政策，优化完善产业就业等发展类政策。健全防止返贫动态监测和帮扶机制，常态化监测脱贫不稳定户、边缘易致贫户，以及因病因灾因意外事故等易返贫致贫人口，重点监测收入水平变化和“两不愁三保障”巩固情况，实行问题动态清零。做好易地扶贫搬迁后续扶持工作，聚焦深度贫困乡村和集中安置点，从就业需要、产业发展和后续配套设施建设提升完善等方面强化扶持政策落实，持续巩固易地搬迁脱贫成果，确保搬迁群众稳得住、有就业、逐步能致富。积极推广以工代赈方式。加强扶贫项目资产管理和监督，分类摸清各类扶贫项目形成的资产底数，明晰产权关系，落实管护主体，加强运营管理，提高资产使用效率。</w:t>
      </w:r>
    </w:p>
    <w:p>
      <w:pPr>
        <w:overflowPunct w:val="0"/>
        <w:adjustRightInd w:val="0"/>
        <w:snapToGrid w:val="0"/>
        <w:spacing w:line="560" w:lineRule="exact"/>
        <w:ind w:firstLine="640" w:firstLineChars="200"/>
        <w:jc w:val="left"/>
        <w:rPr>
          <w:rFonts w:ascii="Times New Roman" w:hAnsi="Times New Roman" w:eastAsia="方正仿宋_GBK"/>
          <w:bCs/>
          <w:sz w:val="32"/>
          <w:szCs w:val="32"/>
        </w:rPr>
      </w:pPr>
      <w:r>
        <w:rPr>
          <w:rFonts w:ascii="Times New Roman" w:hAnsi="Times New Roman" w:eastAsia="方正仿宋_GBK"/>
          <w:bCs/>
          <w:sz w:val="32"/>
          <w:szCs w:val="32"/>
        </w:rPr>
        <w:t>推动脱贫工作体系全面转向乡村振兴。做好领导体系、发展规划、政策举措、考核机制等有效衔接，全面落实“五大振兴”任务，从解决建档立卡贫困人口“两不愁三保障”为重点转向实现乡村产业兴旺、生态宜居、乡风文明、治理有效、生活富裕，从集中资源支持脱贫攻坚转向巩固脱贫攻坚成果和全面推进乡村振兴，从特殊性政策支持转向普惠性、均衡性政策支持。遵循产业规律，注重扶贫产业长期培育和系统支持，持续推进产业发展配套基础设施建设，逐步形成产业规模、拓展产业链条、完善产业体系，推动产业扶贫向产业振兴提升。深化落实东西部协作、中央定点帮扶等机制，用好扶贫车间和公益性岗位政策，加大职业技能培训力度，加强脱贫人口有组织劳务输出，统筹用好乡村公益岗位，促进贫困人口稳定就业。按照乡村建设行动统一部署，持续加大力度改善贫困乡村基础设施条件、提升公共服务水平。确定一批乡村振兴乡镇和村社区给予重点支持，增强其巩固脱贫成果及内生发展能力。</w:t>
      </w:r>
    </w:p>
    <w:p>
      <w:pPr>
        <w:overflowPunct w:val="0"/>
        <w:adjustRightInd w:val="0"/>
        <w:snapToGrid w:val="0"/>
        <w:spacing w:line="560" w:lineRule="exact"/>
        <w:ind w:firstLine="640" w:firstLineChars="200"/>
        <w:jc w:val="left"/>
        <w:rPr>
          <w:rFonts w:ascii="Times New Roman" w:hAnsi="Times New Roman" w:eastAsia="方正仿宋_GBK"/>
          <w:bCs/>
          <w:sz w:val="32"/>
          <w:szCs w:val="32"/>
        </w:rPr>
      </w:pPr>
      <w:r>
        <w:rPr>
          <w:rFonts w:ascii="Times New Roman" w:hAnsi="Times New Roman" w:eastAsia="方正仿宋_GBK"/>
          <w:bCs/>
          <w:sz w:val="32"/>
          <w:szCs w:val="32"/>
        </w:rPr>
        <w:t>健全农村低收入人口常态化帮扶机制。加强农村低收入人口监测，完善主动发现和动态调整机制。分层分类实施社会救助，落实最低生活保障、农村特困人员救助给养等制度。加强农村医疗保障，坚持基本标准，统筹发挥基本医疗保险、大病保险、医疗救助三重保障制度综合梯次减负功能。加强养老保障和儿童关爱服务，织密兜牢丧失劳动能力人口基本生活保障底线。</w:t>
      </w:r>
    </w:p>
    <w:p>
      <w:pPr>
        <w:overflowPunct w:val="0"/>
        <w:rPr>
          <w:rFonts w:ascii="Times New Roman" w:hAnsi="Times New Roman" w:eastAsia="方正黑体_GBK"/>
          <w:b/>
          <w:bCs/>
          <w:kern w:val="44"/>
          <w:sz w:val="32"/>
          <w:szCs w:val="32"/>
        </w:rPr>
      </w:pPr>
      <w:bookmarkStart w:id="1529" w:name="_Toc8189"/>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530" w:name="_Toc27798"/>
      <w:bookmarkStart w:id="1531" w:name="_Toc3678"/>
      <w:bookmarkStart w:id="1532" w:name="_Toc16785"/>
      <w:bookmarkStart w:id="1533" w:name="_Toc24577"/>
      <w:bookmarkStart w:id="1534" w:name="_Toc13321"/>
      <w:bookmarkStart w:id="1535" w:name="_Toc17192"/>
      <w:bookmarkStart w:id="1536" w:name="_Toc21722"/>
      <w:bookmarkStart w:id="1537" w:name="_Toc24988"/>
      <w:bookmarkStart w:id="1538" w:name="_Toc9080"/>
      <w:bookmarkStart w:id="1539" w:name="_Toc23032"/>
      <w:bookmarkStart w:id="1540" w:name="_Toc28775"/>
      <w:bookmarkStart w:id="1541" w:name="_Toc19270"/>
      <w:bookmarkStart w:id="1542" w:name="_Toc7162"/>
      <w:bookmarkStart w:id="1543" w:name="_Toc30202"/>
      <w:bookmarkStart w:id="1544" w:name="_Toc14480"/>
      <w:bookmarkStart w:id="1545" w:name="_Toc20559"/>
      <w:bookmarkStart w:id="1546" w:name="_Toc13218"/>
      <w:bookmarkStart w:id="1547" w:name="_Toc24901"/>
      <w:r>
        <w:rPr>
          <w:rFonts w:ascii="Times New Roman" w:hAnsi="Times New Roman" w:eastAsia="方正黑体_GBK"/>
          <w:b/>
          <w:bCs/>
          <w:kern w:val="44"/>
          <w:sz w:val="32"/>
          <w:szCs w:val="32"/>
        </w:rPr>
        <w:t>第二十二章  推进以人为核心的新型城镇化</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深入实施新型城镇化战略，坚持以人为核心、以提升质量为导向、以城市更新为抓手，补齐县城城镇化短板弱项，提升城市规划建设管理水平，确保县城建设更加高效、管理更加精细、功能更加完备、环境更加宜居、服务更加到位、保障更加有力，加快建成宜居宜业宜游的大巴山特色生态城。</w:t>
      </w:r>
    </w:p>
    <w:p>
      <w:pPr>
        <w:pStyle w:val="25"/>
        <w:overflowPunct w:val="0"/>
        <w:adjustRightInd w:val="0"/>
        <w:snapToGrid w:val="0"/>
        <w:spacing w:after="0" w:line="560" w:lineRule="exact"/>
        <w:ind w:firstLine="643" w:firstLineChars="200"/>
        <w:jc w:val="center"/>
        <w:outlineLvl w:val="2"/>
        <w:rPr>
          <w:rFonts w:ascii="Times New Roman" w:hAnsi="Times New Roman" w:eastAsia="方正楷体_GBK"/>
          <w:b/>
          <w:sz w:val="32"/>
          <w:szCs w:val="32"/>
        </w:rPr>
      </w:pPr>
      <w:bookmarkStart w:id="1548" w:name="_Toc29486"/>
      <w:bookmarkStart w:id="1549" w:name="_Toc12597"/>
      <w:bookmarkStart w:id="1550" w:name="_Toc16696"/>
      <w:bookmarkStart w:id="1551" w:name="_Toc28634"/>
      <w:bookmarkStart w:id="1552" w:name="_Toc9462"/>
      <w:bookmarkStart w:id="1553" w:name="_Toc6649"/>
      <w:bookmarkStart w:id="1554" w:name="_Toc25147"/>
      <w:bookmarkStart w:id="1555" w:name="_Toc26506"/>
      <w:bookmarkStart w:id="1556" w:name="_Toc15545"/>
      <w:bookmarkStart w:id="1557" w:name="_Toc30254"/>
      <w:bookmarkStart w:id="1558" w:name="_Toc10885"/>
      <w:bookmarkStart w:id="1559" w:name="_Toc8505"/>
      <w:bookmarkStart w:id="1560" w:name="_Toc19676"/>
      <w:bookmarkStart w:id="1561" w:name="_Toc30074"/>
      <w:bookmarkStart w:id="1562" w:name="_Toc31542"/>
      <w:bookmarkStart w:id="1563" w:name="_Toc21032"/>
      <w:bookmarkStart w:id="1564" w:name="_Toc20234"/>
      <w:bookmarkStart w:id="1565" w:name="_Toc25192"/>
      <w:bookmarkStart w:id="1566" w:name="_Toc20386"/>
      <w:r>
        <w:rPr>
          <w:rFonts w:ascii="Times New Roman" w:hAnsi="Times New Roman" w:eastAsia="方正楷体_GBK"/>
          <w:b/>
          <w:sz w:val="32"/>
          <w:szCs w:val="32"/>
        </w:rPr>
        <w:t>第一节</w:t>
      </w:r>
      <w:bookmarkEnd w:id="1548"/>
      <w:r>
        <w:rPr>
          <w:rFonts w:ascii="Times New Roman" w:hAnsi="Times New Roman" w:eastAsia="方正楷体_GBK"/>
          <w:b/>
          <w:sz w:val="32"/>
          <w:szCs w:val="32"/>
        </w:rPr>
        <w:t xml:space="preserve">  推进以县城为载体的新型城镇化建设</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优化县城空间布局。强化县城在核心城镇圈的主导作用，按照“中优、东拓、北融、南联”发展思路，发挥任河生态廊道承载作用，有序拓展中心城区空间。优先推动城区“东拓”，带动任河上游一体化发展。按照“规划、交通、土地要素”一体化思路，规划打造以县城为核心的通勤经济圈。</w:t>
      </w:r>
    </w:p>
    <w:p>
      <w:pPr>
        <w:pStyle w:val="25"/>
        <w:overflowPunct w:val="0"/>
        <w:adjustRightInd w:val="0"/>
        <w:snapToGrid w:val="0"/>
        <w:spacing w:after="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高标准推进东部新区建设。坚持以人为本、生态文明、文化传承等理念，优化布局“三生”空间、城乡空间、区域空间，高起点编制县城东部新区规划，做好东部新区与高速、高铁站场的有效衔接。探索市场化方式稳步推进东部新区道路、给排水管网、强弱电综合管廊等配套建设，有序推动新区土地储备整治及出让，积极推进县城任河两岸互联互通，拓展县城人口、产业承载能力，加快建设生态宜居、风情独特的东部新区。</w:t>
      </w:r>
    </w:p>
    <w:p>
      <w:pPr>
        <w:pStyle w:val="25"/>
        <w:overflowPunct w:val="0"/>
        <w:adjustRightInd w:val="0"/>
        <w:snapToGrid w:val="0"/>
        <w:spacing w:after="0" w:line="560" w:lineRule="exact"/>
        <w:ind w:firstLine="643" w:firstLineChars="200"/>
        <w:jc w:val="center"/>
        <w:outlineLvl w:val="2"/>
        <w:rPr>
          <w:rFonts w:ascii="Times New Roman" w:hAnsi="Times New Roman" w:eastAsia="方正楷体_GBK"/>
          <w:b/>
          <w:sz w:val="32"/>
          <w:szCs w:val="32"/>
        </w:rPr>
      </w:pPr>
      <w:bookmarkStart w:id="1567" w:name="_Toc11742"/>
      <w:bookmarkStart w:id="1568" w:name="_Toc24209"/>
      <w:bookmarkStart w:id="1569" w:name="_Toc4434"/>
      <w:bookmarkStart w:id="1570" w:name="_Toc22945"/>
      <w:bookmarkStart w:id="1571" w:name="_Toc616"/>
      <w:bookmarkStart w:id="1572" w:name="_Toc32385"/>
      <w:bookmarkStart w:id="1573" w:name="_Toc25924"/>
      <w:bookmarkStart w:id="1574" w:name="_Toc29543"/>
      <w:bookmarkStart w:id="1575" w:name="_Toc26987"/>
      <w:bookmarkStart w:id="1576" w:name="_Toc1276"/>
      <w:bookmarkStart w:id="1577" w:name="_Toc8142"/>
      <w:bookmarkStart w:id="1578" w:name="_Toc26720"/>
      <w:bookmarkStart w:id="1579" w:name="_Toc8121"/>
      <w:bookmarkStart w:id="1580" w:name="_Toc30481"/>
      <w:bookmarkStart w:id="1581" w:name="_Toc8604"/>
      <w:bookmarkStart w:id="1582" w:name="_Toc22255"/>
      <w:bookmarkStart w:id="1583" w:name="_Toc22863"/>
      <w:bookmarkStart w:id="1584" w:name="_Toc14263"/>
      <w:r>
        <w:rPr>
          <w:rFonts w:ascii="Times New Roman" w:hAnsi="Times New Roman" w:eastAsia="方正楷体_GBK"/>
          <w:b/>
          <w:sz w:val="32"/>
          <w:szCs w:val="32"/>
        </w:rPr>
        <w:t>第二节  高质量实施城市更新</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55"/>
        <w:overflowPunct w:val="0"/>
        <w:spacing w:line="520" w:lineRule="exact"/>
        <w:ind w:firstLine="640" w:firstLineChars="200"/>
        <w:jc w:val="both"/>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立足以人为本、道法自然，坚持“留住记忆、体现特色，完善功能、改善人居”的理念，加强城市修补、生态修复，完善功能、提升服务，以土城老街社区营造为引领，激活老城区发展活力。加快推进任河南北两岸改造项目、任河大桥重建等重点项目建设，提升城市功能。有序推进老旧小区改造，重点实施小区内基础设施更新改造、房屋主体修缮改造、公共服务设施建设改造、与小区相关相邻的基础设施改造提升。</w:t>
      </w:r>
      <w:r>
        <w:rPr>
          <w:rFonts w:ascii="Times New Roman" w:hAnsi="Times New Roman" w:eastAsia="方正仿宋_GBK" w:cs="Times New Roman"/>
          <w:bCs/>
          <w:color w:val="auto"/>
          <w:sz w:val="32"/>
          <w:szCs w:val="32"/>
        </w:rPr>
        <w:t>科学布局公共停车场、城市公园等城市公共服务设施，完善城市功能。</w:t>
      </w:r>
      <w:r>
        <w:rPr>
          <w:rFonts w:ascii="Times New Roman" w:hAnsi="Times New Roman" w:eastAsia="方正仿宋_GBK" w:cs="Times New Roman"/>
          <w:color w:val="auto"/>
          <w:sz w:val="32"/>
          <w:szCs w:val="32"/>
        </w:rPr>
        <w:t>加快公共空间优化升级，加大对沿河、沿街、沿路和公园绿地周边的环境整治和建设管控，拓展公园绿地、群众广场等公共活动空间。加快存量住房改造提升，实施城镇危房搬离整治，全力推进棚户区改造，同步建设道路、供水、供电、供气、通信、污水与垃圾处理等市政基础设施，增强县城综合承载力。</w:t>
      </w:r>
      <w:r>
        <w:rPr>
          <w:rFonts w:ascii="Times New Roman" w:hAnsi="Times New Roman" w:eastAsia="方正仿宋_GBK" w:cs="Times New Roman"/>
          <w:bCs/>
          <w:color w:val="auto"/>
          <w:sz w:val="32"/>
          <w:szCs w:val="32"/>
        </w:rPr>
        <w:t>完善住房保障体系，有序推进城区房地产项目健康发展。强化历史文化保护、塑造城市风貌，充分挖掘自然风光、民俗风情、特色风物，更加彰显有山有水、疏密适度、错落有致、舒适宜居的特色生态盆景城市韵味。</w:t>
      </w:r>
    </w:p>
    <w:p>
      <w:pPr>
        <w:overflowPunct w:val="0"/>
        <w:adjustRightInd w:val="0"/>
        <w:snapToGrid w:val="0"/>
        <w:spacing w:line="560" w:lineRule="exact"/>
        <w:jc w:val="center"/>
        <w:outlineLvl w:val="2"/>
        <w:rPr>
          <w:rFonts w:ascii="Times New Roman" w:hAnsi="Times New Roman"/>
        </w:rPr>
      </w:pPr>
      <w:bookmarkStart w:id="1585" w:name="_Toc29175"/>
      <w:bookmarkStart w:id="1586" w:name="_Toc11125"/>
      <w:bookmarkStart w:id="1587" w:name="_Toc17799"/>
      <w:bookmarkStart w:id="1588" w:name="_Toc16170"/>
      <w:bookmarkStart w:id="1589" w:name="_Toc7989"/>
      <w:bookmarkStart w:id="1590" w:name="_Toc13151"/>
      <w:bookmarkStart w:id="1591" w:name="_Toc15470"/>
      <w:bookmarkStart w:id="1592" w:name="_Toc10742"/>
      <w:bookmarkStart w:id="1593" w:name="_Toc26074"/>
      <w:bookmarkStart w:id="1594" w:name="_Toc15948"/>
      <w:bookmarkStart w:id="1595" w:name="_Toc32007"/>
      <w:bookmarkStart w:id="1596" w:name="_Toc31174"/>
      <w:bookmarkStart w:id="1597" w:name="_Toc18237"/>
      <w:bookmarkStart w:id="1598" w:name="_Toc6507"/>
      <w:bookmarkStart w:id="1599" w:name="_Toc30131"/>
      <w:bookmarkStart w:id="1600" w:name="_Toc21110"/>
      <w:bookmarkStart w:id="1601" w:name="_Toc15015"/>
      <w:bookmarkStart w:id="1602" w:name="_Toc5756"/>
      <w:r>
        <w:rPr>
          <w:rFonts w:ascii="Times New Roman" w:hAnsi="Times New Roman" w:eastAsia="方正楷体_GBK"/>
          <w:b/>
          <w:sz w:val="32"/>
          <w:szCs w:val="32"/>
        </w:rPr>
        <w:t>第三节  提升县城管理水平</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overflowPunct w:val="0"/>
        <w:adjustRightInd w:val="0"/>
        <w:snapToGrid w:val="0"/>
        <w:spacing w:line="560" w:lineRule="exact"/>
        <w:ind w:firstLine="640" w:firstLineChars="200"/>
        <w:rPr>
          <w:rFonts w:ascii="Times New Roman" w:hAnsi="Times New Roman"/>
        </w:rPr>
      </w:pPr>
      <w:r>
        <w:rPr>
          <w:rFonts w:ascii="Times New Roman" w:hAnsi="Times New Roman" w:eastAsia="方正仿宋_GBK"/>
          <w:sz w:val="32"/>
          <w:szCs w:val="32"/>
        </w:rPr>
        <w:t>加强城市建设与管理协同提质，深入推进拆违治乱、街洁巷净、路平桥安、整墙修面、河清水畅、灯明景靓、山青城美、文明施工、安居乐业、共建共享城市管理“十大工程”</w:t>
      </w:r>
      <w:r>
        <w:rPr>
          <w:rFonts w:ascii="Times New Roman" w:hAnsi="Times New Roman" w:eastAsia="方正仿宋_GBK"/>
          <w:bCs/>
          <w:sz w:val="32"/>
          <w:szCs w:val="32"/>
        </w:rPr>
        <w:t>。提升市政设施品质、市容环境卫生质量。落实差异化停车收费政策。推进智慧城市建设，深化</w:t>
      </w:r>
      <w:r>
        <w:rPr>
          <w:rFonts w:ascii="Times New Roman" w:hAnsi="Times New Roman" w:eastAsia="方正仿宋_GBK"/>
          <w:sz w:val="32"/>
          <w:szCs w:val="32"/>
        </w:rPr>
        <w:t>“城镇细管、城镇智管、城镇众管”</w:t>
      </w:r>
      <w:r>
        <w:rPr>
          <w:rFonts w:ascii="Times New Roman" w:hAnsi="Times New Roman" w:eastAsia="方正仿宋_GBK"/>
          <w:bCs/>
          <w:sz w:val="32"/>
          <w:szCs w:val="32"/>
        </w:rPr>
        <w:t>，常态化推行“马路办公”，打造“小而精、小而美、小而全、小而富”的宜居宜业宜游生态之城。</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603" w:name="_Toc15670"/>
      <w:bookmarkStart w:id="1604" w:name="_Toc16486"/>
      <w:bookmarkStart w:id="1605" w:name="_Toc1818"/>
      <w:bookmarkStart w:id="1606" w:name="_Toc20171"/>
      <w:bookmarkStart w:id="1607" w:name="_Toc9951"/>
      <w:bookmarkStart w:id="1608" w:name="_Toc4004"/>
      <w:bookmarkStart w:id="1609" w:name="_Toc23653"/>
      <w:bookmarkStart w:id="1610" w:name="_Toc27749"/>
      <w:bookmarkStart w:id="1611" w:name="_Toc7273"/>
      <w:bookmarkStart w:id="1612" w:name="_Toc20081"/>
      <w:bookmarkStart w:id="1613" w:name="_Toc15576"/>
      <w:bookmarkStart w:id="1614" w:name="_Toc31728"/>
      <w:bookmarkStart w:id="1615" w:name="_Toc5412"/>
      <w:bookmarkStart w:id="1616" w:name="_Toc2082"/>
      <w:bookmarkStart w:id="1617" w:name="_Toc2336"/>
      <w:bookmarkStart w:id="1618" w:name="_Toc25028"/>
      <w:bookmarkStart w:id="1619" w:name="_Toc15910"/>
      <w:bookmarkStart w:id="1620" w:name="_Toc8601"/>
      <w:bookmarkStart w:id="1621" w:name="_Toc8892"/>
      <w:r>
        <w:rPr>
          <w:rFonts w:ascii="Times New Roman" w:hAnsi="Times New Roman" w:eastAsia="方正楷体_GBK"/>
          <w:b/>
          <w:sz w:val="32"/>
          <w:szCs w:val="32"/>
        </w:rPr>
        <w:t>第四节  推动农业转移人口在城镇稳业安居</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overflowPunct w:val="0"/>
        <w:adjustRightInd w:val="0"/>
        <w:snapToGrid w:val="0"/>
        <w:spacing w:line="560" w:lineRule="exact"/>
        <w:ind w:firstLine="640" w:firstLineChars="200"/>
        <w:rPr>
          <w:rFonts w:ascii="Times New Roman" w:hAnsi="Times New Roman"/>
        </w:rPr>
      </w:pPr>
      <w:r>
        <w:rPr>
          <w:rFonts w:ascii="Times New Roman" w:hAnsi="Times New Roman" w:eastAsia="方正仿宋_GBK"/>
          <w:bCs/>
          <w:sz w:val="32"/>
          <w:szCs w:val="32"/>
        </w:rPr>
        <w:t>全面取消城镇落户限制，鼓励农业转移人口和其他常住人口在城镇落户，引导偏远地区人口向中心城区以及区域中心镇集聚。落实以居住证为载体的基本公共服务提供机制，加快剥离附着在户籍上的基本公共服务权益，实行居住登记制度。取消进城农民工随迁子女入学门槛，落实农民工参加职工基本养老保险和医疗保险城乡差额补贴机制，加强农业转移人口就业技能和文化培训，完善政府购买就业培训服务制度，提高农业转移人口素质和融入城镇的能力。维护进城落户农民农村土地承包权、宅基地使用权、集体收益分配权，支持引导权益依法自愿有偿转让。落实“人地钱挂钩”配套激励政策，加大新增建设用地计划指标与吸纳落户数量挂钩力度。统筹深化户籍制度和基本公共服务供给制度改革，尽快实现公共资源按常住人口配置，推动农业转移人口稳业安居，增强对城镇生活的认同感、归属感。</w:t>
      </w:r>
    </w:p>
    <w:p>
      <w:pPr>
        <w:overflowPunct w:val="0"/>
        <w:spacing w:line="480" w:lineRule="exact"/>
        <w:jc w:val="center"/>
        <w:rPr>
          <w:rFonts w:ascii="Times New Roman" w:hAnsi="Times New Roman" w:eastAsia="方正黑体_GBK"/>
          <w:sz w:val="28"/>
          <w:szCs w:val="28"/>
        </w:rPr>
      </w:pPr>
      <w:bookmarkStart w:id="1622" w:name="_Toc7067"/>
      <w:r>
        <w:rPr>
          <w:rFonts w:ascii="Times New Roman" w:hAnsi="Times New Roman" w:eastAsia="方正黑体_GBK"/>
          <w:sz w:val="28"/>
          <w:szCs w:val="28"/>
        </w:rPr>
        <w:t>专栏16  新型城镇化建设重点工程</w:t>
      </w:r>
    </w:p>
    <w:tbl>
      <w:tblPr>
        <w:tblStyle w:val="27"/>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2"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2" w:firstLineChars="200"/>
              <w:rPr>
                <w:rFonts w:ascii="Times New Roman" w:hAnsi="Times New Roman" w:eastAsia="方正仿宋_GBK"/>
                <w:b/>
                <w:sz w:val="24"/>
                <w:szCs w:val="32"/>
              </w:rPr>
            </w:pPr>
            <w:r>
              <w:rPr>
                <w:rFonts w:ascii="Times New Roman" w:hAnsi="Times New Roman" w:eastAsia="方正仿宋_GBK"/>
                <w:b/>
                <w:sz w:val="24"/>
              </w:rPr>
              <w:t>城市交通干道。</w:t>
            </w:r>
            <w:r>
              <w:rPr>
                <w:rFonts w:ascii="Times New Roman" w:hAnsi="Times New Roman" w:eastAsia="方正仿宋_GBK"/>
                <w:sz w:val="24"/>
              </w:rPr>
              <w:t>加快推进巴山迎宾大道（城开高速城口互通收费站—滨江路段连接线工程），开工建设高铁站至城区入城道路、高速收费站至体育馆市政道路（东部新区大道）、高坪坎至四塘坝市政道路、沱溪河至银子岩市政道路、广场路、木瓜坝至客运中心至银子岩市政道路、太和场至茅坪老虎垭口市政道路改造、太和一路和太和二路改造、半月池片区道路改造工程、等市政道路建设。</w:t>
            </w:r>
          </w:p>
          <w:p>
            <w:pPr>
              <w:overflowPunct w:val="0"/>
              <w:spacing w:line="400" w:lineRule="exact"/>
              <w:ind w:firstLine="482" w:firstLineChars="200"/>
              <w:rPr>
                <w:rFonts w:ascii="Times New Roman" w:hAnsi="Times New Roman" w:eastAsia="方正仿宋_GBK"/>
                <w:b/>
                <w:sz w:val="24"/>
                <w:szCs w:val="32"/>
              </w:rPr>
            </w:pPr>
            <w:r>
              <w:rPr>
                <w:rFonts w:ascii="Times New Roman" w:hAnsi="Times New Roman" w:eastAsia="方正仿宋_GBK"/>
                <w:b/>
                <w:sz w:val="24"/>
                <w:szCs w:val="32"/>
              </w:rPr>
              <w:t>城市隧道及桥梁工程。</w:t>
            </w:r>
            <w:r>
              <w:rPr>
                <w:rFonts w:ascii="Times New Roman" w:hAnsi="Times New Roman" w:eastAsia="方正仿宋_GBK"/>
                <w:bCs/>
                <w:sz w:val="24"/>
                <w:szCs w:val="32"/>
              </w:rPr>
              <w:t>整治城区东门隧道、南门隧道等，论证建设木瓜坝至高燕隧道、茅坪至沱溪河隧道。加快任河大桥重建、四塘坝大桥建设，论证建设茅坪大桥、庙垭大桥、四塘坝人行廊桥。</w:t>
            </w:r>
          </w:p>
          <w:p>
            <w:pPr>
              <w:overflowPunct w:val="0"/>
              <w:spacing w:line="400" w:lineRule="exact"/>
              <w:ind w:firstLine="482" w:firstLineChars="200"/>
              <w:rPr>
                <w:rFonts w:ascii="Times New Roman" w:hAnsi="Times New Roman"/>
              </w:rPr>
            </w:pPr>
            <w:r>
              <w:rPr>
                <w:rFonts w:ascii="Times New Roman" w:hAnsi="Times New Roman" w:eastAsia="方正仿宋_GBK"/>
                <w:b/>
                <w:sz w:val="24"/>
                <w:szCs w:val="32"/>
              </w:rPr>
              <w:t>市政基础设施建设项目</w:t>
            </w:r>
            <w:r>
              <w:rPr>
                <w:rFonts w:ascii="Times New Roman" w:hAnsi="Times New Roman" w:eastAsia="方正仿宋_GBK"/>
                <w:bCs/>
                <w:sz w:val="24"/>
                <w:szCs w:val="32"/>
              </w:rPr>
              <w:t>。加快推进任河南岸旅游景观综合改造工程、仁河流域综合整治项目、乡镇污水管网建设项目、城区管网改造项目、城市广场建设项目，规划建设第二供水厂及配套基础设施项目、后南街片区人防设施建设工程、人行步道新建工程。</w:t>
            </w:r>
          </w:p>
          <w:p>
            <w:pPr>
              <w:overflowPunct w:val="0"/>
              <w:spacing w:line="400" w:lineRule="exact"/>
              <w:ind w:firstLine="482" w:firstLineChars="200"/>
              <w:rPr>
                <w:rFonts w:ascii="Times New Roman" w:hAnsi="Times New Roman" w:eastAsia="方正仿宋_GBK"/>
                <w:bCs/>
                <w:sz w:val="24"/>
                <w:szCs w:val="32"/>
              </w:rPr>
            </w:pPr>
            <w:r>
              <w:rPr>
                <w:rFonts w:ascii="Times New Roman" w:hAnsi="Times New Roman" w:eastAsia="方正仿宋_GBK"/>
                <w:b/>
                <w:sz w:val="24"/>
                <w:szCs w:val="32"/>
              </w:rPr>
              <w:t>东部新区建设项目。</w:t>
            </w:r>
            <w:r>
              <w:rPr>
                <w:rFonts w:ascii="Times New Roman" w:hAnsi="Times New Roman" w:eastAsia="方正仿宋_GBK"/>
                <w:bCs/>
                <w:sz w:val="24"/>
                <w:szCs w:val="32"/>
              </w:rPr>
              <w:t>对东部新区重点区域用地实施一次性收储整治，推进文旅产业融合综合体、东部新区高铁站前综合组团、商贸物流组团、两个山地康养度假组团、两个生态居住组团及城市森林公园组团建设，建设市政道路约10公里，配套建设停车场、公园、绿化、污水、电力等市政基础设施。</w:t>
            </w:r>
          </w:p>
          <w:p>
            <w:pPr>
              <w:overflowPunct w:val="0"/>
              <w:spacing w:line="400" w:lineRule="exact"/>
              <w:ind w:firstLine="482" w:firstLineChars="200"/>
              <w:rPr>
                <w:rFonts w:ascii="Times New Roman" w:hAnsi="Times New Roman" w:eastAsia="方正仿宋_GBK"/>
                <w:bCs/>
                <w:sz w:val="24"/>
                <w:szCs w:val="32"/>
              </w:rPr>
            </w:pPr>
            <w:r>
              <w:rPr>
                <w:rFonts w:ascii="Times New Roman" w:hAnsi="Times New Roman" w:eastAsia="方正仿宋_GBK"/>
                <w:b/>
                <w:sz w:val="24"/>
                <w:szCs w:val="32"/>
              </w:rPr>
              <w:t>房地产开发。</w:t>
            </w:r>
            <w:r>
              <w:rPr>
                <w:rFonts w:ascii="Times New Roman" w:hAnsi="Times New Roman" w:eastAsia="方正仿宋_GBK"/>
                <w:bCs/>
                <w:sz w:val="24"/>
                <w:szCs w:val="32"/>
              </w:rPr>
              <w:t>加快推进百年广场片区旅城一体化综合开发、观澜府、明浪御府、锦尚佳园等房地产开发项目，开工建设学府一号，开发50万平方米商住用房。</w:t>
            </w:r>
          </w:p>
          <w:p>
            <w:pPr>
              <w:overflowPunct w:val="0"/>
              <w:spacing w:line="400" w:lineRule="exact"/>
              <w:ind w:firstLine="482" w:firstLineChars="200"/>
              <w:rPr>
                <w:rFonts w:ascii="Times New Roman" w:hAnsi="Times New Roman" w:eastAsia="方正仿宋_GBK"/>
                <w:bCs/>
                <w:sz w:val="24"/>
                <w:szCs w:val="32"/>
              </w:rPr>
            </w:pPr>
            <w:r>
              <w:rPr>
                <w:rFonts w:ascii="Times New Roman" w:hAnsi="Times New Roman" w:eastAsia="方正仿宋_GBK"/>
                <w:b/>
                <w:sz w:val="24"/>
                <w:szCs w:val="32"/>
              </w:rPr>
              <w:t>老旧小区改造项目。</w:t>
            </w:r>
            <w:r>
              <w:rPr>
                <w:rFonts w:ascii="Times New Roman" w:hAnsi="Times New Roman" w:eastAsia="方正仿宋_GBK"/>
                <w:bCs/>
                <w:sz w:val="24"/>
                <w:szCs w:val="32"/>
              </w:rPr>
              <w:t>加快推进葛城街道滨河社区广场路片区、桂花井社区东大街片区、东方红社区北大街片区以及复兴街道太和社区、复兴路片区、观音堂路片区等16个片区城镇老旧小区改造，开展东、南大街片区老旧小区改造项目和土城片区老旧小区改造等项目，推进乡镇老旧场镇改造项目。</w:t>
            </w:r>
          </w:p>
          <w:p>
            <w:pPr>
              <w:overflowPunct w:val="0"/>
              <w:spacing w:line="400" w:lineRule="exact"/>
              <w:ind w:firstLine="482" w:firstLineChars="200"/>
              <w:rPr>
                <w:rFonts w:ascii="Times New Roman" w:hAnsi="Times New Roman" w:eastAsia="方正仿宋_GBK"/>
                <w:bCs/>
                <w:sz w:val="24"/>
                <w:szCs w:val="32"/>
              </w:rPr>
            </w:pPr>
            <w:r>
              <w:rPr>
                <w:rFonts w:ascii="Times New Roman" w:hAnsi="Times New Roman" w:eastAsia="方正仿宋_GBK"/>
                <w:b/>
                <w:sz w:val="24"/>
                <w:szCs w:val="32"/>
              </w:rPr>
              <w:t>城市园林景观建设项目。</w:t>
            </w:r>
            <w:r>
              <w:rPr>
                <w:rFonts w:ascii="Times New Roman" w:hAnsi="Times New Roman" w:eastAsia="方正仿宋_GBK"/>
                <w:bCs/>
                <w:sz w:val="24"/>
                <w:szCs w:val="32"/>
              </w:rPr>
              <w:t>推进建设城北公园、盐井潭公园、滨河公园、陈家山自然公园等10个公园，实施城区增绿补绿工程。</w:t>
            </w:r>
          </w:p>
          <w:p>
            <w:pPr>
              <w:overflowPunct w:val="0"/>
              <w:spacing w:line="400" w:lineRule="exact"/>
              <w:ind w:firstLine="482" w:firstLineChars="200"/>
              <w:rPr>
                <w:rFonts w:ascii="Times New Roman" w:hAnsi="Times New Roman" w:eastAsia="方正仿宋_GBK"/>
                <w:sz w:val="24"/>
              </w:rPr>
            </w:pPr>
            <w:r>
              <w:rPr>
                <w:rFonts w:ascii="Times New Roman" w:hAnsi="Times New Roman" w:eastAsia="方正仿宋_GBK"/>
                <w:b/>
                <w:sz w:val="24"/>
                <w:szCs w:val="32"/>
              </w:rPr>
              <w:t>城市功能完善项目。</w:t>
            </w:r>
            <w:r>
              <w:rPr>
                <w:rFonts w:ascii="Times New Roman" w:hAnsi="Times New Roman" w:eastAsia="方正仿宋_GBK"/>
                <w:bCs/>
                <w:sz w:val="24"/>
                <w:szCs w:val="32"/>
              </w:rPr>
              <w:t>新建北大街、东后街、木瓜坝、体育场片区、太和场等6个公共停车场，新增停车位1200个以上，建设垃圾综合处置场、</w:t>
            </w:r>
            <w:r>
              <w:rPr>
                <w:rFonts w:ascii="Times New Roman" w:hAnsi="Times New Roman" w:eastAsia="方正仿宋_GBK"/>
                <w:sz w:val="24"/>
              </w:rPr>
              <w:t>城区公厕改扩建</w:t>
            </w:r>
            <w:r>
              <w:rPr>
                <w:rFonts w:ascii="Times New Roman" w:hAnsi="Times New Roman" w:eastAsia="方正仿宋_GBK"/>
                <w:bCs/>
                <w:sz w:val="24"/>
                <w:szCs w:val="32"/>
              </w:rPr>
              <w:t>等项目</w:t>
            </w:r>
          </w:p>
        </w:tc>
      </w:tr>
    </w:tbl>
    <w:p>
      <w:pPr>
        <w:pStyle w:val="2"/>
        <w:overflowPunct w:val="0"/>
        <w:adjustRightInd w:val="0"/>
        <w:snapToGrid w:val="0"/>
        <w:spacing w:before="0" w:after="0" w:line="560" w:lineRule="exact"/>
        <w:jc w:val="center"/>
        <w:rPr>
          <w:rFonts w:ascii="Times New Roman" w:hAnsi="Times New Roman" w:eastAsia="方正黑体_GBK" w:cs="Times New Roman"/>
        </w:rPr>
      </w:pPr>
      <w:bookmarkStart w:id="1623" w:name="_Toc6058"/>
      <w:bookmarkStart w:id="1624" w:name="_Toc32315"/>
      <w:bookmarkStart w:id="1625" w:name="_Toc10730"/>
      <w:bookmarkStart w:id="1626" w:name="_Toc32055"/>
      <w:bookmarkStart w:id="1627" w:name="_Toc25134"/>
      <w:bookmarkStart w:id="1628" w:name="_Toc9619"/>
      <w:bookmarkStart w:id="1629" w:name="_Toc28187"/>
      <w:bookmarkStart w:id="1630" w:name="_Toc21497"/>
      <w:bookmarkStart w:id="1631" w:name="_Toc5355"/>
      <w:bookmarkStart w:id="1632" w:name="_Toc5741"/>
      <w:bookmarkStart w:id="1633" w:name="_Toc12161"/>
      <w:bookmarkStart w:id="1634" w:name="_Toc26313"/>
      <w:bookmarkStart w:id="1635" w:name="_Toc30618"/>
      <w:bookmarkStart w:id="1636" w:name="_Toc25416"/>
      <w:bookmarkStart w:id="1637" w:name="_Toc31623"/>
      <w:bookmarkStart w:id="1638" w:name="_Toc16101"/>
      <w:bookmarkStart w:id="1639" w:name="_Toc25806"/>
      <w:bookmarkStart w:id="1640" w:name="_Toc22358"/>
    </w:p>
    <w:p>
      <w:pPr>
        <w:pStyle w:val="2"/>
        <w:overflowPunct w:val="0"/>
        <w:adjustRightInd w:val="0"/>
        <w:snapToGrid w:val="0"/>
        <w:spacing w:before="0" w:after="0" w:line="560" w:lineRule="exact"/>
        <w:jc w:val="center"/>
        <w:rPr>
          <w:rFonts w:ascii="Times New Roman" w:hAnsi="Times New Roman" w:eastAsia="方正黑体_GBK" w:cs="Times New Roman"/>
        </w:rPr>
      </w:pPr>
      <w:r>
        <w:rPr>
          <w:rFonts w:ascii="Times New Roman" w:hAnsi="Times New Roman" w:eastAsia="方正黑体_GBK" w:cs="Times New Roman"/>
        </w:rPr>
        <w:t>第二十三章  构建城乡融合发展新机制</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畅通城乡要素自由流动的制度性通道，促进要素更多向乡村流动，在乡村形成各类要素汇聚的良性循环，加快推进城乡融合发展。</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641" w:name="_Toc18573"/>
      <w:bookmarkStart w:id="1642" w:name="_Toc2247"/>
      <w:bookmarkStart w:id="1643" w:name="_Toc17943"/>
      <w:bookmarkStart w:id="1644" w:name="_Toc3786"/>
      <w:bookmarkStart w:id="1645" w:name="_Toc27026"/>
      <w:bookmarkStart w:id="1646" w:name="_Toc31418"/>
      <w:bookmarkStart w:id="1647" w:name="_Toc14505"/>
      <w:bookmarkStart w:id="1648" w:name="_Toc157"/>
      <w:bookmarkStart w:id="1649" w:name="_Toc15909"/>
      <w:bookmarkStart w:id="1650" w:name="_Toc20152"/>
      <w:bookmarkStart w:id="1651" w:name="_Toc2425"/>
      <w:bookmarkStart w:id="1652" w:name="_Toc14572"/>
      <w:bookmarkStart w:id="1653" w:name="_Toc2235"/>
      <w:bookmarkStart w:id="1654" w:name="_Toc8758"/>
      <w:bookmarkStart w:id="1655" w:name="_Toc18141"/>
      <w:bookmarkStart w:id="1656" w:name="_Toc9776"/>
      <w:bookmarkStart w:id="1657" w:name="_Toc10471"/>
      <w:bookmarkStart w:id="1658" w:name="_Toc10544"/>
      <w:bookmarkStart w:id="1659" w:name="_Toc22906"/>
      <w:r>
        <w:rPr>
          <w:rFonts w:ascii="Times New Roman" w:hAnsi="Times New Roman" w:eastAsia="方正楷体_GBK"/>
          <w:b/>
          <w:sz w:val="32"/>
          <w:szCs w:val="32"/>
        </w:rPr>
        <w:t>第一节  全面深化农业农村改革</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overflowPunct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巩固和完善农村基本经营制度。全面落实农村承包地“三权”分置制度，探索宅基地所有权、资格权、使用权分置有效实现形式。保障进城落户农民土地承包权、宅基地使用权、集体收益分配权。加强农业供给侧改革和金融供给侧改革相结合，激活财政、金融杠杆，完善农村金融服务体系，激活生态资产。允许村集体在农民自愿前提下，依法把有偿收回的闲置宅基地、废弃的集体公益性建设用地转变为集体经营性建设用地入市，全面实施土地征收区片综合地价，完善建设用地使用权转让、出租、抵押二级市场。</w:t>
      </w:r>
    </w:p>
    <w:p>
      <w:pPr>
        <w:overflowPunct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sz w:val="32"/>
          <w:szCs w:val="32"/>
        </w:rPr>
        <w:t>深化农村集体产权制度改革。加快完成确权登记颁证工作，建立城乡统一的农村集体资产管理运营平台。探索成立多村农民合作社或多村联合社，促进村村合作、村企联手，做大做强做优集体经济组织。进一步完善利益联接机制，构建多种联接带动模式，筑牢产业发展基础，拓宽群众持续增收路子。加强风险防范，健全各方责权利相匹配、资产经营管理、财务会计、收益分配等制度，确保安全运行、保值增值。加强集体经济组织带头人队伍建设，提高懂经营、善管理、拓市场能力。持续深化“三社”融合发展，</w:t>
      </w:r>
      <w:r>
        <w:rPr>
          <w:rFonts w:ascii="Times New Roman" w:hAnsi="Times New Roman" w:eastAsia="方正仿宋_GBK"/>
          <w:bCs/>
          <w:sz w:val="32"/>
          <w:szCs w:val="32"/>
        </w:rPr>
        <w:t>加快培育农民合作社、家庭农场等新型农业经营主体，创新股权合作机制和农业经营模式，完善利益联结机制，实现小农户和现代农业有机衔接。</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660" w:name="_Toc9010"/>
      <w:bookmarkStart w:id="1661" w:name="_Toc3638"/>
      <w:bookmarkStart w:id="1662" w:name="_Toc22858"/>
      <w:bookmarkStart w:id="1663" w:name="_Toc16189"/>
      <w:bookmarkStart w:id="1664" w:name="_Toc29131"/>
      <w:bookmarkStart w:id="1665" w:name="_Toc14262"/>
      <w:bookmarkStart w:id="1666" w:name="_Toc29110"/>
      <w:bookmarkStart w:id="1667" w:name="_Toc12211"/>
      <w:bookmarkStart w:id="1668" w:name="_Toc32108"/>
      <w:bookmarkStart w:id="1669" w:name="_Toc6082"/>
      <w:bookmarkStart w:id="1670" w:name="_Toc7737"/>
      <w:bookmarkStart w:id="1671" w:name="_Toc12023"/>
      <w:bookmarkStart w:id="1672" w:name="_Toc30066"/>
      <w:bookmarkStart w:id="1673" w:name="_Toc16902"/>
      <w:bookmarkStart w:id="1674" w:name="_Toc9195"/>
      <w:bookmarkStart w:id="1675" w:name="_Toc7809"/>
      <w:bookmarkStart w:id="1676" w:name="_Toc13935"/>
      <w:bookmarkStart w:id="1677" w:name="_Toc32162"/>
      <w:r>
        <w:rPr>
          <w:rFonts w:ascii="Times New Roman" w:hAnsi="Times New Roman" w:eastAsia="方正楷体_GBK"/>
          <w:b/>
          <w:sz w:val="32"/>
          <w:szCs w:val="32"/>
        </w:rPr>
        <w:t>第二节  加强农业农村发展要素保障</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引导城乡人口双向流动。加快人口下山—进镇—入城步伐。立足城口战略“选商引智”，积极引导城市人才等生产要素流向农村。建立城乡、区域、校地之间人才培养合作与交流机制。全面建立城市医生教师、科技文化人员等定期服务乡村机制。允许农技人员通过提供增值服务合理取酬，全面实施农技推广服务特聘计划。实施新乡贤培育示范工程，培育壮大新乡贤队伍。依托城乡人口双向流动，合理配置乡村振兴人力资源。引导规划、建筑、园林等设计人员入乡。建立农村集体经济组织探索人才加入机制，吸引人才、留住人才。</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释放土地要素活力。开展全域土地综合整治试点，新增耕地和建设用地，重点用于农村产业融合发展；结余补充耕地和城乡建设用地增减挂钩用地指标用于支持县域经济社会发展。探索农村集体经济组织与社会资本合作，以地入股、以房联营，盘活利用闲置宅基地和农房，改造建设乡村旅游接待和活动场所、高端民宿。支持返乡下乡人员依托自有和闲置农房院落发展大巴山森林人家。探索“点供”、规划“留白”机制。充分用好用活土地要素，提升乡村振兴土地保障能力。</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强化资金投入保障力度。调整土地出让收入使用范围，提高农业农村投入比例。围绕农业农村领域补短板重大工程项目建设，加大地方政府债券、财政、金融、社会资本投资力度，扩大农业农村有效投资规模。支持引导工商资本和金融资本入乡发展，鼓励发展基于森林资源的绿色金融产品，探索生态产品价值实现机制。探索市场化方式设立城乡融合发展基金，引导社会资本培育城乡融合典型项目。探索在政府引导下工商资本与村集体合作共赢模式。创新农村集体经济运行机制，探索混合经营等多种实现形式。社会资本投资建设连片面积达到一定规模的高标准农田、生态公益林等，在符合规划等相关规定的前提下，允许利用一定比例的土地开展观光和休闲度假旅游、加工流通等经营活动。创新资金保障机制，加快形成乡村振兴多元投入格局。</w:t>
      </w:r>
    </w:p>
    <w:p>
      <w:pPr>
        <w:pStyle w:val="26"/>
        <w:overflowPunct w:val="0"/>
        <w:adjustRightInd w:val="0"/>
        <w:snapToGrid w:val="0"/>
        <w:spacing w:after="0" w:line="560" w:lineRule="exact"/>
        <w:ind w:leftChars="0" w:firstLine="0"/>
        <w:rPr>
          <w:rFonts w:ascii="Times New Roman" w:hAnsi="Times New Roman"/>
          <w:w w:val="90"/>
        </w:rPr>
      </w:pPr>
    </w:p>
    <w:p>
      <w:pPr>
        <w:overflowPunct w:val="0"/>
        <w:adjustRightInd w:val="0"/>
        <w:snapToGrid w:val="0"/>
        <w:spacing w:line="560" w:lineRule="exact"/>
        <w:jc w:val="center"/>
        <w:outlineLvl w:val="0"/>
        <w:rPr>
          <w:rFonts w:ascii="Times New Roman" w:hAnsi="Times New Roman" w:eastAsia="方正小标宋_GBK"/>
          <w:b/>
          <w:bCs/>
          <w:w w:val="90"/>
          <w:kern w:val="44"/>
          <w:sz w:val="36"/>
          <w:szCs w:val="36"/>
        </w:rPr>
      </w:pPr>
      <w:bookmarkStart w:id="1678" w:name="_Toc13761"/>
      <w:bookmarkStart w:id="1679" w:name="_Toc26417"/>
      <w:bookmarkStart w:id="1680" w:name="_Toc6860"/>
      <w:bookmarkStart w:id="1681" w:name="_Toc25957"/>
      <w:bookmarkStart w:id="1682" w:name="_Toc18335"/>
      <w:bookmarkStart w:id="1683" w:name="_Toc24556"/>
      <w:bookmarkStart w:id="1684" w:name="_Toc30326"/>
      <w:bookmarkStart w:id="1685" w:name="_Toc2360"/>
      <w:bookmarkStart w:id="1686" w:name="_Toc16895"/>
      <w:bookmarkStart w:id="1687" w:name="_Toc6990"/>
      <w:bookmarkStart w:id="1688" w:name="_Toc32490"/>
      <w:bookmarkStart w:id="1689" w:name="_Toc14967"/>
      <w:bookmarkStart w:id="1690" w:name="_Toc8718"/>
      <w:bookmarkStart w:id="1691" w:name="_Toc7165"/>
      <w:bookmarkStart w:id="1692" w:name="_Toc14791"/>
      <w:bookmarkStart w:id="1693" w:name="_Toc8633"/>
      <w:bookmarkStart w:id="1694" w:name="_Toc25303"/>
      <w:bookmarkStart w:id="1695" w:name="_Toc7470"/>
      <w:r>
        <w:rPr>
          <w:rFonts w:ascii="Times New Roman" w:hAnsi="Times New Roman" w:eastAsia="方正小标宋_GBK"/>
          <w:b/>
          <w:bCs/>
          <w:w w:val="90"/>
          <w:kern w:val="44"/>
          <w:sz w:val="36"/>
          <w:szCs w:val="36"/>
        </w:rPr>
        <w:t>第七篇  落实创新驱动发展战略  持续增强经济社会发展动力</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overflowPunct w:val="0"/>
        <w:adjustRightInd w:val="0"/>
        <w:snapToGrid w:val="0"/>
        <w:spacing w:line="560" w:lineRule="exact"/>
        <w:ind w:firstLine="640" w:firstLineChars="200"/>
        <w:rPr>
          <w:rFonts w:ascii="Times New Roman" w:hAnsi="Times New Roman" w:eastAsia="方正仿宋_GBK"/>
          <w:sz w:val="32"/>
          <w:szCs w:val="32"/>
        </w:rPr>
      </w:pP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把创新作为第一动力，强化创新在现代化建设全局中的核心地位，落实科技自立自强要求，深入推进以大数据智能化为引领的创新驱动发展战略和科教兴县、人才强县行动，着力建平台、聚资源、优生态，塑造经济增长新动能、创新驱动新模式、转型升级新引擎。</w:t>
      </w:r>
    </w:p>
    <w:p>
      <w:pPr>
        <w:pStyle w:val="2"/>
        <w:overflowPunct w:val="0"/>
        <w:adjustRightInd w:val="0"/>
        <w:snapToGrid w:val="0"/>
        <w:spacing w:before="0" w:after="0" w:line="560" w:lineRule="exact"/>
        <w:jc w:val="center"/>
        <w:rPr>
          <w:rFonts w:ascii="Times New Roman" w:hAnsi="Times New Roman" w:eastAsia="方正黑体_GBK" w:cs="Times New Roman"/>
        </w:rPr>
      </w:pPr>
      <w:bookmarkStart w:id="1696" w:name="_Toc3387"/>
      <w:bookmarkStart w:id="1697" w:name="_Toc21577"/>
      <w:bookmarkStart w:id="1698" w:name="_Toc29191"/>
      <w:bookmarkStart w:id="1699" w:name="_Toc2817"/>
      <w:bookmarkStart w:id="1700" w:name="_Toc13607"/>
      <w:bookmarkStart w:id="1701" w:name="_Toc30996"/>
      <w:bookmarkStart w:id="1702" w:name="_Toc12482"/>
      <w:bookmarkStart w:id="1703" w:name="_Toc29515"/>
      <w:bookmarkStart w:id="1704" w:name="_Toc1271"/>
      <w:bookmarkStart w:id="1705" w:name="_Toc14345"/>
      <w:bookmarkStart w:id="1706" w:name="_Toc27959"/>
      <w:bookmarkStart w:id="1707" w:name="_Toc2221"/>
      <w:bookmarkStart w:id="1708" w:name="_Toc27371"/>
      <w:bookmarkStart w:id="1709" w:name="_Toc29371"/>
      <w:bookmarkStart w:id="1710" w:name="_Toc23637"/>
      <w:bookmarkStart w:id="1711" w:name="_Toc14946"/>
      <w:bookmarkStart w:id="1712" w:name="_Toc14665"/>
      <w:bookmarkStart w:id="1713" w:name="_Toc10047"/>
      <w:r>
        <w:rPr>
          <w:rFonts w:ascii="Times New Roman" w:hAnsi="Times New Roman" w:eastAsia="方正黑体_GBK" w:cs="Times New Roman"/>
        </w:rPr>
        <w:t>第二十四章  加快培育创新力量</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强化科技战略力量与市场主体的统筹联动，强化创新链产业链协同，推动各类创新主体功能互补、良性互动、开放协同。</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714" w:name="_Toc13703"/>
      <w:bookmarkStart w:id="1715" w:name="_Toc7935"/>
      <w:bookmarkStart w:id="1716" w:name="_Toc29347"/>
      <w:bookmarkStart w:id="1717" w:name="_Toc3187"/>
      <w:bookmarkStart w:id="1718" w:name="_Toc6148"/>
      <w:bookmarkStart w:id="1719" w:name="_Toc18619"/>
      <w:bookmarkStart w:id="1720" w:name="_Toc27342"/>
      <w:bookmarkStart w:id="1721" w:name="_Toc6049"/>
      <w:bookmarkStart w:id="1722" w:name="_Toc27956"/>
      <w:bookmarkStart w:id="1723" w:name="_Toc10315"/>
      <w:bookmarkStart w:id="1724" w:name="_Toc21650"/>
      <w:bookmarkStart w:id="1725" w:name="_Toc12786"/>
      <w:bookmarkStart w:id="1726" w:name="_Toc28086"/>
      <w:bookmarkStart w:id="1727" w:name="_Toc19559"/>
      <w:bookmarkStart w:id="1728" w:name="_Toc3093"/>
      <w:bookmarkStart w:id="1729" w:name="_Toc5758"/>
      <w:bookmarkStart w:id="1730" w:name="_Toc29263"/>
      <w:bookmarkStart w:id="1731" w:name="_Toc30936"/>
      <w:r>
        <w:rPr>
          <w:rFonts w:ascii="Times New Roman" w:hAnsi="Times New Roman" w:eastAsia="方正楷体_GBK"/>
          <w:b/>
          <w:sz w:val="32"/>
          <w:szCs w:val="32"/>
        </w:rPr>
        <w:t>第一节  强化企业创新主体地位</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overflowPunct w:val="0"/>
        <w:adjustRightInd w:val="0"/>
        <w:snapToGrid w:val="0"/>
        <w:spacing w:line="560" w:lineRule="exact"/>
        <w:ind w:firstLine="640" w:firstLineChars="200"/>
        <w:rPr>
          <w:rFonts w:ascii="Times New Roman" w:hAnsi="Times New Roman" w:eastAsia="方正仿宋_GBK"/>
        </w:rPr>
      </w:pPr>
      <w:r>
        <w:rPr>
          <w:rFonts w:ascii="Times New Roman" w:hAnsi="Times New Roman" w:eastAsia="方正仿宋_GBK"/>
          <w:sz w:val="32"/>
          <w:szCs w:val="32"/>
        </w:rPr>
        <w:t>坚持企业主体、市场导向，健全产学研用深度融合的科技创新体系。实施科研投入提升行动，进一步加大科技创新资金在县级财政支出的比例，建立多元化科技投入机制，引导企业、科研机构等全面参与科技研发。实施科技企业成长行动，落实好税收优惠、创业补助、贷款贴息等扶持政策，集成人才、平台、资本、项目等创新要素，构建科技型企业培育链，持续开展创新型企业培育。大力培育引进创新型领军企业和细分领域优质企业，加快科技型企业集聚。依托市级智能化改造和数字化车间奖补政策，积极培育文创产业、数字经济、智能经济市场主体。鼓励企业加强与科研院所合作，推动科技型企业、高新技术企业和高成长性企业快速发展。实施国有企业创新驱动转型发展工程，发挥大企业和共性技术平台带动作用，推动产业链上中下游、大中小企业融通创新、协同发展。到2025年，科技型企业达到100家。</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732" w:name="_Toc16724"/>
      <w:bookmarkStart w:id="1733" w:name="_Toc6426"/>
      <w:bookmarkStart w:id="1734" w:name="_Toc7518"/>
      <w:bookmarkStart w:id="1735" w:name="_Toc5562"/>
      <w:bookmarkStart w:id="1736" w:name="_Toc11995"/>
      <w:bookmarkStart w:id="1737" w:name="_Toc17056"/>
      <w:bookmarkStart w:id="1738" w:name="_Toc17695"/>
      <w:bookmarkStart w:id="1739" w:name="_Toc14195"/>
      <w:bookmarkStart w:id="1740" w:name="_Toc3220"/>
      <w:bookmarkStart w:id="1741" w:name="_Toc21984"/>
      <w:bookmarkStart w:id="1742" w:name="_Toc27266"/>
      <w:bookmarkStart w:id="1743" w:name="_Toc12857"/>
      <w:bookmarkStart w:id="1744" w:name="_Toc21236"/>
      <w:bookmarkStart w:id="1745" w:name="_Toc4458"/>
      <w:bookmarkStart w:id="1746" w:name="_Toc9174"/>
      <w:bookmarkStart w:id="1747" w:name="_Toc31175"/>
      <w:bookmarkStart w:id="1748" w:name="_Toc16701"/>
      <w:bookmarkStart w:id="1749" w:name="_Toc3629"/>
      <w:r>
        <w:rPr>
          <w:rFonts w:ascii="Times New Roman" w:hAnsi="Times New Roman" w:eastAsia="方正楷体_GBK"/>
          <w:b/>
          <w:sz w:val="32"/>
          <w:szCs w:val="32"/>
        </w:rPr>
        <w:t>第二节  加强产学研创新平台建设</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overflowPunct w:val="0"/>
        <w:adjustRightInd w:val="0"/>
        <w:snapToGrid w:val="0"/>
        <w:spacing w:line="560" w:lineRule="exact"/>
        <w:ind w:firstLine="640" w:firstLineChars="200"/>
        <w:rPr>
          <w:rFonts w:ascii="Times New Roman" w:hAnsi="Times New Roman" w:eastAsia="方正黑体_GBK"/>
          <w:b/>
          <w:bCs/>
          <w:kern w:val="44"/>
          <w:sz w:val="32"/>
          <w:szCs w:val="32"/>
        </w:rPr>
      </w:pPr>
      <w:r>
        <w:rPr>
          <w:rFonts w:ascii="Times New Roman" w:hAnsi="Times New Roman" w:eastAsia="方正仿宋_GBK"/>
          <w:sz w:val="32"/>
          <w:szCs w:val="32"/>
        </w:rPr>
        <w:t>实施引进科技创新资源行动计划，大力引进知名高校、科研院所和优质企业入驻城口设立新型研发机构，推进优势特色产业技术研发、标准制（修）定、品牌打造、产品形态、商业模式、组织模式等产学研合作。实施科技平台建设服务行动，立足主导产业关键共性技术研发和创新链产业链构建，加快建立技术创新中心、智力输出推广中心，成果转化实验基地，增强技术创新能力水平，确保战略性新兴产业增加值占GDP比重、研究与实验发展经费支出占GDP比重逐年提高。到2025年，市级以上创新平台或新型研发机构达到10家。</w:t>
      </w:r>
    </w:p>
    <w:p>
      <w:pPr>
        <w:overflowPunct w:val="0"/>
        <w:adjustRightInd w:val="0"/>
        <w:snapToGrid w:val="0"/>
        <w:spacing w:line="560" w:lineRule="exact"/>
        <w:rPr>
          <w:rFonts w:ascii="Times New Roman" w:hAnsi="Times New Roman" w:eastAsia="方正黑体_GBK"/>
          <w:b/>
          <w:bCs/>
          <w:kern w:val="44"/>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750" w:name="_Toc8103"/>
      <w:bookmarkStart w:id="1751" w:name="_Toc26962"/>
      <w:bookmarkStart w:id="1752" w:name="_Toc21618"/>
      <w:bookmarkStart w:id="1753" w:name="_Toc19466"/>
      <w:bookmarkStart w:id="1754" w:name="_Toc7142"/>
      <w:bookmarkStart w:id="1755" w:name="_Toc9822"/>
      <w:bookmarkStart w:id="1756" w:name="_Toc22388"/>
      <w:bookmarkStart w:id="1757" w:name="_Toc20408"/>
      <w:bookmarkStart w:id="1758" w:name="_Toc31087"/>
      <w:bookmarkStart w:id="1759" w:name="_Toc32221"/>
      <w:bookmarkStart w:id="1760" w:name="_Toc32611"/>
      <w:bookmarkStart w:id="1761" w:name="_Toc9383"/>
      <w:bookmarkStart w:id="1762" w:name="_Toc6216"/>
      <w:bookmarkStart w:id="1763" w:name="_Toc8631"/>
      <w:bookmarkStart w:id="1764" w:name="_Toc32572"/>
      <w:bookmarkStart w:id="1765" w:name="_Toc16700"/>
      <w:bookmarkStart w:id="1766" w:name="_Toc8776"/>
      <w:bookmarkStart w:id="1767" w:name="_Toc3352"/>
      <w:r>
        <w:rPr>
          <w:rFonts w:ascii="Times New Roman" w:hAnsi="Times New Roman" w:eastAsia="方正黑体_GBK"/>
          <w:b/>
          <w:bCs/>
          <w:kern w:val="44"/>
          <w:sz w:val="32"/>
          <w:szCs w:val="32"/>
        </w:rPr>
        <w:t>第二十五章  激发人才创新活力</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贯彻尊重劳动、尊重知识、尊重人才、尊重创造方针，牢固确立人才引领发展的战略地位，深刻认识人才紧缺的资源现状，深化人才发展体制机制改革，建立与人才发展相适应的投入机制，实施人才强县战略，为实现生态优先绿色发展提供坚强的人才保证。</w:t>
      </w:r>
    </w:p>
    <w:p>
      <w:pPr>
        <w:overflowPunct w:val="0"/>
        <w:adjustRightInd w:val="0"/>
        <w:snapToGrid w:val="0"/>
        <w:spacing w:line="560" w:lineRule="exact"/>
        <w:ind w:firstLine="643" w:firstLineChars="200"/>
        <w:jc w:val="center"/>
        <w:rPr>
          <w:rFonts w:ascii="Times New Roman" w:hAnsi="Times New Roman" w:eastAsia="方正楷体_GBK"/>
          <w:b/>
          <w:sz w:val="32"/>
          <w:szCs w:val="32"/>
        </w:rPr>
      </w:pPr>
      <w:bookmarkStart w:id="1768" w:name="_Toc16886"/>
      <w:bookmarkStart w:id="1769" w:name="_Toc8648"/>
      <w:bookmarkStart w:id="1770" w:name="_Toc10354"/>
      <w:bookmarkStart w:id="1771" w:name="_Toc12934"/>
      <w:bookmarkStart w:id="1772" w:name="_Toc30265"/>
      <w:bookmarkStart w:id="1773" w:name="_Toc31076"/>
      <w:bookmarkStart w:id="1774" w:name="_Toc19033"/>
      <w:bookmarkStart w:id="1775" w:name="_Toc2529"/>
      <w:r>
        <w:rPr>
          <w:rFonts w:ascii="Times New Roman" w:hAnsi="Times New Roman" w:eastAsia="方正楷体_GBK"/>
          <w:b/>
          <w:sz w:val="32"/>
          <w:szCs w:val="32"/>
        </w:rPr>
        <w:t>第一节  培养造就高水平人才队伍</w:t>
      </w:r>
      <w:bookmarkEnd w:id="1768"/>
      <w:bookmarkEnd w:id="1769"/>
      <w:bookmarkEnd w:id="1770"/>
      <w:bookmarkEnd w:id="1771"/>
      <w:bookmarkEnd w:id="1772"/>
      <w:bookmarkEnd w:id="1773"/>
      <w:bookmarkEnd w:id="1774"/>
      <w:bookmarkEnd w:id="1775"/>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立足战略发展新格局，打造更加积极、更加灵活的引才育才生态。围绕生态优先当标杆、绿色发展当示范目标，紧扣重点产业、重点项目、重点学科，研究制定人才培养和引进的标准、路径和政策，加快引进和培育创新型、应用型、专业型人才。</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实施产业引领创新型人才培养工程，按照“一重点产业集群一批创新型人才”原则，加强引进和培育有理念、有实践、带技术、带项目、带资金的产业创新人才和重点团队，提高人才队伍与产业发展的融合度、匹配度，形成智力激活资源、人才引领产业的发展格局。实施应用型干部人才引进行动，更加客观、公平、效率配置人力资源，以机关、企事业单位用人需求为主，加大县外编制内应用型干部的引进力度，更加主动开展高校毕业生的机关事业单位招录工作，为服务经济社会发展提供应用型人才支撑。实施民生事业专业人才计划。按照“一行业领域一人才工程”的原则，以补短板、强弱项，提升医疗和教育保障能力为目标，重点实施“城口县百医人才培养工程”“城口县名师人才培养工程”，加强社会工作、农村实用人才、乡土人才、文化艺术等行业人才队伍建设，为推动高质量发展、创造高品质生活聚集素质优良、技术精湛的专业型人才。实施城口籍人才回引工程，制定符合制度要求，满足工作需求的引才政策，回引一批城口籍在外专业人才。实施“名校优生”引进计划，围绕全域旅游业发展、山地特色高效农业、战略性新兴服务业，吸引支持全日制普通高校本科以上毕业生在城口自主创业。</w:t>
      </w:r>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加大与大院名校共建创新载体力度，深入实施“校（院）企（地）人才合作”，建立健全高校科研院所、企业、政府三位一体的“政校企人才合作”长效机制。鼓励高层次人才通过兼职、咨询、讲学、科研和技术合作、技术入股、投资兴办企业或从事其他专业服务等各种“柔性”方式为城口公共主体服务。</w:t>
      </w:r>
      <w:bookmarkStart w:id="1776" w:name="_Toc2352"/>
      <w:bookmarkStart w:id="1777" w:name="_Toc3656"/>
      <w:bookmarkStart w:id="1778" w:name="_Toc7583"/>
      <w:bookmarkStart w:id="1779" w:name="_Toc22977"/>
      <w:bookmarkStart w:id="1780" w:name="_Toc10216"/>
      <w:bookmarkStart w:id="1781" w:name="_Toc9338"/>
      <w:bookmarkStart w:id="1782" w:name="_Toc9788"/>
    </w:p>
    <w:p>
      <w:pPr>
        <w:overflowPunct w:val="0"/>
        <w:adjustRightInd w:val="0"/>
        <w:snapToGrid w:val="0"/>
        <w:spacing w:line="560" w:lineRule="exact"/>
        <w:ind w:firstLine="643" w:firstLineChars="200"/>
        <w:jc w:val="center"/>
        <w:rPr>
          <w:rFonts w:ascii="Times New Roman" w:hAnsi="Times New Roman" w:eastAsia="方正楷体_GBK"/>
          <w:b/>
          <w:sz w:val="32"/>
          <w:szCs w:val="32"/>
        </w:rPr>
      </w:pPr>
      <w:r>
        <w:rPr>
          <w:rFonts w:ascii="Times New Roman" w:hAnsi="Times New Roman" w:eastAsia="方正楷体_GBK"/>
          <w:b/>
          <w:sz w:val="32"/>
          <w:szCs w:val="32"/>
        </w:rPr>
        <w:t>第二节  激励人才更好发挥作用</w:t>
      </w:r>
      <w:bookmarkEnd w:id="1776"/>
      <w:bookmarkEnd w:id="1777"/>
      <w:bookmarkEnd w:id="1778"/>
      <w:bookmarkEnd w:id="1779"/>
      <w:bookmarkEnd w:id="1780"/>
      <w:bookmarkEnd w:id="1781"/>
      <w:bookmarkEnd w:id="1782"/>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优化人才发展政策体系，打造更加完备、更加有效的用才留才生态。制定符合县域实际的人才认定及评价体系，推动人才认定及评价工作公开化、透明化，真正形成发展引才、人尽其才的良性发展。推动专业技术职称评聘，以专业素养为基础，以工作实绩论才干，构建充分体现知识、技术、实绩等要素价值的职称评聘机制。建立健全吸引、激励和留住各类人才在城口创新创业创造的体制机制。开展各类优秀人才的评选，完善党政领导联系人才制度，加大优秀人才奖励力度。健全人才保障体系，实施人才安居工程，优化人才服务，建立人才一站式服务站，为引入人才提供子女就学、住房、医疗等社会服务领域更优惠的政策保障。</w:t>
      </w:r>
    </w:p>
    <w:p>
      <w:pPr>
        <w:overflowPunct w:val="0"/>
        <w:adjustRightInd w:val="0"/>
        <w:snapToGrid w:val="0"/>
        <w:spacing w:line="560" w:lineRule="exact"/>
        <w:rPr>
          <w:rFonts w:ascii="Times New Roman" w:hAnsi="Times New Roman" w:eastAsia="方正黑体_GBK"/>
          <w:b/>
          <w:bCs/>
          <w:kern w:val="44"/>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783" w:name="_Toc25406"/>
      <w:bookmarkStart w:id="1784" w:name="_Toc9770"/>
      <w:bookmarkStart w:id="1785" w:name="_Toc1197"/>
      <w:bookmarkStart w:id="1786" w:name="_Toc10463"/>
      <w:bookmarkStart w:id="1787" w:name="_Toc18069"/>
      <w:bookmarkStart w:id="1788" w:name="_Toc1388"/>
      <w:bookmarkStart w:id="1789" w:name="_Toc31075"/>
      <w:bookmarkStart w:id="1790" w:name="_Toc15063"/>
      <w:bookmarkStart w:id="1791" w:name="_Toc26727"/>
      <w:bookmarkStart w:id="1792" w:name="_Toc28052"/>
      <w:bookmarkStart w:id="1793" w:name="_Toc10449"/>
      <w:bookmarkStart w:id="1794" w:name="_Toc21685"/>
      <w:bookmarkStart w:id="1795" w:name="_Toc23316"/>
      <w:bookmarkStart w:id="1796" w:name="_Toc23125"/>
      <w:bookmarkStart w:id="1797" w:name="_Toc12270"/>
      <w:bookmarkStart w:id="1798" w:name="_Toc14805"/>
      <w:bookmarkStart w:id="1799" w:name="_Toc1624"/>
      <w:bookmarkStart w:id="1800" w:name="_Toc7029"/>
      <w:r>
        <w:rPr>
          <w:rFonts w:ascii="Times New Roman" w:hAnsi="Times New Roman" w:eastAsia="方正黑体_GBK"/>
          <w:b/>
          <w:bCs/>
          <w:kern w:val="44"/>
          <w:sz w:val="32"/>
          <w:szCs w:val="32"/>
        </w:rPr>
        <w:t>第二十六章  完善科技创新机制</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深化落实新一轮全面创新改革，健全创新激励政策体系，营造鼓励创新创业创造的政策环境。</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801" w:name="_Toc13505"/>
      <w:bookmarkStart w:id="1802" w:name="_Toc18216"/>
      <w:bookmarkStart w:id="1803" w:name="_Toc16899"/>
      <w:bookmarkStart w:id="1804" w:name="_Toc8373"/>
      <w:bookmarkStart w:id="1805" w:name="_Toc18973"/>
      <w:bookmarkStart w:id="1806" w:name="_Toc10638"/>
      <w:bookmarkStart w:id="1807" w:name="_Toc17102"/>
      <w:bookmarkStart w:id="1808" w:name="_Toc23869"/>
      <w:bookmarkStart w:id="1809" w:name="_Toc31535"/>
      <w:bookmarkStart w:id="1810" w:name="_Toc10815"/>
      <w:bookmarkStart w:id="1811" w:name="_Toc18590"/>
      <w:bookmarkStart w:id="1812" w:name="_Toc10945"/>
      <w:bookmarkStart w:id="1813" w:name="_Toc27396"/>
      <w:bookmarkStart w:id="1814" w:name="_Toc29204"/>
      <w:bookmarkStart w:id="1815" w:name="_Toc31014"/>
      <w:bookmarkStart w:id="1816" w:name="_Toc11139"/>
      <w:bookmarkStart w:id="1817" w:name="_Toc1811"/>
      <w:bookmarkStart w:id="1818" w:name="_Toc8066"/>
      <w:r>
        <w:rPr>
          <w:rFonts w:ascii="Times New Roman" w:hAnsi="Times New Roman" w:eastAsia="方正楷体_GBK"/>
          <w:b/>
          <w:sz w:val="32"/>
          <w:szCs w:val="32"/>
        </w:rPr>
        <w:t>第一节  深化科技创新机制改革</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落实科技成果转化机制，推动完善科技成果使用、处置和收益管理制度。落实重点科技项目攻关“揭榜挂帅”机制，推动政策、项目、基地、人才、资金一体化配置。深化科研经费管理改革，实行科研项目经费“包干制”。落实知识产权创造、运用、交易、保护制度规则，提高科技成果转移转化成效。深化科研管理体制改革，着力转变科技行政管理方式，强化战略研究、规划制定、监督管理和统筹协调，委托第三方专业机构实施科技创新项目管理。</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819" w:name="_Toc25397"/>
      <w:bookmarkStart w:id="1820" w:name="_Toc32494"/>
      <w:bookmarkStart w:id="1821" w:name="_Toc3496"/>
      <w:bookmarkStart w:id="1822" w:name="_Toc26787"/>
      <w:bookmarkStart w:id="1823" w:name="_Toc32453"/>
      <w:bookmarkStart w:id="1824" w:name="_Toc17315"/>
      <w:bookmarkStart w:id="1825" w:name="_Toc26437"/>
      <w:bookmarkStart w:id="1826" w:name="_Toc4329"/>
      <w:bookmarkStart w:id="1827" w:name="_Toc8112"/>
      <w:bookmarkStart w:id="1828" w:name="_Toc24425"/>
      <w:bookmarkStart w:id="1829" w:name="_Toc3768"/>
      <w:bookmarkStart w:id="1830" w:name="_Toc28344"/>
      <w:bookmarkStart w:id="1831" w:name="_Toc18778"/>
      <w:bookmarkStart w:id="1832" w:name="_Toc18773"/>
      <w:bookmarkStart w:id="1833" w:name="_Toc32764"/>
      <w:bookmarkStart w:id="1834" w:name="_Toc31188"/>
      <w:bookmarkStart w:id="1835" w:name="_Toc8129"/>
      <w:bookmarkStart w:id="1836" w:name="_Toc34"/>
      <w:r>
        <w:rPr>
          <w:rFonts w:ascii="Times New Roman" w:hAnsi="Times New Roman" w:eastAsia="方正楷体_GBK"/>
          <w:b/>
          <w:sz w:val="32"/>
          <w:szCs w:val="32"/>
        </w:rPr>
        <w:t>第二节  完善协同创新机制</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构建以政府为创新支撑、以企业为创新主体、以高校和科研院所为创新平台的产学研协同创新机制，</w:t>
      </w:r>
      <w:r>
        <w:rPr>
          <w:rFonts w:ascii="Times New Roman" w:hAnsi="Times New Roman" w:eastAsia="方正仿宋_GBK"/>
          <w:bCs/>
          <w:sz w:val="32"/>
          <w:szCs w:val="32"/>
        </w:rPr>
        <w:t>分领域实施一批科技重大主题专项，</w:t>
      </w:r>
      <w:r>
        <w:rPr>
          <w:rFonts w:ascii="Times New Roman" w:hAnsi="Times New Roman" w:eastAsia="方正仿宋_GBK"/>
          <w:sz w:val="32"/>
          <w:szCs w:val="32"/>
        </w:rPr>
        <w:t>推进农业科技、畜牧科技、中药研究、新材料、“互联网+”等产业技术创新和产品研发。重点开展锰钡矿产资源综合利用研究与开发，推动锰钡新材料技术创新。</w:t>
      </w:r>
      <w:r>
        <w:rPr>
          <w:rFonts w:ascii="Times New Roman" w:hAnsi="Times New Roman" w:eastAsia="方正仿宋_GBK"/>
          <w:bCs/>
          <w:sz w:val="32"/>
          <w:szCs w:val="32"/>
        </w:rPr>
        <w:t>探索搭建主导产业技术联盟，完善市场化机制、专业化服务和资本化运作方式，推动技术创新合作，形成产业技术标准，实现知识产权共享，提升产业竞争力。</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837" w:name="_Toc19810"/>
      <w:bookmarkStart w:id="1838" w:name="_Toc8729"/>
      <w:bookmarkStart w:id="1839" w:name="_Toc23186"/>
      <w:bookmarkStart w:id="1840" w:name="_Toc30052"/>
      <w:bookmarkStart w:id="1841" w:name="_Toc2787"/>
      <w:bookmarkStart w:id="1842" w:name="_Toc22279"/>
      <w:bookmarkStart w:id="1843" w:name="_Toc29518"/>
      <w:bookmarkStart w:id="1844" w:name="_Toc14857"/>
      <w:bookmarkStart w:id="1845" w:name="_Toc15949"/>
      <w:bookmarkStart w:id="1846" w:name="_Toc17354"/>
      <w:bookmarkStart w:id="1847" w:name="_Toc30140"/>
      <w:bookmarkStart w:id="1848" w:name="_Toc15160"/>
      <w:bookmarkStart w:id="1849" w:name="_Toc22274"/>
      <w:bookmarkStart w:id="1850" w:name="_Toc32110"/>
      <w:bookmarkStart w:id="1851" w:name="_Toc13687"/>
      <w:bookmarkStart w:id="1852" w:name="_Toc12900"/>
      <w:bookmarkStart w:id="1853" w:name="_Toc15418"/>
      <w:bookmarkStart w:id="1854" w:name="_Toc4666"/>
      <w:r>
        <w:rPr>
          <w:rFonts w:ascii="Times New Roman" w:hAnsi="Times New Roman" w:eastAsia="方正楷体_GBK"/>
          <w:b/>
          <w:sz w:val="32"/>
          <w:szCs w:val="32"/>
        </w:rPr>
        <w:t>第三节  健全科技投融资体系</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健全政府投入为主、社会多渠道投入机制，发挥财政资金杠杆作用，运用普惠性政策，引导企业加大研发经费投入。稳定增加财政科技投入，加大县级财政对科技创新的支持力度。探索建立多层次创新创业投资基金，鼓励银行机构加强差异化信贷管理，支持开展知识产权质押融资、信用贷款、科技保险等金融创新业务。政府通过建立风险补偿金、配套财税政策等方式，对为科技型中小微企业提供融资和担保的金融机构，实行差异化财政激励政策。</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855" w:name="_Toc17317"/>
      <w:bookmarkStart w:id="1856" w:name="_Toc925"/>
      <w:bookmarkStart w:id="1857" w:name="_Toc9112"/>
      <w:bookmarkStart w:id="1858" w:name="_Toc8673"/>
      <w:bookmarkStart w:id="1859" w:name="_Toc21013"/>
      <w:bookmarkStart w:id="1860" w:name="_Toc20303"/>
      <w:bookmarkStart w:id="1861" w:name="_Toc32487"/>
      <w:bookmarkStart w:id="1862" w:name="_Toc13390"/>
      <w:bookmarkStart w:id="1863" w:name="_Toc24589"/>
      <w:bookmarkStart w:id="1864" w:name="_Toc6588"/>
      <w:bookmarkStart w:id="1865" w:name="_Toc24385"/>
      <w:bookmarkStart w:id="1866" w:name="_Toc9710"/>
      <w:bookmarkStart w:id="1867" w:name="_Toc938"/>
      <w:bookmarkStart w:id="1868" w:name="_Toc17898"/>
      <w:bookmarkStart w:id="1869" w:name="_Toc26348"/>
      <w:bookmarkStart w:id="1870" w:name="_Toc31068"/>
      <w:bookmarkStart w:id="1871" w:name="_Toc18522"/>
      <w:bookmarkStart w:id="1872" w:name="_Toc12338"/>
      <w:r>
        <w:rPr>
          <w:rFonts w:ascii="Times New Roman" w:hAnsi="Times New Roman" w:eastAsia="方正楷体_GBK"/>
          <w:b/>
          <w:sz w:val="32"/>
          <w:szCs w:val="32"/>
        </w:rPr>
        <w:t>第四节  优化创新创业创造生态</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动落实大孵化发展战略，打造高水平创业孵化平台。建立星创天地、众创空间、专家大院、科技孵化器等平台，完善“双创”科技服务功能，创新建立众创、众包、众扶、众筹等支撑平台，打造土城老街“两山”“两化”生态经济共创空间，完善孵化服务功能，打造共学、共创、共建、共享“四共”双创基地。加快建设支撑乡村文化发展的科技创新服务平台，引入和培育新型经营主体和新商业模式。强化产业技术政策引导与监管，推动企业从依靠资源能源竞争向依靠技术创新竞争转变，健全创业专业技术服务平台和“一站式”公共服务平台。弘扬科学精神和工匠精神，加强科普工作，大力营造崇尚创新的社会氛围。</w:t>
      </w:r>
    </w:p>
    <w:p>
      <w:pPr>
        <w:overflowPunct w:val="0"/>
        <w:adjustRightInd w:val="0"/>
        <w:snapToGrid w:val="0"/>
        <w:spacing w:line="560" w:lineRule="exact"/>
        <w:jc w:val="center"/>
        <w:outlineLvl w:val="0"/>
        <w:rPr>
          <w:rFonts w:ascii="Times New Roman" w:hAnsi="Times New Roman" w:eastAsia="方正小标宋_GBK"/>
          <w:b/>
          <w:bCs/>
          <w:kern w:val="44"/>
          <w:sz w:val="36"/>
          <w:szCs w:val="36"/>
        </w:rPr>
      </w:pPr>
      <w:bookmarkStart w:id="1873" w:name="_Toc11913"/>
      <w:bookmarkStart w:id="1874" w:name="_Toc19725"/>
      <w:bookmarkStart w:id="1875" w:name="_Toc29644"/>
      <w:bookmarkStart w:id="1876" w:name="_Toc10252"/>
      <w:bookmarkStart w:id="1877" w:name="_Toc19421"/>
      <w:bookmarkStart w:id="1878" w:name="_Toc59950086"/>
    </w:p>
    <w:p>
      <w:pPr>
        <w:numPr>
          <w:ilvl w:val="0"/>
          <w:numId w:val="1"/>
        </w:numPr>
        <w:overflowPunct w:val="0"/>
        <w:adjustRightInd w:val="0"/>
        <w:snapToGrid w:val="0"/>
        <w:spacing w:line="560" w:lineRule="exact"/>
        <w:jc w:val="center"/>
        <w:outlineLvl w:val="0"/>
        <w:rPr>
          <w:rFonts w:ascii="Times New Roman" w:hAnsi="Times New Roman" w:eastAsia="方正小标宋_GBK"/>
          <w:b/>
          <w:bCs/>
          <w:kern w:val="44"/>
          <w:sz w:val="36"/>
          <w:szCs w:val="36"/>
        </w:rPr>
      </w:pPr>
      <w:bookmarkStart w:id="1879" w:name="_Toc32434"/>
      <w:bookmarkStart w:id="1880" w:name="_Toc32757"/>
      <w:bookmarkStart w:id="1881" w:name="_Toc27047"/>
      <w:bookmarkStart w:id="1882" w:name="_Toc13991"/>
      <w:bookmarkStart w:id="1883" w:name="_Toc7086"/>
      <w:bookmarkStart w:id="1884" w:name="_Toc597"/>
      <w:bookmarkStart w:id="1885" w:name="_Toc2882"/>
      <w:bookmarkStart w:id="1886" w:name="_Toc31380"/>
      <w:bookmarkStart w:id="1887" w:name="_Toc3606"/>
      <w:bookmarkStart w:id="1888" w:name="_Toc23751"/>
      <w:bookmarkStart w:id="1889" w:name="_Toc5808"/>
      <w:bookmarkStart w:id="1890" w:name="_Toc8500"/>
      <w:bookmarkStart w:id="1891" w:name="_Toc24240"/>
      <w:r>
        <w:rPr>
          <w:rFonts w:ascii="Times New Roman" w:hAnsi="Times New Roman" w:eastAsia="方正小标宋_GBK"/>
          <w:b/>
          <w:bCs/>
          <w:kern w:val="44"/>
          <w:sz w:val="36"/>
          <w:szCs w:val="36"/>
        </w:rPr>
        <w:t>在更高起点推进全面深化改革  构建规范</w:t>
      </w:r>
      <w:bookmarkEnd w:id="1879"/>
      <w:bookmarkEnd w:id="1880"/>
      <w:bookmarkEnd w:id="1881"/>
      <w:bookmarkEnd w:id="1882"/>
      <w:bookmarkEnd w:id="1883"/>
      <w:bookmarkEnd w:id="1884"/>
      <w:bookmarkEnd w:id="1885"/>
      <w:bookmarkEnd w:id="1886"/>
      <w:bookmarkEnd w:id="1887"/>
    </w:p>
    <w:p>
      <w:pPr>
        <w:overflowPunct w:val="0"/>
        <w:adjustRightInd w:val="0"/>
        <w:snapToGrid w:val="0"/>
        <w:spacing w:line="560" w:lineRule="exact"/>
        <w:ind w:firstLine="2168" w:firstLineChars="600"/>
        <w:outlineLvl w:val="0"/>
        <w:rPr>
          <w:rFonts w:ascii="Times New Roman" w:hAnsi="Times New Roman" w:eastAsia="方正小标宋_GBK"/>
          <w:b/>
          <w:bCs/>
          <w:kern w:val="44"/>
          <w:sz w:val="36"/>
          <w:szCs w:val="36"/>
        </w:rPr>
      </w:pPr>
      <w:bookmarkStart w:id="1892" w:name="_Toc12291"/>
      <w:bookmarkStart w:id="1893" w:name="_Toc27762"/>
      <w:bookmarkStart w:id="1894" w:name="_Toc11734"/>
      <w:bookmarkStart w:id="1895" w:name="_Toc17635"/>
      <w:bookmarkStart w:id="1896" w:name="_Toc7025"/>
      <w:bookmarkStart w:id="1897" w:name="_Toc30138"/>
      <w:bookmarkStart w:id="1898" w:name="_Toc26610"/>
      <w:bookmarkStart w:id="1899" w:name="_Toc2597"/>
      <w:bookmarkStart w:id="1900" w:name="_Toc9868"/>
      <w:r>
        <w:rPr>
          <w:rFonts w:ascii="Times New Roman" w:hAnsi="Times New Roman" w:eastAsia="方正小标宋_GBK"/>
          <w:b/>
          <w:bCs/>
          <w:kern w:val="44"/>
          <w:sz w:val="36"/>
          <w:szCs w:val="36"/>
        </w:rPr>
        <w:t>有序的社会主义市场经济体制</w:t>
      </w:r>
      <w:bookmarkEnd w:id="1873"/>
      <w:bookmarkEnd w:id="1874"/>
      <w:bookmarkEnd w:id="1875"/>
      <w:bookmarkEnd w:id="1876"/>
      <w:bookmarkEnd w:id="187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overflowPunct w:val="0"/>
        <w:adjustRightInd w:val="0"/>
        <w:snapToGrid w:val="0"/>
        <w:spacing w:line="560" w:lineRule="exact"/>
        <w:rPr>
          <w:rFonts w:ascii="Times New Roman" w:hAnsi="Times New Roman" w:eastAsia="方正仿宋_GBK"/>
          <w:bCs/>
          <w:sz w:val="32"/>
          <w:szCs w:val="32"/>
        </w:rPr>
      </w:pPr>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坚持社会主义基本经济制度，充分发挥市场在资源配置中的决定性作用，深入推进重点领域和关键环节改革，着力在除障碍、建平台、聚资源、强机制上下功夫，更好发挥政府作用，推动有效市场和有为政府更好结合。</w:t>
      </w:r>
    </w:p>
    <w:p>
      <w:pPr>
        <w:overflowPunct w:val="0"/>
        <w:rPr>
          <w:rFonts w:ascii="Times New Roman" w:hAnsi="Times New Roman" w:eastAsia="方正黑体_GBK"/>
          <w:b/>
          <w:bCs/>
          <w:kern w:val="44"/>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901" w:name="_Toc25523"/>
      <w:bookmarkStart w:id="1902" w:name="_Toc17071"/>
      <w:bookmarkStart w:id="1903" w:name="_Toc3346"/>
      <w:bookmarkStart w:id="1904" w:name="_Toc17675"/>
      <w:bookmarkStart w:id="1905" w:name="_Toc11743"/>
      <w:bookmarkStart w:id="1906" w:name="_Toc23089"/>
      <w:bookmarkStart w:id="1907" w:name="_Toc26798"/>
      <w:bookmarkStart w:id="1908" w:name="_Toc23923"/>
      <w:bookmarkStart w:id="1909" w:name="_Toc19753"/>
      <w:bookmarkStart w:id="1910" w:name="_Toc11143"/>
      <w:bookmarkStart w:id="1911" w:name="_Toc28414"/>
      <w:bookmarkStart w:id="1912" w:name="_Toc28083"/>
      <w:bookmarkStart w:id="1913" w:name="_Toc1831"/>
      <w:bookmarkStart w:id="1914" w:name="_Toc30595"/>
      <w:bookmarkStart w:id="1915" w:name="_Toc32184"/>
      <w:bookmarkStart w:id="1916" w:name="_Toc20875"/>
      <w:bookmarkStart w:id="1917" w:name="_Toc6358"/>
      <w:bookmarkStart w:id="1918" w:name="_Toc22561"/>
      <w:r>
        <w:rPr>
          <w:rFonts w:ascii="Times New Roman" w:hAnsi="Times New Roman" w:eastAsia="方正黑体_GBK"/>
          <w:b/>
          <w:bCs/>
          <w:kern w:val="44"/>
          <w:sz w:val="32"/>
          <w:szCs w:val="32"/>
        </w:rPr>
        <w:t>第二十七章  激发各类市场主体活力</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53"/>
        <w:overflowPunct w:val="0"/>
        <w:adjustRightInd w:val="0"/>
        <w:snapToGrid w:val="0"/>
        <w:spacing w:line="560" w:lineRule="exact"/>
        <w:ind w:firstLine="640" w:firstLineChars="200"/>
        <w:jc w:val="both"/>
        <w:rPr>
          <w:rFonts w:ascii="Times New Roman" w:hAnsi="Times New Roman" w:eastAsia="方正仿宋_GBK" w:cs="Times New Roman"/>
          <w:sz w:val="32"/>
          <w:szCs w:val="32"/>
          <w:lang w:val="en-US" w:eastAsia="zh-CN" w:bidi="ar-SA"/>
        </w:rPr>
      </w:pPr>
      <w:r>
        <w:rPr>
          <w:rFonts w:ascii="Times New Roman" w:hAnsi="Times New Roman" w:eastAsia="方正仿宋_GBK" w:cs="Times New Roman"/>
          <w:sz w:val="32"/>
          <w:szCs w:val="32"/>
          <w:lang w:val="en-US" w:eastAsia="zh-CN" w:bidi="ar-SA"/>
        </w:rPr>
        <w:t>毫不动摇巩固和发展公有制经济，毫不动摇鼓励、支持、引导非公有制经济发展，促进各类市场主体发展壮大。</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919" w:name="_Toc22462"/>
      <w:bookmarkStart w:id="1920" w:name="_Toc32424"/>
      <w:bookmarkStart w:id="1921" w:name="_Toc22996"/>
      <w:bookmarkStart w:id="1922" w:name="_Toc336"/>
      <w:bookmarkStart w:id="1923" w:name="_Toc1614"/>
      <w:bookmarkStart w:id="1924" w:name="_Toc7383"/>
      <w:bookmarkStart w:id="1925" w:name="_Toc8460"/>
      <w:bookmarkStart w:id="1926" w:name="_Toc280"/>
      <w:bookmarkStart w:id="1927" w:name="_Toc10608"/>
      <w:bookmarkStart w:id="1928" w:name="_Toc20989"/>
      <w:bookmarkStart w:id="1929" w:name="_Toc3933"/>
      <w:bookmarkStart w:id="1930" w:name="_Toc31758"/>
      <w:bookmarkStart w:id="1931" w:name="_Toc4760"/>
      <w:bookmarkStart w:id="1932" w:name="_Toc21125"/>
      <w:bookmarkStart w:id="1933" w:name="_Toc407"/>
      <w:bookmarkStart w:id="1934" w:name="_Toc31580"/>
      <w:bookmarkStart w:id="1935" w:name="_Toc13494"/>
      <w:bookmarkStart w:id="1936" w:name="_Toc26538"/>
      <w:r>
        <w:rPr>
          <w:rFonts w:ascii="Times New Roman" w:hAnsi="Times New Roman" w:eastAsia="方正楷体_GBK"/>
          <w:b/>
          <w:sz w:val="32"/>
          <w:szCs w:val="32"/>
        </w:rPr>
        <w:t>第一节  深化国资国企改革</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overflowPunct w:val="0"/>
        <w:adjustRightInd w:val="0"/>
        <w:snapToGrid w:val="0"/>
        <w:spacing w:line="560" w:lineRule="exact"/>
        <w:ind w:firstLine="640" w:firstLineChars="200"/>
        <w:jc w:val="left"/>
        <w:rPr>
          <w:rFonts w:ascii="Times New Roman" w:hAnsi="Times New Roman" w:eastAsia="方正仿宋_GBK"/>
        </w:rPr>
      </w:pPr>
      <w:r>
        <w:rPr>
          <w:rFonts w:ascii="Times New Roman" w:hAnsi="Times New Roman" w:eastAsia="方正仿宋_GBK"/>
          <w:bCs/>
          <w:sz w:val="32"/>
          <w:szCs w:val="32"/>
        </w:rPr>
        <w:t>有力有序推进国企混合所有制改革，推动国有企业建立健全有效均衡的现代企业治理体系、高度市场化和灵活高效的现代企业经营机制、激励和约束并重的现代企业激励机制，推动国有企业经理层人员任期制和契约化管理，切实激发国有企业发展活力和内生动力。推动国有经济布局优化和结构调整，围绕服务国家、全市和全县发展战略，推动国有企业战略性重组和专业化整合。完善国有资产监管体制，充分发挥国有资本投资运营公司作用，推动国资监管从管企业向管资本转变，真正实现政企分开、政资分开。深化效率导向的国资经营评价制度改革。</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1937" w:name="_Toc13282"/>
      <w:bookmarkStart w:id="1938" w:name="_Toc31687"/>
      <w:bookmarkStart w:id="1939" w:name="_Toc31201"/>
      <w:bookmarkStart w:id="1940" w:name="_Toc8867"/>
      <w:bookmarkStart w:id="1941" w:name="_Toc27423"/>
      <w:bookmarkStart w:id="1942" w:name="_Toc9826"/>
      <w:bookmarkStart w:id="1943" w:name="_Toc8724"/>
      <w:bookmarkStart w:id="1944" w:name="_Toc25331"/>
      <w:bookmarkStart w:id="1945" w:name="_Toc29596"/>
      <w:bookmarkStart w:id="1946" w:name="_Toc2133"/>
      <w:bookmarkStart w:id="1947" w:name="_Toc27271"/>
      <w:bookmarkStart w:id="1948" w:name="_Toc1864"/>
      <w:bookmarkStart w:id="1949" w:name="_Toc15800"/>
      <w:bookmarkStart w:id="1950" w:name="_Toc13417"/>
      <w:bookmarkStart w:id="1951" w:name="_Toc29861"/>
      <w:bookmarkStart w:id="1952" w:name="_Toc11699"/>
      <w:bookmarkStart w:id="1953" w:name="_Toc32320"/>
      <w:bookmarkStart w:id="1954" w:name="_Toc3325"/>
      <w:r>
        <w:rPr>
          <w:rFonts w:ascii="Times New Roman" w:hAnsi="Times New Roman" w:eastAsia="方正楷体_GBK"/>
          <w:b/>
          <w:sz w:val="32"/>
          <w:szCs w:val="32"/>
        </w:rPr>
        <w:t>第二节  推动民营经济加快发展</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持续放开重点领域市场准入，坚决破除制约民营经济发展的各种壁垒，构建亲清新政商关系，营造依法平等获取资源要素、公开公平公正参与竞争的市场环境。畅通减税降费政策传导机制，持续降低民营企业成本费用。支持民营企业开展科技创新，加快数字化转型，推动“上云、上规、上市”。建立规范化常态化政企沟通机制，畅通民营企业反映问题和诉求的渠道。推动建立面向民营企业的救助补偿机制，缓解中小微企业和个体工商户发展困难。弘扬企业家精神，引导民营企业聚精会神办实业。搭建返乡创业综合服务平台，鼓励全民创新创业。健全平等保护的法治环境，保护民营企业和民营企业家合法权益。</w:t>
      </w:r>
    </w:p>
    <w:p>
      <w:pPr>
        <w:pStyle w:val="26"/>
        <w:overflowPunct w:val="0"/>
        <w:adjustRightInd w:val="0"/>
        <w:snapToGrid w:val="0"/>
        <w:spacing w:after="0" w:line="560" w:lineRule="exact"/>
        <w:ind w:leftChars="0"/>
        <w:rPr>
          <w:rFonts w:ascii="Times New Roman" w:hAnsi="Times New Roman"/>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955" w:name="_Toc573"/>
      <w:bookmarkStart w:id="1956" w:name="_Toc10615"/>
      <w:bookmarkStart w:id="1957" w:name="_Toc9182"/>
      <w:bookmarkStart w:id="1958" w:name="_Toc8387"/>
      <w:bookmarkStart w:id="1959" w:name="_Toc11678"/>
      <w:bookmarkStart w:id="1960" w:name="_Toc11579"/>
      <w:bookmarkStart w:id="1961" w:name="_Toc12715"/>
      <w:bookmarkStart w:id="1962" w:name="_Toc13317"/>
      <w:bookmarkStart w:id="1963" w:name="_Toc12527"/>
      <w:bookmarkStart w:id="1964" w:name="_Toc29797"/>
      <w:bookmarkStart w:id="1965" w:name="_Toc18226"/>
      <w:bookmarkStart w:id="1966" w:name="_Toc16656"/>
      <w:bookmarkStart w:id="1967" w:name="_Toc8739"/>
      <w:bookmarkStart w:id="1968" w:name="_Toc32354"/>
      <w:bookmarkStart w:id="1969" w:name="_Toc19159"/>
      <w:bookmarkStart w:id="1970" w:name="_Toc6287"/>
      <w:bookmarkStart w:id="1971" w:name="_Toc8321"/>
      <w:bookmarkStart w:id="1972" w:name="_Toc24229"/>
      <w:r>
        <w:rPr>
          <w:rFonts w:ascii="Times New Roman" w:hAnsi="Times New Roman" w:eastAsia="方正黑体_GBK"/>
          <w:b/>
          <w:bCs/>
          <w:kern w:val="44"/>
          <w:sz w:val="32"/>
          <w:szCs w:val="32"/>
        </w:rPr>
        <w:t>第二十八章  落实高质量发展政策体系</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overflowPunct w:val="0"/>
        <w:adjustRightInd w:val="0"/>
        <w:snapToGrid w:val="0"/>
        <w:spacing w:line="560" w:lineRule="exact"/>
        <w:ind w:firstLine="640" w:firstLineChars="200"/>
        <w:rPr>
          <w:rFonts w:ascii="Times New Roman" w:hAnsi="Times New Roman" w:eastAsia="方正楷体_GBK"/>
          <w:bCs/>
          <w:sz w:val="32"/>
          <w:szCs w:val="32"/>
        </w:rPr>
      </w:pPr>
      <w:r>
        <w:rPr>
          <w:rFonts w:ascii="Times New Roman" w:hAnsi="Times New Roman" w:eastAsia="方正仿宋_GBK"/>
          <w:bCs/>
          <w:sz w:val="32"/>
          <w:szCs w:val="32"/>
        </w:rPr>
        <w:t>发挥发展规划的战略导向作用，构建发展规划、财政、金融、产业、投资、消费等经济政策协同和工作协调机制。抓好经济有效管理，加强目标管理、运行管理、统计管理和风险管理。</w:t>
      </w:r>
      <w:r>
        <w:rPr>
          <w:rFonts w:ascii="Times New Roman" w:hAnsi="Times New Roman" w:eastAsia="方正仿宋_GBK"/>
          <w:sz w:val="32"/>
          <w:szCs w:val="32"/>
        </w:rPr>
        <w:t>加强财政预算与全县发展规划实施的衔接协调。围绕全县发展规划确定的重点任务，引导金融要素资源配置方向和结构。</w:t>
      </w:r>
      <w:r>
        <w:rPr>
          <w:rFonts w:ascii="Times New Roman" w:hAnsi="Times New Roman" w:eastAsia="方正仿宋_GBK"/>
          <w:bCs/>
          <w:sz w:val="32"/>
          <w:szCs w:val="32"/>
        </w:rPr>
        <w:t>推动产业政策向普惠化和功能性转型，加强招商引资政策协同，防止无序恶性竞争。完善促进投资结构优化和消费升级的政策措施。积极落实“一区两群”协调发展土地、人口、环境、社会等公共政策，实现加快发展。推进统计现代化改革。</w:t>
      </w:r>
    </w:p>
    <w:p>
      <w:pPr>
        <w:overflowPunct w:val="0"/>
        <w:rPr>
          <w:rFonts w:ascii="Times New Roman" w:hAnsi="Times New Roman" w:eastAsia="方正黑体_GBK"/>
          <w:b/>
          <w:bCs/>
          <w:kern w:val="44"/>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973" w:name="_Toc5340"/>
      <w:bookmarkStart w:id="1974" w:name="_Toc8220"/>
      <w:bookmarkStart w:id="1975" w:name="_Toc32697"/>
      <w:bookmarkStart w:id="1976" w:name="_Toc28542"/>
      <w:bookmarkStart w:id="1977" w:name="_Toc8116"/>
      <w:bookmarkStart w:id="1978" w:name="_Toc18022"/>
      <w:bookmarkStart w:id="1979" w:name="_Toc6721"/>
      <w:bookmarkStart w:id="1980" w:name="_Toc21740"/>
      <w:bookmarkStart w:id="1981" w:name="_Toc22725"/>
      <w:bookmarkStart w:id="1982" w:name="_Toc32171"/>
      <w:bookmarkStart w:id="1983" w:name="_Toc12651"/>
      <w:bookmarkStart w:id="1984" w:name="_Toc4380"/>
      <w:bookmarkStart w:id="1985" w:name="_Toc17901"/>
      <w:bookmarkStart w:id="1986" w:name="_Toc13799"/>
      <w:bookmarkStart w:id="1987" w:name="_Toc12106"/>
      <w:bookmarkStart w:id="1988" w:name="_Toc2945"/>
      <w:bookmarkStart w:id="1989" w:name="_Toc25454"/>
      <w:bookmarkStart w:id="1990" w:name="_Toc2025"/>
      <w:r>
        <w:rPr>
          <w:rFonts w:ascii="Times New Roman" w:hAnsi="Times New Roman" w:eastAsia="方正黑体_GBK"/>
          <w:b/>
          <w:bCs/>
          <w:kern w:val="44"/>
          <w:sz w:val="32"/>
          <w:szCs w:val="32"/>
        </w:rPr>
        <w:t>第二十九章  落实现代财税金融体制</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53"/>
        <w:overflowPunct w:val="0"/>
        <w:adjustRightInd w:val="0"/>
        <w:snapToGrid w:val="0"/>
        <w:spacing w:line="560" w:lineRule="exact"/>
        <w:ind w:firstLine="640" w:firstLineChars="200"/>
        <w:jc w:val="both"/>
        <w:rPr>
          <w:rFonts w:ascii="Times New Roman" w:hAnsi="Times New Roman" w:eastAsia="方正仿宋_GBK" w:cs="Times New Roman"/>
          <w:bCs/>
          <w:kern w:val="0"/>
          <w:sz w:val="32"/>
          <w:szCs w:val="32"/>
          <w:lang w:eastAsia="zh-CN"/>
        </w:rPr>
      </w:pPr>
      <w:r>
        <w:rPr>
          <w:rFonts w:ascii="Times New Roman" w:hAnsi="Times New Roman" w:eastAsia="方正仿宋_GBK" w:cs="Times New Roman"/>
          <w:bCs/>
          <w:sz w:val="32"/>
          <w:szCs w:val="32"/>
          <w:lang w:eastAsia="zh-CN"/>
        </w:rPr>
        <w:t>加强财政资源统筹，完善政府性基金预算、国有资本经营预算与一般公共预算衔接机制，增强对全县重点任务实施的支撑保障能力。健全预算管理制度，全面推进预算绩效管理，严格预算控制，逐步建立全面规范透明、标准科学、约束有力的预算制度。落实市与县财政事权和支出责任，争取转移支付政策，增强公共服务保障能力。主动配合加快地方税体系建设，培育壮大地方税税源，深化非税收入收缴管理改革，巩固和拓展减税降费成效，持续推动企业降本减负。加强风险防控，深化政府债务管理制度改革。健全财政金融联动机制。</w:t>
      </w:r>
    </w:p>
    <w:p>
      <w:pPr>
        <w:overflowPunct w:val="0"/>
        <w:rPr>
          <w:rFonts w:ascii="Times New Roman" w:hAnsi="Times New Roman" w:eastAsia="方正黑体_GBK"/>
          <w:b/>
          <w:bCs/>
          <w:kern w:val="44"/>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1991" w:name="_Toc12450"/>
      <w:bookmarkStart w:id="1992" w:name="_Toc30982"/>
      <w:bookmarkStart w:id="1993" w:name="_Toc22256"/>
      <w:bookmarkStart w:id="1994" w:name="_Toc8627"/>
      <w:bookmarkStart w:id="1995" w:name="_Toc23648"/>
      <w:bookmarkStart w:id="1996" w:name="_Toc24502"/>
      <w:bookmarkStart w:id="1997" w:name="_Toc15469"/>
      <w:bookmarkStart w:id="1998" w:name="_Toc575"/>
      <w:bookmarkStart w:id="1999" w:name="_Toc6451"/>
      <w:bookmarkStart w:id="2000" w:name="_Toc26336"/>
      <w:bookmarkStart w:id="2001" w:name="_Toc2382"/>
      <w:bookmarkStart w:id="2002" w:name="_Toc13011"/>
      <w:bookmarkStart w:id="2003" w:name="_Toc10781"/>
      <w:bookmarkStart w:id="2004" w:name="_Toc30738"/>
      <w:bookmarkStart w:id="2005" w:name="_Toc28940"/>
      <w:bookmarkStart w:id="2006" w:name="_Toc2356"/>
      <w:bookmarkStart w:id="2007" w:name="_Toc27691"/>
      <w:bookmarkStart w:id="2008" w:name="_Toc6736"/>
      <w:r>
        <w:rPr>
          <w:rFonts w:ascii="Times New Roman" w:hAnsi="Times New Roman" w:eastAsia="方正黑体_GBK"/>
          <w:b/>
          <w:bCs/>
          <w:kern w:val="44"/>
          <w:sz w:val="32"/>
          <w:szCs w:val="32"/>
        </w:rPr>
        <w:t>第三十章  建设高标准市场体系</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bCs/>
          <w:sz w:val="32"/>
          <w:szCs w:val="32"/>
        </w:rPr>
        <w:t>坚持平等准入、公正监管、开放有序、诚信守法，落实高标准市场体系建设行动，聚焦要素市场化配置，</w:t>
      </w:r>
      <w:r>
        <w:rPr>
          <w:rFonts w:ascii="Times New Roman" w:hAnsi="Times New Roman" w:eastAsia="方正仿宋_GBK"/>
          <w:sz w:val="32"/>
          <w:szCs w:val="32"/>
        </w:rPr>
        <w:t>建设统一开放、竞争有序、制度完备、治理完善的高标准市场体系。</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009" w:name="_Toc30121"/>
      <w:bookmarkStart w:id="2010" w:name="_Toc29031"/>
      <w:bookmarkStart w:id="2011" w:name="_Toc17053"/>
      <w:bookmarkStart w:id="2012" w:name="_Toc4182"/>
      <w:bookmarkStart w:id="2013" w:name="_Toc6993"/>
      <w:bookmarkStart w:id="2014" w:name="_Toc9114"/>
      <w:bookmarkStart w:id="2015" w:name="_Toc4116"/>
      <w:bookmarkStart w:id="2016" w:name="_Toc32483"/>
      <w:bookmarkStart w:id="2017" w:name="_Toc26343"/>
      <w:bookmarkStart w:id="2018" w:name="_Toc23620"/>
      <w:bookmarkStart w:id="2019" w:name="_Toc22238"/>
      <w:bookmarkStart w:id="2020" w:name="_Toc8408"/>
      <w:bookmarkStart w:id="2021" w:name="_Toc2973"/>
      <w:bookmarkStart w:id="2022" w:name="_Toc9258"/>
      <w:bookmarkStart w:id="2023" w:name="_Toc1037"/>
      <w:bookmarkStart w:id="2024" w:name="_Toc6795"/>
      <w:bookmarkStart w:id="2025" w:name="_Toc4265"/>
      <w:bookmarkStart w:id="2026" w:name="_Toc8834"/>
      <w:r>
        <w:rPr>
          <w:rFonts w:ascii="Times New Roman" w:hAnsi="Times New Roman" w:eastAsia="方正楷体_GBK"/>
          <w:b/>
          <w:sz w:val="32"/>
          <w:szCs w:val="32"/>
        </w:rPr>
        <w:t>第一节  夯实市场经济基础性制度</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53"/>
        <w:overflowPunct w:val="0"/>
        <w:adjustRightInd w:val="0"/>
        <w:snapToGrid w:val="0"/>
        <w:spacing w:line="560" w:lineRule="exact"/>
        <w:ind w:firstLine="640" w:firstLineChars="200"/>
        <w:jc w:val="both"/>
        <w:rPr>
          <w:rFonts w:ascii="Times New Roman" w:hAnsi="Times New Roman" w:eastAsia="方正仿宋_GBK" w:cs="Times New Roman"/>
          <w:sz w:val="32"/>
          <w:szCs w:val="32"/>
          <w:lang w:val="en-US" w:eastAsia="zh-CN" w:bidi="ar-SA"/>
        </w:rPr>
      </w:pPr>
      <w:r>
        <w:rPr>
          <w:rFonts w:ascii="Times New Roman" w:hAnsi="Times New Roman" w:eastAsia="方正仿宋_GBK" w:cs="Times New Roman"/>
          <w:sz w:val="32"/>
          <w:szCs w:val="32"/>
          <w:lang w:val="en-US" w:eastAsia="zh-CN" w:bidi="ar-SA"/>
        </w:rPr>
        <w:t>落实归属清晰、权责明确、保护严格、流转顺畅的现代产权制度。加强产权激励，依法平等保护各类产权。深化自然资源资产、农村集体产权、知识产权等产权改革，健全产权执法司法保护机制，实施统一的市场准入负面清单制度，推动“非禁即入”普遍落实。落实竞争政策实施机制，强化公平竞争审查制度刚性约束。强化反垄断和防止资本无序扩张。加强企业商业秘密保护。</w:t>
      </w:r>
      <w:r>
        <w:rPr>
          <w:rFonts w:ascii="Times New Roman" w:hAnsi="Times New Roman" w:eastAsia="方正仿宋_GBK" w:cs="Times New Roman"/>
          <w:sz w:val="32"/>
          <w:szCs w:val="32"/>
          <w:lang w:eastAsia="zh-CN"/>
        </w:rPr>
        <w:t>加强市场领域执法司法，提升市场综合监管能力。</w:t>
      </w:r>
      <w:r>
        <w:rPr>
          <w:rFonts w:ascii="Times New Roman" w:hAnsi="Times New Roman" w:eastAsia="方正仿宋_GBK" w:cs="Times New Roman"/>
          <w:sz w:val="32"/>
          <w:szCs w:val="32"/>
          <w:lang w:val="en-US" w:eastAsia="zh-CN" w:bidi="ar-SA"/>
        </w:rPr>
        <w:t>推进公用事业等行业竞争性环节市场化改革。完善重要民生商品价格调控机制，保障市场供应和价格总体平稳。</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027" w:name="_Toc3298"/>
      <w:bookmarkStart w:id="2028" w:name="_Toc18271"/>
      <w:bookmarkStart w:id="2029" w:name="_Toc7001"/>
      <w:bookmarkStart w:id="2030" w:name="_Toc17749"/>
      <w:bookmarkStart w:id="2031" w:name="_Toc26014"/>
      <w:bookmarkStart w:id="2032" w:name="_Toc18491"/>
      <w:bookmarkStart w:id="2033" w:name="_Toc13178"/>
      <w:bookmarkStart w:id="2034" w:name="_Toc19669"/>
      <w:bookmarkStart w:id="2035" w:name="_Toc11040"/>
      <w:bookmarkStart w:id="2036" w:name="_Toc7631"/>
      <w:bookmarkStart w:id="2037" w:name="_Toc8905"/>
      <w:bookmarkStart w:id="2038" w:name="_Toc17829"/>
      <w:bookmarkStart w:id="2039" w:name="_Toc12496"/>
      <w:bookmarkStart w:id="2040" w:name="_Toc24953"/>
      <w:bookmarkStart w:id="2041" w:name="_Toc16863"/>
      <w:bookmarkStart w:id="2042" w:name="_Toc13446"/>
      <w:bookmarkStart w:id="2043" w:name="_Toc4791"/>
      <w:bookmarkStart w:id="2044" w:name="_Toc4106"/>
      <w:r>
        <w:rPr>
          <w:rFonts w:ascii="Times New Roman" w:hAnsi="Times New Roman" w:eastAsia="方正楷体_GBK"/>
          <w:b/>
          <w:sz w:val="32"/>
          <w:szCs w:val="32"/>
        </w:rPr>
        <w:t>第二节  完善市场化要素配置机制</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53"/>
        <w:overflowPunct w:val="0"/>
        <w:adjustRightInd w:val="0"/>
        <w:snapToGrid w:val="0"/>
        <w:spacing w:line="560" w:lineRule="exact"/>
        <w:ind w:firstLine="640" w:firstLineChars="200"/>
        <w:jc w:val="both"/>
        <w:rPr>
          <w:rFonts w:ascii="Times New Roman" w:hAnsi="Times New Roman" w:eastAsia="方正仿宋_GBK" w:cs="Times New Roman"/>
          <w:sz w:val="32"/>
          <w:szCs w:val="32"/>
          <w:lang w:val="en-US" w:eastAsia="zh-CN" w:bidi="ar-SA"/>
        </w:rPr>
      </w:pPr>
      <w:r>
        <w:rPr>
          <w:rFonts w:ascii="Times New Roman" w:hAnsi="Times New Roman" w:eastAsia="方正仿宋_GBK" w:cs="Times New Roman"/>
          <w:bCs/>
          <w:sz w:val="32"/>
          <w:szCs w:val="32"/>
          <w:lang w:eastAsia="zh-CN"/>
        </w:rPr>
        <w:t>推动土地、劳动力、资本、技术、数据等要素市场改革，促进要素自主有序流动，提高要素配置效率。</w:t>
      </w:r>
      <w:r>
        <w:rPr>
          <w:rFonts w:ascii="Times New Roman" w:hAnsi="Times New Roman" w:eastAsia="方正仿宋_GBK" w:cs="Times New Roman"/>
          <w:sz w:val="32"/>
          <w:szCs w:val="32"/>
          <w:lang w:val="en-US" w:eastAsia="zh-CN" w:bidi="ar-SA"/>
        </w:rPr>
        <w:t>深化土地管理制度改革，落实脱贫地区建设用地增减挂钩节余指标和工矿废弃地复垦利用节余指标交易。加强对土地规划整体布局，统一报批、征收，分类供应。积极探索集体建设用地入市政策，确保各类项目顺利落地。健全统一规范的人力资源市场体系，畅通劳动力和人才流动渠道。继续深化公共资源交易监督管理改革。</w:t>
      </w:r>
      <w:r>
        <w:rPr>
          <w:rFonts w:ascii="Times New Roman" w:hAnsi="Times New Roman" w:eastAsia="方正仿宋_GBK" w:cs="Times New Roman"/>
          <w:bCs/>
          <w:sz w:val="32"/>
          <w:szCs w:val="32"/>
          <w:lang w:eastAsia="zh-CN"/>
        </w:rPr>
        <w:t>落实“云长制”，统筹推动管云、管数、管用，加快建设政务数据统一共享开放平台，推动数据高效汇聚、顺畅融通、开放共享和安全运行。</w:t>
      </w:r>
    </w:p>
    <w:p>
      <w:pPr>
        <w:pStyle w:val="26"/>
        <w:overflowPunct w:val="0"/>
        <w:adjustRightInd w:val="0"/>
        <w:snapToGrid w:val="0"/>
        <w:spacing w:after="0" w:line="560" w:lineRule="exact"/>
        <w:ind w:leftChars="0"/>
        <w:rPr>
          <w:rFonts w:ascii="Times New Roman" w:hAnsi="Times New Roman"/>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2045" w:name="_Toc26731"/>
      <w:bookmarkStart w:id="2046" w:name="_Toc4153"/>
      <w:bookmarkStart w:id="2047" w:name="_Toc32263"/>
      <w:bookmarkStart w:id="2048" w:name="_Toc17962"/>
      <w:bookmarkStart w:id="2049" w:name="_Toc27572"/>
      <w:bookmarkStart w:id="2050" w:name="_Toc18207"/>
      <w:bookmarkStart w:id="2051" w:name="_Toc26186"/>
      <w:bookmarkStart w:id="2052" w:name="_Toc14627"/>
      <w:bookmarkStart w:id="2053" w:name="_Toc3198"/>
      <w:bookmarkStart w:id="2054" w:name="_Toc29944"/>
      <w:bookmarkStart w:id="2055" w:name="_Toc2169"/>
      <w:bookmarkStart w:id="2056" w:name="_Toc23441"/>
      <w:bookmarkStart w:id="2057" w:name="_Toc14748"/>
      <w:bookmarkStart w:id="2058" w:name="_Toc21857"/>
      <w:bookmarkStart w:id="2059" w:name="_Toc12102"/>
      <w:bookmarkStart w:id="2060" w:name="_Toc16130"/>
      <w:bookmarkStart w:id="2061" w:name="_Toc9177"/>
      <w:bookmarkStart w:id="2062" w:name="_Toc23970"/>
      <w:r>
        <w:rPr>
          <w:rFonts w:ascii="Times New Roman" w:hAnsi="Times New Roman" w:eastAsia="方正黑体_GBK"/>
          <w:b/>
          <w:bCs/>
          <w:kern w:val="44"/>
          <w:sz w:val="32"/>
          <w:szCs w:val="32"/>
        </w:rPr>
        <w:t>第三十一章  持续优化营商环境</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聚焦企业全生命周期服务，对照中国营商环境评价指标体系，进一步打造市场化、法治化、国际化营商环境。</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063" w:name="_Toc23181"/>
      <w:bookmarkStart w:id="2064" w:name="_Toc2433"/>
      <w:bookmarkStart w:id="2065" w:name="_Toc29311"/>
      <w:bookmarkStart w:id="2066" w:name="_Toc20778"/>
      <w:bookmarkStart w:id="2067" w:name="_Toc18888"/>
      <w:bookmarkStart w:id="2068" w:name="_Toc17117"/>
      <w:bookmarkStart w:id="2069" w:name="_Toc7808"/>
      <w:bookmarkStart w:id="2070" w:name="_Toc3433"/>
      <w:bookmarkStart w:id="2071" w:name="_Toc18534"/>
      <w:bookmarkStart w:id="2072" w:name="_Toc10671"/>
      <w:bookmarkStart w:id="2073" w:name="_Toc24857"/>
      <w:bookmarkStart w:id="2074" w:name="_Toc23931"/>
      <w:bookmarkStart w:id="2075" w:name="_Toc8311"/>
      <w:bookmarkStart w:id="2076" w:name="_Toc2613"/>
      <w:bookmarkStart w:id="2077" w:name="_Toc17972"/>
      <w:bookmarkStart w:id="2078" w:name="_Toc16363"/>
      <w:bookmarkStart w:id="2079" w:name="_Toc27929"/>
      <w:bookmarkStart w:id="2080" w:name="_Toc11999"/>
      <w:r>
        <w:rPr>
          <w:rFonts w:ascii="Times New Roman" w:hAnsi="Times New Roman" w:eastAsia="方正楷体_GBK"/>
          <w:b/>
          <w:sz w:val="32"/>
          <w:szCs w:val="32"/>
        </w:rPr>
        <w:t>第一节  加快转变政府职能</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深入推进简政放权、放管结合、优化服务改革，建设人民满意的服务型政府，构建职责明确、依法行政的政府治理体系。全面实行政府权责清单制度。推进重大政策科学决策、审慎决策，实行事前评估和事后评价。深化“证照分离”改革，大力推进“照后减证”，实施涉企经营许可事项清单管理，落实企业强制退出机制。创新行政管理和服务方式，深入开展“互联网+政务服务”，提升“渝快办”“渝快政”效能，最大限度精简行政审批事项和环节，推行“最多跑一次”改革，发布“零跑腿”事项清单，推进政务服务标准化、规范化、便利化。利用互联网、大数据、人工智能等技术手段建立智慧型政府，各行政部门数据实现整合共享。深化投资项目审批制度改革，完善并联审批、超期默认制、告知承诺制等制度。提高市场综合监管能力。对新产业新业态新模式实行包容审慎监管。</w:t>
      </w:r>
    </w:p>
    <w:p>
      <w:pPr>
        <w:overflowPunct w:val="0"/>
        <w:spacing w:line="480" w:lineRule="exact"/>
        <w:jc w:val="center"/>
        <w:rPr>
          <w:rFonts w:ascii="Times New Roman" w:hAnsi="Times New Roman" w:eastAsia="方正黑体_GBK"/>
          <w:sz w:val="28"/>
          <w:szCs w:val="28"/>
        </w:rPr>
      </w:pPr>
      <w:r>
        <w:rPr>
          <w:rFonts w:ascii="Times New Roman" w:hAnsi="Times New Roman" w:eastAsia="方正黑体_GBK"/>
          <w:sz w:val="28"/>
          <w:szCs w:val="28"/>
        </w:rPr>
        <w:t>专栏17  政务服务重点项目</w:t>
      </w:r>
    </w:p>
    <w:tbl>
      <w:tblPr>
        <w:tblStyle w:val="2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0" w:firstLineChars="200"/>
              <w:rPr>
                <w:rFonts w:ascii="Times New Roman" w:hAnsi="Times New Roman"/>
              </w:rPr>
            </w:pPr>
            <w:r>
              <w:rPr>
                <w:rFonts w:ascii="Times New Roman" w:hAnsi="Times New Roman" w:eastAsia="方正仿宋_GBK"/>
                <w:bCs/>
                <w:sz w:val="24"/>
                <w:szCs w:val="32"/>
              </w:rPr>
              <w:t>完善乡、村政务服务体系，新建村（社区）便民服务中心19个，改扩建村（社区）便民服务中心20个，完善乡镇行政服务大厅功能，实行“综合服务窗口”工作模式，推动医保、社保、民政、农村建房审批等高频事项和办事不出村事项进驻乡镇街道公共服务中心集中办理。建成县级政务服务大厅迁建，从硬件上达到“一窗综办、集成服务”的要求。</w:t>
            </w:r>
          </w:p>
        </w:tc>
      </w:tr>
    </w:tbl>
    <w:p>
      <w:pPr>
        <w:overflowPunct w:val="0"/>
        <w:adjustRightInd w:val="0"/>
        <w:snapToGrid w:val="0"/>
        <w:spacing w:line="560" w:lineRule="exact"/>
        <w:jc w:val="center"/>
        <w:outlineLvl w:val="2"/>
        <w:rPr>
          <w:rFonts w:ascii="Times New Roman" w:hAnsi="Times New Roman" w:eastAsia="方正楷体_GBK"/>
          <w:b/>
          <w:sz w:val="32"/>
          <w:szCs w:val="32"/>
        </w:rPr>
      </w:pPr>
      <w:bookmarkStart w:id="2081" w:name="_Toc29483"/>
      <w:bookmarkStart w:id="2082" w:name="_Toc9386"/>
      <w:bookmarkStart w:id="2083" w:name="_Toc12575"/>
      <w:bookmarkStart w:id="2084" w:name="_Toc22731"/>
      <w:bookmarkStart w:id="2085" w:name="_Toc16627"/>
      <w:bookmarkStart w:id="2086" w:name="_Toc8388"/>
      <w:bookmarkStart w:id="2087" w:name="_Toc8295"/>
      <w:bookmarkStart w:id="2088" w:name="_Toc4547"/>
      <w:bookmarkStart w:id="2089" w:name="_Toc21309"/>
      <w:bookmarkStart w:id="2090" w:name="_Toc32219"/>
      <w:bookmarkStart w:id="2091" w:name="_Toc6985"/>
      <w:bookmarkStart w:id="2092" w:name="_Toc13764"/>
      <w:bookmarkStart w:id="2093" w:name="_Toc23417"/>
      <w:bookmarkStart w:id="2094" w:name="_Toc7239"/>
      <w:bookmarkStart w:id="2095" w:name="_Toc4542"/>
      <w:bookmarkStart w:id="2096" w:name="_Toc25073"/>
      <w:bookmarkStart w:id="2097" w:name="_Toc4654"/>
      <w:bookmarkStart w:id="2098" w:name="_Toc26110"/>
      <w:r>
        <w:rPr>
          <w:rFonts w:ascii="Times New Roman" w:hAnsi="Times New Roman" w:eastAsia="方正楷体_GBK"/>
          <w:b/>
          <w:sz w:val="32"/>
          <w:szCs w:val="32"/>
        </w:rPr>
        <w:t>第二节  优化涉企公共服务</w:t>
      </w:r>
      <w:bookmarkEnd w:id="2081"/>
      <w:bookmarkEnd w:id="2082"/>
      <w:bookmarkEnd w:id="2083"/>
      <w:bookmarkEnd w:id="2084"/>
      <w:bookmarkEnd w:id="2085"/>
      <w:bookmarkEnd w:id="2086"/>
    </w:p>
    <w:p>
      <w:pPr>
        <w:overflowPunct w:val="0"/>
        <w:adjustRightInd w:val="0"/>
        <w:snapToGrid w:val="0"/>
        <w:spacing w:line="560" w:lineRule="exact"/>
        <w:ind w:firstLine="640" w:firstLineChars="200"/>
        <w:rPr>
          <w:rFonts w:ascii="Times New Roman" w:hAnsi="Times New Roman" w:eastAsia="方正楷体_GBK"/>
          <w:b/>
          <w:sz w:val="32"/>
          <w:szCs w:val="32"/>
        </w:rPr>
      </w:pPr>
      <w:r>
        <w:rPr>
          <w:rFonts w:ascii="Times New Roman" w:hAnsi="Times New Roman" w:eastAsia="方正仿宋_GBK"/>
          <w:sz w:val="32"/>
          <w:szCs w:val="32"/>
        </w:rPr>
        <w:t>引导水电气讯等公用企事业单位为市场主体提供安全、便捷、稳定和价格合理的服务，持续减环节、缩时间、提效率、降费用。深化行业协会商会和中介机构改革。发挥行业协会商会扎根行业、贴近企业的独特优势，加强行业自律，助力企业提升服务水平和治理能力。推进中介服务机构与行政机关脱钩，健全中介服务规则，促进中介市场健康发展。</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099" w:name="_Toc10177"/>
      <w:bookmarkStart w:id="2100" w:name="_Toc11246"/>
      <w:bookmarkStart w:id="2101" w:name="_Toc17121"/>
      <w:bookmarkStart w:id="2102" w:name="_Toc19597"/>
      <w:bookmarkStart w:id="2103" w:name="_Toc18251"/>
      <w:bookmarkStart w:id="2104" w:name="_Toc12239"/>
      <w:r>
        <w:rPr>
          <w:rFonts w:ascii="Times New Roman" w:hAnsi="Times New Roman" w:eastAsia="方正楷体_GBK"/>
          <w:b/>
          <w:sz w:val="32"/>
          <w:szCs w:val="32"/>
        </w:rPr>
        <w:t>第三节  完善社会信用体系</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强化信用信息开放共享，落实公共信用信息同金融信息共享整合机制。完善县公共信用信息平台功能，推动政务部门、企业、个人等公共信用信息应用便利化。全面推进重点领域诚信建设，推动信用信息监管全面落地，信用服务实体经济发展。完善守法诚信奖励和违法失信惩戒机制，培育和规范信用服务市场，促进信用服务业健康发展。鼓励信用服务产品开发和创新，积极支持独立的民营商业征信服务机构的组建和运作，并与政府的监管机构实现协同联动建立政务诚信监测治理体系，健全政府失信责任追究制度。积极开展失信主体信用修复。</w:t>
      </w:r>
    </w:p>
    <w:p>
      <w:pPr>
        <w:overflowPunct w:val="0"/>
        <w:rPr>
          <w:rFonts w:ascii="Times New Roman" w:hAnsi="Times New Roman" w:eastAsia="方正小标宋_GBK"/>
          <w:b/>
          <w:bCs/>
          <w:kern w:val="44"/>
          <w:sz w:val="36"/>
          <w:szCs w:val="36"/>
        </w:rPr>
      </w:pPr>
    </w:p>
    <w:bookmarkEnd w:id="1878"/>
    <w:p>
      <w:pPr>
        <w:overflowPunct w:val="0"/>
        <w:adjustRightInd w:val="0"/>
        <w:snapToGrid w:val="0"/>
        <w:spacing w:line="560" w:lineRule="exact"/>
        <w:jc w:val="center"/>
        <w:outlineLvl w:val="0"/>
        <w:rPr>
          <w:rFonts w:ascii="Times New Roman" w:hAnsi="Times New Roman" w:eastAsia="方正小标宋_GBK"/>
          <w:b/>
          <w:bCs/>
          <w:w w:val="94"/>
          <w:kern w:val="44"/>
          <w:sz w:val="36"/>
          <w:szCs w:val="36"/>
        </w:rPr>
      </w:pPr>
      <w:bookmarkStart w:id="2105" w:name="_Toc22042"/>
      <w:bookmarkStart w:id="2106" w:name="_Toc32338"/>
      <w:bookmarkStart w:id="2107" w:name="_Toc4863"/>
      <w:bookmarkStart w:id="2108" w:name="_Toc15519"/>
      <w:bookmarkStart w:id="2109" w:name="_Toc10541"/>
      <w:bookmarkStart w:id="2110" w:name="_Toc23274"/>
      <w:bookmarkStart w:id="2111" w:name="_Toc8132"/>
      <w:bookmarkStart w:id="2112" w:name="_Toc1305"/>
      <w:bookmarkStart w:id="2113" w:name="_Toc19839"/>
      <w:bookmarkStart w:id="2114" w:name="_Toc6513"/>
      <w:bookmarkStart w:id="2115" w:name="_Toc26093"/>
      <w:bookmarkStart w:id="2116" w:name="_Toc12281"/>
      <w:bookmarkStart w:id="2117" w:name="_Toc31077"/>
      <w:bookmarkStart w:id="2118" w:name="_Toc4463"/>
      <w:bookmarkStart w:id="2119" w:name="_Toc22791"/>
      <w:bookmarkStart w:id="2120" w:name="_Toc12508"/>
      <w:bookmarkStart w:id="2121" w:name="_Toc28928"/>
      <w:bookmarkStart w:id="2122" w:name="_Toc5472"/>
      <w:r>
        <w:rPr>
          <w:rFonts w:ascii="Times New Roman" w:hAnsi="Times New Roman" w:eastAsia="方正小标宋_GBK"/>
          <w:b/>
          <w:bCs/>
          <w:w w:val="94"/>
          <w:kern w:val="44"/>
          <w:sz w:val="36"/>
          <w:szCs w:val="36"/>
        </w:rPr>
        <w:t>第九篇  大力发展文化事业和文化产业  提高社会文明程度</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overflowPunct w:val="0"/>
        <w:adjustRightInd w:val="0"/>
        <w:snapToGrid w:val="0"/>
        <w:spacing w:line="560" w:lineRule="exact"/>
        <w:ind w:firstLine="640" w:firstLineChars="200"/>
        <w:rPr>
          <w:rFonts w:ascii="Times New Roman" w:hAnsi="Times New Roman" w:eastAsia="方正仿宋_GBK"/>
          <w:sz w:val="32"/>
          <w:szCs w:val="32"/>
        </w:rPr>
      </w:pP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马克思主义在意识形态领域的指导地位，坚持以社会主义核心价值观引领文化建设，紧紧围绕举旗帜、聚民心、育新人、兴文化、展形象的使命任务，加强社会主义精神文明建设，坚定文化自信，促进满足人民文化需求和增强人民精神力量相统一，不断提高文化软实力。</w:t>
      </w: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2123" w:name="_Toc22434"/>
      <w:bookmarkStart w:id="2124" w:name="_Toc28726"/>
      <w:bookmarkStart w:id="2125" w:name="_Toc27281"/>
      <w:bookmarkStart w:id="2126" w:name="_Toc14802"/>
      <w:bookmarkStart w:id="2127" w:name="_Toc18824"/>
      <w:bookmarkStart w:id="2128" w:name="_Toc24940"/>
      <w:bookmarkStart w:id="2129" w:name="_Toc59950087"/>
      <w:bookmarkStart w:id="2130" w:name="_Toc20536"/>
      <w:bookmarkStart w:id="2131" w:name="_Toc8259"/>
      <w:bookmarkStart w:id="2132" w:name="_Toc5514"/>
      <w:bookmarkStart w:id="2133" w:name="_Toc2556"/>
      <w:bookmarkStart w:id="2134" w:name="_Toc9017"/>
      <w:bookmarkStart w:id="2135" w:name="_Toc31394"/>
      <w:bookmarkStart w:id="2136" w:name="_Toc24395"/>
      <w:bookmarkStart w:id="2137" w:name="_Toc27540"/>
      <w:bookmarkStart w:id="2138" w:name="_Toc31280"/>
      <w:bookmarkStart w:id="2139" w:name="_Toc28571"/>
      <w:bookmarkStart w:id="2140" w:name="_Toc2371"/>
      <w:bookmarkStart w:id="2141" w:name="_Toc12747"/>
      <w:r>
        <w:rPr>
          <w:rFonts w:ascii="Times New Roman" w:hAnsi="Times New Roman" w:eastAsia="方正黑体_GBK"/>
          <w:b/>
          <w:bCs/>
          <w:kern w:val="44"/>
          <w:sz w:val="32"/>
          <w:szCs w:val="32"/>
        </w:rPr>
        <w:t>第三十二章  提高社会文明程度</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深入开展习近平新时代中国特色社会主义思想学习教育，加强社会主义精神文明建设，推动形成适应新时代要求的思想观念、精神面貌、文明风尚、行为规范。</w:t>
      </w:r>
    </w:p>
    <w:p>
      <w:pPr>
        <w:overflowPunct w:val="0"/>
        <w:adjustRightInd w:val="0"/>
        <w:snapToGrid w:val="0"/>
        <w:spacing w:line="560" w:lineRule="exact"/>
        <w:jc w:val="center"/>
        <w:outlineLvl w:val="2"/>
        <w:rPr>
          <w:rFonts w:ascii="Times New Roman" w:hAnsi="Times New Roman" w:eastAsia="方正仿宋_GBK"/>
          <w:sz w:val="32"/>
          <w:szCs w:val="32"/>
        </w:rPr>
      </w:pPr>
      <w:bookmarkStart w:id="2142" w:name="_Toc27840"/>
      <w:bookmarkStart w:id="2143" w:name="_Toc14589"/>
      <w:bookmarkStart w:id="2144" w:name="_Toc15149"/>
      <w:bookmarkStart w:id="2145" w:name="_Toc3448"/>
      <w:bookmarkStart w:id="2146" w:name="_Toc5668"/>
      <w:bookmarkStart w:id="2147" w:name="_Toc8698"/>
      <w:bookmarkStart w:id="2148" w:name="_Toc22744"/>
      <w:bookmarkStart w:id="2149" w:name="_Toc19642"/>
      <w:bookmarkStart w:id="2150" w:name="_Toc27518"/>
      <w:bookmarkStart w:id="2151" w:name="_Toc17855"/>
      <w:bookmarkStart w:id="2152" w:name="_Toc1303"/>
      <w:bookmarkStart w:id="2153" w:name="_Toc31838"/>
      <w:bookmarkStart w:id="2154" w:name="_Toc22295"/>
      <w:bookmarkStart w:id="2155" w:name="_Toc12908"/>
      <w:bookmarkStart w:id="2156" w:name="_Toc29701"/>
      <w:bookmarkStart w:id="2157" w:name="_Toc59950088"/>
      <w:bookmarkStart w:id="2158" w:name="_Toc27219"/>
      <w:bookmarkStart w:id="2159" w:name="_Toc31359"/>
      <w:bookmarkStart w:id="2160" w:name="_Toc5593"/>
      <w:r>
        <w:rPr>
          <w:rFonts w:ascii="Times New Roman" w:hAnsi="Times New Roman" w:eastAsia="方正楷体_GBK"/>
          <w:b/>
          <w:sz w:val="32"/>
          <w:szCs w:val="32"/>
        </w:rPr>
        <w:t>第一节  践行社会主义核心价值观</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overflowPunct w:val="0"/>
        <w:adjustRightInd w:val="0"/>
        <w:snapToGrid w:val="0"/>
        <w:spacing w:line="560" w:lineRule="exact"/>
        <w:ind w:firstLine="640" w:firstLineChars="200"/>
        <w:rPr>
          <w:rFonts w:ascii="Times New Roman" w:hAnsi="Times New Roman"/>
        </w:rPr>
      </w:pPr>
      <w:r>
        <w:rPr>
          <w:rFonts w:ascii="Times New Roman" w:hAnsi="Times New Roman" w:eastAsia="方正仿宋_GBK"/>
          <w:sz w:val="32"/>
          <w:szCs w:val="32"/>
        </w:rPr>
        <w:t>围绕中国共产党为什么“能”、马克思主义为什么“行”、中国特色社会主义为什么“好”等重大问题，加强理论学习、宣传普及、研究阐释。推进理想信念教育常态化制度化，加强党史、新中国史、改革开放史、社会主义发展史教育，加强爱国主义、集体主义、社会主义教育，弘扬党和人民在各个历史时期奋斗中形成的伟大精神。以习近平新时代中国特色社会主义思想为指导，在农村、社区、企业、学校、机关开展各具特色的社会主义核心价值观教育实践活动，用先进文化凝聚人心力量，改善基层文化风貌，形成良好社会风尚。深入学习宣传贯彻《重庆市文明行为促进条例》，推动社会主义核心价值观融入法治建设，坚持德法兼治。以“互联网+”创新文化供给方式，推动社会主义核心价值观宣传全覆盖。</w:t>
      </w:r>
    </w:p>
    <w:p>
      <w:pPr>
        <w:overflowPunct w:val="0"/>
        <w:adjustRightInd w:val="0"/>
        <w:snapToGrid w:val="0"/>
        <w:spacing w:line="560" w:lineRule="exact"/>
        <w:jc w:val="center"/>
        <w:outlineLvl w:val="2"/>
        <w:rPr>
          <w:rFonts w:ascii="Times New Roman" w:hAnsi="Times New Roman" w:eastAsia="方正仿宋_GBK"/>
          <w:bCs/>
          <w:sz w:val="32"/>
          <w:szCs w:val="32"/>
        </w:rPr>
      </w:pPr>
      <w:bookmarkStart w:id="2161" w:name="_Toc19610"/>
      <w:bookmarkStart w:id="2162" w:name="_Toc6849"/>
      <w:bookmarkStart w:id="2163" w:name="_Toc14068"/>
      <w:bookmarkStart w:id="2164" w:name="_Toc31686"/>
      <w:bookmarkStart w:id="2165" w:name="_Toc9474"/>
      <w:bookmarkStart w:id="2166" w:name="_Toc25177"/>
      <w:bookmarkStart w:id="2167" w:name="_Toc6681"/>
      <w:bookmarkStart w:id="2168" w:name="_Toc13000"/>
      <w:bookmarkStart w:id="2169" w:name="_Toc21582"/>
      <w:bookmarkStart w:id="2170" w:name="_Toc10720"/>
      <w:bookmarkStart w:id="2171" w:name="_Toc9964"/>
      <w:bookmarkStart w:id="2172" w:name="_Toc20"/>
      <w:bookmarkStart w:id="2173" w:name="_Toc32"/>
      <w:bookmarkStart w:id="2174" w:name="_Toc18410"/>
      <w:bookmarkStart w:id="2175" w:name="_Toc2257"/>
      <w:bookmarkStart w:id="2176" w:name="_Toc4726"/>
      <w:bookmarkStart w:id="2177" w:name="_Toc3957"/>
      <w:bookmarkStart w:id="2178" w:name="_Toc57697350"/>
      <w:bookmarkStart w:id="2179" w:name="_Toc1810"/>
      <w:r>
        <w:rPr>
          <w:rFonts w:ascii="Times New Roman" w:hAnsi="Times New Roman" w:eastAsia="方正楷体_GBK"/>
          <w:b/>
          <w:sz w:val="32"/>
          <w:szCs w:val="32"/>
        </w:rPr>
        <w:t>第二节  加强社会主义精神文明建设</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overflowPunct w:val="0"/>
        <w:adjustRightInd w:val="0"/>
        <w:snapToGrid w:val="0"/>
        <w:spacing w:line="560" w:lineRule="exact"/>
        <w:ind w:firstLine="640" w:firstLineChars="200"/>
        <w:rPr>
          <w:rFonts w:ascii="Times New Roman" w:hAnsi="Times New Roman" w:eastAsia="方正黑体_GBK"/>
          <w:b/>
          <w:bCs/>
          <w:kern w:val="44"/>
          <w:sz w:val="32"/>
          <w:szCs w:val="32"/>
        </w:rPr>
      </w:pPr>
      <w:r>
        <w:rPr>
          <w:rFonts w:ascii="Times New Roman" w:hAnsi="Times New Roman" w:eastAsia="方正仿宋_GBK"/>
          <w:sz w:val="32"/>
          <w:szCs w:val="32"/>
        </w:rPr>
        <w:t>推动精神文明建设铸魂聚力，深入推进公民道德建设，加强社会公德、职业道德、家庭美德、个人品德建设，引导市民争做时代新人。大力选树和学习宣传道德模范、身边好人、新时代好少年、最美志愿者等先进典型，营造德者有得、好人好报的浓厚氛围。充分挖掘传统文化内涵，大力弘扬传统美德。加强未成年人思想道德建设，推进“德育工作规范化学校”创建。推进诚信建设制度化，塑造诚信城口形象。深入推进群众性精神文明创建活动，持续深化文明县城、文明村镇、文明单位、文明家庭、文明校园“五大创建”活动，着力满足全县群众对美好生活的向往。深化拓展新时代文明实践中心建设，建好用好新时代文明实践积分超市，建立全民参与新时代文明实践机制。广泛组织开展新时代文明实践志愿服务活动，推进学雷锋志愿服务常态化。持续深化移风易俗促进乡风文明行动，常态化开展移风易俗“十抵制十提倡”。深化扶志扶智行动，着力提升群众自我发展能力素质。组织开展文明社会风尚行动，推动“吃得文明”“住得文明”“行得文明”“游得文明”“购得文明”“乐得文明”及网络文明主题活动，大力弘扬时代新风。</w:t>
      </w:r>
      <w:bookmarkStart w:id="2180" w:name="_Toc59950092"/>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2181" w:name="_Toc24019"/>
      <w:bookmarkStart w:id="2182" w:name="_Toc17684"/>
      <w:bookmarkStart w:id="2183" w:name="_Toc20332"/>
      <w:bookmarkStart w:id="2184" w:name="_Toc787"/>
      <w:bookmarkStart w:id="2185" w:name="_Toc28815"/>
      <w:bookmarkStart w:id="2186" w:name="_Toc31567"/>
      <w:bookmarkStart w:id="2187" w:name="_Toc28038"/>
      <w:bookmarkStart w:id="2188" w:name="_Toc13580"/>
      <w:bookmarkStart w:id="2189" w:name="_Toc17896"/>
      <w:bookmarkStart w:id="2190" w:name="_Toc16690"/>
      <w:bookmarkStart w:id="2191" w:name="_Toc28916"/>
      <w:bookmarkStart w:id="2192" w:name="_Toc17541"/>
      <w:bookmarkStart w:id="2193" w:name="_Toc21440"/>
      <w:bookmarkStart w:id="2194" w:name="_Toc18998"/>
      <w:bookmarkStart w:id="2195" w:name="_Toc28820"/>
      <w:bookmarkStart w:id="2196" w:name="_Toc17935"/>
      <w:bookmarkStart w:id="2197" w:name="_Toc2600"/>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2198" w:name="_Toc25799"/>
      <w:r>
        <w:rPr>
          <w:rFonts w:ascii="Times New Roman" w:hAnsi="Times New Roman" w:eastAsia="方正黑体_GBK"/>
          <w:b/>
          <w:bCs/>
          <w:kern w:val="44"/>
          <w:sz w:val="32"/>
          <w:szCs w:val="32"/>
        </w:rPr>
        <w:t>第三十三章  提升公共文化服务水平</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overflowPunct w:val="0"/>
        <w:adjustRightInd w:val="0"/>
        <w:snapToGrid w:val="0"/>
        <w:spacing w:line="560" w:lineRule="exact"/>
        <w:ind w:firstLine="640" w:firstLineChars="200"/>
        <w:rPr>
          <w:rFonts w:ascii="Times New Roman" w:hAnsi="Times New Roman"/>
        </w:rPr>
      </w:pPr>
      <w:r>
        <w:rPr>
          <w:rFonts w:ascii="Times New Roman" w:hAnsi="Times New Roman" w:eastAsia="方正仿宋_GBK"/>
          <w:sz w:val="32"/>
          <w:szCs w:val="32"/>
        </w:rPr>
        <w:t>坚持为人民服务、为社会主义服务的方向，全面繁荣文化艺术事业，健全公共文化服务体系，更好保障全县群众文化权益。</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199" w:name="_Toc59950093"/>
      <w:bookmarkStart w:id="2200" w:name="_Toc25029"/>
      <w:bookmarkStart w:id="2201" w:name="_Toc19034"/>
      <w:bookmarkStart w:id="2202" w:name="_Toc10116"/>
      <w:bookmarkStart w:id="2203" w:name="_Toc16983"/>
      <w:bookmarkStart w:id="2204" w:name="_Toc21412"/>
      <w:bookmarkStart w:id="2205" w:name="_Toc15577"/>
      <w:bookmarkStart w:id="2206" w:name="_Toc6536"/>
      <w:bookmarkStart w:id="2207" w:name="_Toc7420"/>
      <w:bookmarkStart w:id="2208" w:name="_Toc12605"/>
      <w:bookmarkStart w:id="2209" w:name="_Toc12097"/>
      <w:bookmarkStart w:id="2210" w:name="_Toc18197"/>
      <w:bookmarkStart w:id="2211" w:name="_Toc26184"/>
      <w:bookmarkStart w:id="2212" w:name="_Toc8501"/>
      <w:bookmarkStart w:id="2213" w:name="_Toc18178"/>
      <w:bookmarkStart w:id="2214" w:name="_Toc19334"/>
      <w:bookmarkStart w:id="2215" w:name="_Toc22135"/>
      <w:bookmarkStart w:id="2216" w:name="_Toc18082"/>
      <w:bookmarkStart w:id="2217" w:name="_Toc30087"/>
      <w:r>
        <w:rPr>
          <w:rFonts w:ascii="Times New Roman" w:hAnsi="Times New Roman" w:eastAsia="方正楷体_GBK"/>
          <w:b/>
          <w:sz w:val="32"/>
          <w:szCs w:val="32"/>
        </w:rPr>
        <w:t xml:space="preserve">第一节  </w:t>
      </w:r>
      <w:bookmarkEnd w:id="2199"/>
      <w:r>
        <w:rPr>
          <w:rFonts w:ascii="Times New Roman" w:hAnsi="Times New Roman" w:eastAsia="方正楷体_GBK"/>
          <w:b/>
          <w:sz w:val="32"/>
          <w:szCs w:val="32"/>
        </w:rPr>
        <w:t>推进文艺事业繁荣发展</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overflowPunct w:val="0"/>
        <w:adjustRightInd w:val="0"/>
        <w:snapToGrid w:val="0"/>
        <w:spacing w:line="560" w:lineRule="exact"/>
        <w:ind w:firstLine="640" w:firstLineChars="200"/>
        <w:rPr>
          <w:rFonts w:ascii="Times New Roman" w:hAnsi="Times New Roman"/>
        </w:rPr>
      </w:pPr>
      <w:r>
        <w:rPr>
          <w:rFonts w:ascii="Times New Roman" w:hAnsi="Times New Roman" w:eastAsia="方正仿宋_GBK"/>
          <w:sz w:val="32"/>
          <w:szCs w:val="32"/>
        </w:rPr>
        <w:t>实施文艺作品质量提升行动，深挖巴渝文化、红色文化内涵，鼓励文化企业、文化名家发扬工匠精神，不断推出反映时代新气象、讴歌人民新创造的文艺精品。培育壮大文艺队伍，鼓励更多的文艺工作者加入国家级、市级文艺家协会。推动文化艺术与科技融合发展。加强文艺理论研究，促进文艺创作生产健康发展。积极发展新闻出版和档案事业。</w:t>
      </w:r>
      <w:bookmarkStart w:id="2218" w:name="_Toc59950095"/>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bCs/>
          <w:sz w:val="32"/>
          <w:szCs w:val="32"/>
        </w:rPr>
        <w:t>鼓励本土文艺创作。</w:t>
      </w:r>
      <w:r>
        <w:rPr>
          <w:rFonts w:ascii="Times New Roman" w:hAnsi="Times New Roman" w:eastAsia="方正仿宋_GBK"/>
          <w:sz w:val="32"/>
          <w:szCs w:val="32"/>
        </w:rPr>
        <w:t>鼓励民间文化创作，支持各类文化微产业发展，提高精品创作生产水平，打造一批具有鲜明城口特色、彰显城口文化魅力的精品力作。大力发展网络视听、数字出版、数字教育、动漫游戏等新兴文化业态，丰富优秀网络文化产品供给。积极培育打造影视制作、网红打卡、生态健康产品发布基地。</w:t>
      </w:r>
    </w:p>
    <w:p>
      <w:pPr>
        <w:overflowPunct w:val="0"/>
        <w:adjustRightInd w:val="0"/>
        <w:snapToGrid w:val="0"/>
        <w:spacing w:line="560" w:lineRule="exact"/>
        <w:ind w:firstLine="643" w:firstLineChars="200"/>
        <w:jc w:val="center"/>
        <w:outlineLvl w:val="2"/>
        <w:rPr>
          <w:rFonts w:ascii="Times New Roman" w:hAnsi="Times New Roman" w:eastAsia="方正仿宋_GBK"/>
          <w:sz w:val="32"/>
          <w:szCs w:val="32"/>
        </w:rPr>
      </w:pPr>
      <w:bookmarkStart w:id="2219" w:name="_Toc26586"/>
      <w:bookmarkStart w:id="2220" w:name="_Toc13895"/>
      <w:bookmarkStart w:id="2221" w:name="_Toc29376"/>
      <w:bookmarkStart w:id="2222" w:name="_Toc7173"/>
      <w:bookmarkStart w:id="2223" w:name="_Toc4524"/>
      <w:bookmarkStart w:id="2224" w:name="_Toc5027"/>
      <w:bookmarkStart w:id="2225" w:name="_Toc28837"/>
      <w:bookmarkStart w:id="2226" w:name="_Toc13160"/>
      <w:bookmarkStart w:id="2227" w:name="_Toc8630"/>
      <w:bookmarkStart w:id="2228" w:name="_Toc30972"/>
      <w:bookmarkStart w:id="2229" w:name="_Toc19440"/>
      <w:bookmarkStart w:id="2230" w:name="_Toc18537"/>
      <w:bookmarkStart w:id="2231" w:name="_Toc5223"/>
      <w:bookmarkStart w:id="2232" w:name="_Toc6006"/>
      <w:bookmarkStart w:id="2233" w:name="_Toc3080"/>
      <w:bookmarkStart w:id="2234" w:name="_Toc10826"/>
      <w:bookmarkStart w:id="2235" w:name="_Toc32279"/>
      <w:bookmarkStart w:id="2236" w:name="_Toc23169"/>
      <w:r>
        <w:rPr>
          <w:rFonts w:ascii="Times New Roman" w:hAnsi="Times New Roman" w:eastAsia="方正楷体_GBK"/>
          <w:b/>
          <w:sz w:val="32"/>
          <w:szCs w:val="32"/>
        </w:rPr>
        <w:t>第二节  推进公共文化服务体系建设</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进重大文化设施建设，规划建设大巴山文化艺术中心。依托大巴山森林人家集群片区、乡村集居点等，打造一批乡村文旅社区（村落）。优化城乡文化资源配置，推动基层文化设施达标建设、功能提升，提高公共文化设施覆盖率和使用率。实施文化惠民工程，完善城乡社会文化网络建设，广泛开展群众性文化活动。鼓励社会力量参与公共文化服务体系建设，推动公共文化服务社会化发展。发展公共数字文化，建设公共数字文化服务平台。推进媒体深度融合发展，实施全媒体传播工程，加快构建全媒体传播体系，建好用好融媒体中心，巩固壮大主流舆论阵地。发展“智慧广电+公共服务”，提升广播电视传播力和公共服务承载力。</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237" w:name="_Toc3512"/>
      <w:bookmarkStart w:id="2238" w:name="_Toc27493"/>
      <w:bookmarkStart w:id="2239" w:name="_Toc16933"/>
      <w:bookmarkStart w:id="2240" w:name="_Toc20245"/>
      <w:bookmarkStart w:id="2241" w:name="_Toc13384"/>
      <w:bookmarkStart w:id="2242" w:name="_Toc3508"/>
      <w:bookmarkStart w:id="2243" w:name="_Toc4381"/>
      <w:bookmarkStart w:id="2244" w:name="_Toc26077"/>
      <w:bookmarkStart w:id="2245" w:name="_Toc929"/>
      <w:bookmarkStart w:id="2246" w:name="_Toc10321"/>
      <w:bookmarkStart w:id="2247" w:name="_Toc23883"/>
      <w:bookmarkStart w:id="2248" w:name="_Toc12930"/>
      <w:bookmarkStart w:id="2249" w:name="_Toc32158"/>
      <w:bookmarkStart w:id="2250" w:name="_Toc18484"/>
      <w:bookmarkStart w:id="2251" w:name="_Toc26458"/>
      <w:bookmarkStart w:id="2252" w:name="_Toc29237"/>
      <w:bookmarkStart w:id="2253" w:name="_Toc18804"/>
      <w:bookmarkStart w:id="2254" w:name="_Toc19938"/>
      <w:r>
        <w:rPr>
          <w:rFonts w:ascii="Times New Roman" w:hAnsi="Times New Roman" w:eastAsia="方正楷体_GBK"/>
          <w:b/>
          <w:sz w:val="32"/>
          <w:szCs w:val="32"/>
        </w:rPr>
        <w:t>第三节  加强优秀传统文化传承弘扬</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加强文化遗产保护。</w:t>
      </w:r>
      <w:r>
        <w:rPr>
          <w:rFonts w:ascii="Times New Roman" w:hAnsi="Times New Roman" w:eastAsia="方正仿宋_GBK"/>
          <w:sz w:val="32"/>
          <w:szCs w:val="32"/>
        </w:rPr>
        <w:t>加强文物古籍保护、研究、利用，</w:t>
      </w:r>
      <w:r>
        <w:rPr>
          <w:rFonts w:ascii="Times New Roman" w:hAnsi="Times New Roman" w:eastAsia="方正仿宋_GBK"/>
          <w:bCs/>
          <w:sz w:val="32"/>
          <w:szCs w:val="32"/>
        </w:rPr>
        <w:t>健全县、镇（乡）、村三级文物保护网，实施文物保护重点工程，</w:t>
      </w:r>
      <w:r>
        <w:rPr>
          <w:rFonts w:ascii="Times New Roman" w:hAnsi="Times New Roman" w:eastAsia="方正仿宋_GBK"/>
          <w:sz w:val="32"/>
          <w:szCs w:val="32"/>
        </w:rPr>
        <w:t>推进文化遗产传承发展。加强古村落、特色空心村保护、修缮、利用，充分挖掘民俗文化、民间技艺、传统饮食，活化、传承非物质文化遗产，保护传承山歌、狮子舞、钱棍舞、彩船舞、锣鼓等特色民俗文化，培育独具特色的地域文化和人文精神。</w:t>
      </w:r>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传承弘扬传统文化。将文化作为城口高质量发展的灵魂，深入挖掘城口大巴山农耕文化、巴渝文化、红色文化等传统文化，整理革命先烈生平、故事、文物，用好文化资源，传承文化基因，弘扬中华优秀传统文化。</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弘扬生态文化。深入挖掘大巴山生态要素，解构重构生态文明要素，依托现代科技文明，提升生态文化时代内涵。弘扬现代生态文明理念，引导民众形成绿色消费和绿色生活意识，鼓励百姓选择绿色出行方式，构建全民生态自觉。</w:t>
      </w:r>
    </w:p>
    <w:p>
      <w:pPr>
        <w:overflowPunct w:val="0"/>
        <w:adjustRightInd w:val="0"/>
        <w:snapToGrid w:val="0"/>
        <w:spacing w:line="560" w:lineRule="exact"/>
        <w:ind w:firstLine="643" w:firstLineChars="200"/>
        <w:jc w:val="center"/>
        <w:outlineLvl w:val="2"/>
        <w:rPr>
          <w:rFonts w:ascii="Times New Roman" w:hAnsi="Times New Roman" w:eastAsia="方正楷体_GBK"/>
          <w:b/>
          <w:sz w:val="32"/>
          <w:szCs w:val="32"/>
        </w:rPr>
      </w:pPr>
      <w:bookmarkStart w:id="2255" w:name="_Toc12035"/>
      <w:bookmarkStart w:id="2256" w:name="_Toc3891"/>
      <w:bookmarkStart w:id="2257" w:name="_Toc18653"/>
      <w:bookmarkStart w:id="2258" w:name="_Toc11481"/>
      <w:bookmarkStart w:id="2259" w:name="_Toc18982"/>
      <w:bookmarkStart w:id="2260" w:name="_Toc22568"/>
      <w:bookmarkStart w:id="2261" w:name="_Toc3275"/>
      <w:bookmarkStart w:id="2262" w:name="_Toc30870"/>
      <w:bookmarkStart w:id="2263" w:name="_Toc1319"/>
      <w:bookmarkStart w:id="2264" w:name="_Toc19313"/>
      <w:bookmarkStart w:id="2265" w:name="_Toc18764"/>
      <w:bookmarkStart w:id="2266" w:name="_Toc12376"/>
      <w:bookmarkStart w:id="2267" w:name="_Toc31444"/>
      <w:bookmarkStart w:id="2268" w:name="_Toc9736"/>
      <w:bookmarkStart w:id="2269" w:name="_Toc25763"/>
      <w:bookmarkStart w:id="2270" w:name="_Toc14594"/>
      <w:bookmarkStart w:id="2271" w:name="_Toc5929"/>
      <w:bookmarkStart w:id="2272" w:name="_Toc17531"/>
      <w:r>
        <w:rPr>
          <w:rFonts w:ascii="Times New Roman" w:hAnsi="Times New Roman" w:eastAsia="方正楷体_GBK"/>
          <w:b/>
          <w:sz w:val="32"/>
          <w:szCs w:val="32"/>
        </w:rPr>
        <w:t>第四节  建设长征国家文化公园</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围绕国家建设“长征国家文化公园”“川陕苏区红色文化公园”契机，重点做好红色文化旧址保护、红色文化场馆建设、红色文化旅游教育，加快推进国家长征文化公园（重庆段·城口）建设。</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进红色文物旧址保护。实施古佛洞红军生活旧址、红三十三军297团医务所、政治处、295团医务所、团部旧址、徐植林大院等重要长征文物旧址本体修缮工程，加快红花寺红军战斗遗址、小河口红军战斗遗址、五里村碉堡梁和卢家梁红军战斗遗址等战斗遗址的考古调查、清理、现状测绘及局部加固。</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推进红色文化馆所建设。提档升级川陕苏区城口纪念馆、川陕苏区城口县苏维埃政权纪念公园，加快川陕红军干部学院、红色文化小镇建设。</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丰富红色文化旅游体验。重点推出八台双河（九重花岭、农会遗址）—沿河（297团）—坪坝大梁—庙坝（指挥部旧址、老鹰洞）—高燕红军村—川陕苏区城口纪念馆—川陕红军干部学院的精品红色文旅环线。以歌舞剧、实景演艺、影视剧等形式，推出在全市范围内具有影响力的1—2个红色文化主题活动。引入文创研发设计团队，与县内食品、工艺品加工等龙头企业合作，打造“红色行军粮”主题食品、红色工艺品、红色日用品等红军文创商品体系。</w:t>
      </w:r>
    </w:p>
    <w:bookmarkEnd w:id="2218"/>
    <w:p>
      <w:pPr>
        <w:overflowPunct w:val="0"/>
        <w:spacing w:line="480" w:lineRule="exact"/>
        <w:jc w:val="center"/>
        <w:rPr>
          <w:rFonts w:ascii="Times New Roman" w:hAnsi="Times New Roman" w:eastAsia="方正黑体_GBK"/>
          <w:sz w:val="28"/>
          <w:szCs w:val="28"/>
        </w:rPr>
      </w:pPr>
      <w:bookmarkStart w:id="2273" w:name="_Toc59950096"/>
      <w:r>
        <w:rPr>
          <w:rFonts w:ascii="Times New Roman" w:hAnsi="Times New Roman" w:eastAsia="方正黑体_GBK"/>
          <w:sz w:val="28"/>
          <w:szCs w:val="28"/>
        </w:rPr>
        <w:t>专栏18  公共文化服务重点项目</w:t>
      </w:r>
    </w:p>
    <w:tbl>
      <w:tblPr>
        <w:tblStyle w:val="27"/>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26" w:type="dxa"/>
            <w:tcBorders>
              <w:top w:val="single" w:color="auto" w:sz="4" w:space="0"/>
              <w:left w:val="single" w:color="auto" w:sz="4" w:space="0"/>
              <w:bottom w:val="single" w:color="auto" w:sz="4" w:space="0"/>
              <w:right w:val="single" w:color="auto" w:sz="4" w:space="0"/>
            </w:tcBorders>
          </w:tcPr>
          <w:p>
            <w:pPr>
              <w:overflowPunct w:val="0"/>
              <w:spacing w:line="360" w:lineRule="exact"/>
              <w:ind w:firstLine="482" w:firstLineChars="200"/>
              <w:rPr>
                <w:rFonts w:ascii="Times New Roman" w:hAnsi="Times New Roman" w:eastAsia="方正仿宋_GBK"/>
                <w:bCs/>
                <w:sz w:val="24"/>
                <w:szCs w:val="32"/>
              </w:rPr>
            </w:pPr>
            <w:r>
              <w:rPr>
                <w:rFonts w:ascii="Times New Roman" w:hAnsi="Times New Roman" w:eastAsia="方正仿宋_GBK"/>
                <w:b/>
                <w:sz w:val="24"/>
                <w:szCs w:val="32"/>
              </w:rPr>
              <w:t>公共文化服务建设工程。</w:t>
            </w:r>
            <w:r>
              <w:rPr>
                <w:rFonts w:ascii="Times New Roman" w:hAnsi="Times New Roman" w:eastAsia="方正仿宋_GBK"/>
                <w:bCs/>
                <w:sz w:val="24"/>
                <w:szCs w:val="32"/>
              </w:rPr>
              <w:t>规划建设集城市规划馆、文化馆、图书馆、大巴山博物馆、妇女儿童及青少年活动中心等于一体的综合性大巴山文化艺术中心。</w:t>
            </w:r>
          </w:p>
          <w:p>
            <w:pPr>
              <w:overflowPunct w:val="0"/>
              <w:spacing w:line="360" w:lineRule="exact"/>
              <w:ind w:firstLine="482" w:firstLineChars="200"/>
              <w:rPr>
                <w:rFonts w:ascii="Times New Roman" w:hAnsi="Times New Roman" w:eastAsia="方正仿宋_GBK"/>
                <w:sz w:val="24"/>
                <w:szCs w:val="32"/>
              </w:rPr>
            </w:pPr>
            <w:r>
              <w:rPr>
                <w:rFonts w:ascii="Times New Roman" w:hAnsi="Times New Roman" w:eastAsia="方正仿宋_GBK"/>
                <w:b/>
                <w:bCs/>
                <w:sz w:val="24"/>
                <w:szCs w:val="32"/>
              </w:rPr>
              <w:t>青年创客驿站及创客工坊。</w:t>
            </w:r>
            <w:r>
              <w:rPr>
                <w:rFonts w:ascii="Times New Roman" w:hAnsi="Times New Roman" w:eastAsia="方正仿宋_GBK"/>
                <w:sz w:val="24"/>
                <w:szCs w:val="32"/>
              </w:rPr>
              <w:t>建设集青年创业培训室、创业咨询室、创客服务大厅、创客文化活动室等功能于一体的青年创客驿站及创客工坊。</w:t>
            </w:r>
          </w:p>
          <w:p>
            <w:pPr>
              <w:overflowPunct w:val="0"/>
              <w:spacing w:line="360" w:lineRule="exact"/>
              <w:ind w:firstLine="482" w:firstLineChars="200"/>
              <w:rPr>
                <w:rFonts w:ascii="Times New Roman" w:hAnsi="Times New Roman" w:eastAsia="方正仿宋_GBK"/>
                <w:sz w:val="24"/>
                <w:szCs w:val="32"/>
              </w:rPr>
            </w:pPr>
            <w:r>
              <w:rPr>
                <w:rFonts w:ascii="Times New Roman" w:hAnsi="Times New Roman" w:eastAsia="方正仿宋_GBK"/>
                <w:b/>
                <w:bCs/>
                <w:sz w:val="24"/>
                <w:szCs w:val="32"/>
              </w:rPr>
              <w:t>文物保护重点工程。</w:t>
            </w:r>
            <w:r>
              <w:rPr>
                <w:rFonts w:ascii="Times New Roman" w:hAnsi="Times New Roman" w:eastAsia="方正仿宋_GBK"/>
                <w:sz w:val="24"/>
                <w:szCs w:val="32"/>
              </w:rPr>
              <w:t>提高“红三十三军指挥部旧址”等重点文物单位的保护水平，加强双河城万红军指挥所旧址、沿河红三十三军297团医务所旧址和政治处旧址、295团医务所旧址、徐植林大院等历史文化遗址的维护和利用。</w:t>
            </w:r>
          </w:p>
          <w:p>
            <w:pPr>
              <w:overflowPunct w:val="0"/>
              <w:spacing w:line="360" w:lineRule="exact"/>
              <w:ind w:firstLine="482" w:firstLineChars="200"/>
              <w:rPr>
                <w:rFonts w:ascii="Times New Roman" w:hAnsi="Times New Roman" w:eastAsia="方正仿宋_GBK"/>
                <w:sz w:val="24"/>
                <w:szCs w:val="32"/>
              </w:rPr>
            </w:pPr>
            <w:r>
              <w:rPr>
                <w:rFonts w:ascii="Times New Roman" w:hAnsi="Times New Roman" w:eastAsia="方正仿宋_GBK"/>
                <w:b/>
                <w:bCs/>
                <w:sz w:val="24"/>
                <w:szCs w:val="32"/>
              </w:rPr>
              <w:t>重大文化设施建设。</w:t>
            </w:r>
            <w:r>
              <w:rPr>
                <w:rFonts w:ascii="Times New Roman" w:hAnsi="Times New Roman" w:eastAsia="方正仿宋_GBK"/>
                <w:sz w:val="24"/>
                <w:szCs w:val="32"/>
              </w:rPr>
              <w:t>完善川陕苏区城口纪念馆功能，提档升级红军文化纪念公园，新建川陕红军干部学院、红军小镇等。</w:t>
            </w:r>
          </w:p>
          <w:p>
            <w:pPr>
              <w:overflowPunct w:val="0"/>
              <w:spacing w:line="360" w:lineRule="exact"/>
              <w:ind w:firstLine="482" w:firstLineChars="200"/>
              <w:rPr>
                <w:rFonts w:ascii="Times New Roman" w:hAnsi="Times New Roman"/>
              </w:rPr>
            </w:pPr>
            <w:r>
              <w:rPr>
                <w:rFonts w:ascii="Times New Roman" w:hAnsi="Times New Roman" w:eastAsia="方正仿宋_GBK"/>
                <w:b/>
                <w:bCs/>
                <w:sz w:val="24"/>
                <w:szCs w:val="32"/>
              </w:rPr>
              <w:t>乡村文旅社区（村落）。</w:t>
            </w:r>
            <w:r>
              <w:rPr>
                <w:rFonts w:ascii="Times New Roman" w:hAnsi="Times New Roman" w:eastAsia="方正仿宋_GBK"/>
                <w:bCs/>
                <w:sz w:val="24"/>
                <w:szCs w:val="32"/>
              </w:rPr>
              <w:t>打造</w:t>
            </w:r>
            <w:r>
              <w:rPr>
                <w:rFonts w:ascii="Times New Roman" w:hAnsi="Times New Roman" w:eastAsia="方正仿宋_GBK"/>
                <w:sz w:val="24"/>
                <w:szCs w:val="32"/>
              </w:rPr>
              <w:t>高燕镇红军村、巴山镇坪上村、修齐镇花坪村、修齐镇东和村、明通镇龙泉村、咸宜镇明月村、东安镇兴田村、北屏乡太平社区、高楠镇方斗村、复兴街道友谊社区、双河乡天星村、沿河乡迎红村、厚坪乡龙盘村、治平乡新胜村、岚天乡岚溪村、周溪乡鹿坪村、河鱼乡平溪村、庙坝镇香溪村、明中乡云燕村、龙田乡联丰村等乡村文旅社区（村落）。</w:t>
            </w:r>
          </w:p>
        </w:tc>
      </w:tr>
    </w:tbl>
    <w:p>
      <w:pPr>
        <w:overflowPunct w:val="0"/>
        <w:rPr>
          <w:rFonts w:ascii="Times New Roman" w:hAnsi="Times New Roman" w:eastAsia="方正黑体_GBK"/>
          <w:b/>
          <w:bCs/>
          <w:kern w:val="44"/>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2274" w:name="_Toc29314"/>
      <w:bookmarkStart w:id="2275" w:name="_Toc30493"/>
      <w:bookmarkStart w:id="2276" w:name="_Toc56"/>
      <w:bookmarkStart w:id="2277" w:name="_Toc9958"/>
      <w:bookmarkStart w:id="2278" w:name="_Toc31214"/>
      <w:bookmarkStart w:id="2279" w:name="_Toc31145"/>
      <w:bookmarkStart w:id="2280" w:name="_Toc11383"/>
      <w:bookmarkStart w:id="2281" w:name="_Toc30348"/>
      <w:bookmarkStart w:id="2282" w:name="_Toc9579"/>
      <w:bookmarkStart w:id="2283" w:name="_Toc25690"/>
      <w:bookmarkStart w:id="2284" w:name="_Toc7137"/>
      <w:bookmarkStart w:id="2285" w:name="_Toc31156"/>
      <w:bookmarkStart w:id="2286" w:name="_Toc12225"/>
      <w:bookmarkStart w:id="2287" w:name="_Toc5852"/>
      <w:bookmarkStart w:id="2288" w:name="_Toc12096"/>
      <w:bookmarkStart w:id="2289" w:name="_Toc14895"/>
      <w:bookmarkStart w:id="2290" w:name="_Toc27457"/>
      <w:bookmarkStart w:id="2291" w:name="_Toc12864"/>
      <w:r>
        <w:rPr>
          <w:rFonts w:ascii="Times New Roman" w:hAnsi="Times New Roman" w:eastAsia="方正黑体_GBK"/>
          <w:b/>
          <w:bCs/>
          <w:kern w:val="44"/>
          <w:sz w:val="32"/>
          <w:szCs w:val="32"/>
        </w:rPr>
        <w:t>第三十四章  健全文化产业体系</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坚持把社会效益放在首位、社会效益和经济效益相统一，深化文化体制改革，完善文化产业规划和政策，加强文化市场体系建设，扩大优质文化产品供给。</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292" w:name="_Toc13757"/>
      <w:bookmarkStart w:id="2293" w:name="_Toc25332"/>
      <w:bookmarkStart w:id="2294" w:name="_Toc12777"/>
      <w:bookmarkStart w:id="2295" w:name="_Toc21563"/>
      <w:bookmarkStart w:id="2296" w:name="_Toc23763"/>
      <w:bookmarkStart w:id="2297" w:name="_Toc4687"/>
      <w:bookmarkStart w:id="2298" w:name="_Toc17698"/>
      <w:bookmarkStart w:id="2299" w:name="_Toc21677"/>
      <w:bookmarkStart w:id="2300" w:name="_Toc1644"/>
      <w:bookmarkStart w:id="2301" w:name="_Toc2673"/>
      <w:bookmarkStart w:id="2302" w:name="_Toc30820"/>
      <w:bookmarkStart w:id="2303" w:name="_Toc9318"/>
      <w:bookmarkStart w:id="2304" w:name="_Toc5458"/>
      <w:bookmarkStart w:id="2305" w:name="_Toc5133"/>
      <w:bookmarkStart w:id="2306" w:name="_Toc21915"/>
      <w:bookmarkStart w:id="2307" w:name="_Toc9800"/>
      <w:bookmarkStart w:id="2308" w:name="_Toc21417"/>
      <w:bookmarkStart w:id="2309" w:name="_Toc27681"/>
      <w:r>
        <w:rPr>
          <w:rFonts w:ascii="Times New Roman" w:hAnsi="Times New Roman" w:eastAsia="方正楷体_GBK"/>
          <w:b/>
          <w:sz w:val="32"/>
          <w:szCs w:val="32"/>
        </w:rPr>
        <w:t>第一节  推动文化产业创新发展</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动文化与科技深度融合。注重乡村文化传承与创新相结合、保护与利用相结合，创新乡土文化资源利用方式，守住农耕文明根脉，促进传统文化在新时代展现新风采。创新发展文创产业，持续提升文创能力，多样性展现好文创产品。顺应数字化发展趋势，落实文化产业数字化战略，加快发展数字文化新型业态。</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310" w:name="_Toc2689"/>
      <w:bookmarkStart w:id="2311" w:name="_Toc19287"/>
      <w:bookmarkStart w:id="2312" w:name="_Toc8624"/>
      <w:bookmarkStart w:id="2313" w:name="_Toc18501"/>
      <w:bookmarkStart w:id="2314" w:name="_Toc8619"/>
      <w:bookmarkStart w:id="2315" w:name="_Toc31521"/>
      <w:bookmarkStart w:id="2316" w:name="_Toc21304"/>
      <w:bookmarkStart w:id="2317" w:name="_Toc32624"/>
      <w:bookmarkStart w:id="2318" w:name="_Toc31211"/>
      <w:bookmarkStart w:id="2319" w:name="_Toc1188"/>
      <w:bookmarkStart w:id="2320" w:name="_Toc8787"/>
      <w:bookmarkStart w:id="2321" w:name="_Toc7081"/>
      <w:bookmarkStart w:id="2322" w:name="_Toc14156"/>
      <w:bookmarkStart w:id="2323" w:name="_Toc19573"/>
      <w:bookmarkStart w:id="2324" w:name="_Toc21254"/>
      <w:bookmarkStart w:id="2325" w:name="_Toc2416"/>
      <w:bookmarkStart w:id="2326" w:name="_Toc20596"/>
      <w:bookmarkStart w:id="2327" w:name="_Toc17181"/>
      <w:r>
        <w:rPr>
          <w:rFonts w:ascii="Times New Roman" w:hAnsi="Times New Roman" w:eastAsia="方正楷体_GBK"/>
          <w:b/>
          <w:sz w:val="32"/>
          <w:szCs w:val="32"/>
        </w:rPr>
        <w:t>第二节  推动文化产业集聚协同发展</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overflowPunct w:val="0"/>
        <w:adjustRightInd w:val="0"/>
        <w:snapToGrid w:val="0"/>
        <w:spacing w:line="560" w:lineRule="exact"/>
        <w:ind w:firstLine="640" w:firstLineChars="200"/>
        <w:rPr>
          <w:rFonts w:ascii="Times New Roman" w:hAnsi="Times New Roman"/>
        </w:rPr>
      </w:pPr>
      <w:r>
        <w:rPr>
          <w:rFonts w:ascii="Times New Roman" w:hAnsi="Times New Roman" w:eastAsia="方正仿宋_GBK"/>
          <w:sz w:val="32"/>
          <w:szCs w:val="32"/>
        </w:rPr>
        <w:t>引导文化要素资源专业聚集发展，建设一批以内容生产、创意设计、文娱消费为主营业态的文化产业园区。实施文旅产业提升工程，依托山水人文资源，加快文旅产业聚集。建设科研科考、考古探险、影视拍摄基地，创新文化消费模式，培育文化消费市场。</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328" w:name="_Toc24439"/>
      <w:bookmarkStart w:id="2329" w:name="_Toc30371"/>
      <w:bookmarkStart w:id="2330" w:name="_Toc14756"/>
      <w:bookmarkStart w:id="2331" w:name="_Toc27094"/>
      <w:bookmarkStart w:id="2332" w:name="_Toc16122"/>
      <w:bookmarkStart w:id="2333" w:name="_Toc15319"/>
      <w:bookmarkStart w:id="2334" w:name="_Toc24305"/>
      <w:bookmarkStart w:id="2335" w:name="_Toc32368"/>
      <w:bookmarkStart w:id="2336" w:name="_Toc20188"/>
      <w:bookmarkStart w:id="2337" w:name="_Toc4009"/>
      <w:bookmarkStart w:id="2338" w:name="_Toc27238"/>
      <w:bookmarkStart w:id="2339" w:name="_Toc13262"/>
      <w:bookmarkStart w:id="2340" w:name="_Toc3781"/>
      <w:bookmarkStart w:id="2341" w:name="_Toc2747"/>
      <w:bookmarkStart w:id="2342" w:name="_Toc18947"/>
      <w:bookmarkStart w:id="2343" w:name="_Toc7160"/>
      <w:bookmarkStart w:id="2344" w:name="_Toc666"/>
      <w:bookmarkStart w:id="2345" w:name="_Toc14229"/>
      <w:r>
        <w:rPr>
          <w:rFonts w:ascii="Times New Roman" w:hAnsi="Times New Roman" w:eastAsia="方正楷体_GBK"/>
          <w:b/>
          <w:sz w:val="32"/>
          <w:szCs w:val="32"/>
        </w:rPr>
        <w:t>第三节  大力打造文化品牌</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bCs/>
          <w:sz w:val="32"/>
          <w:szCs w:val="32"/>
        </w:rPr>
        <w:t>谋划举办大型文化节会。</w:t>
      </w:r>
      <w:r>
        <w:rPr>
          <w:rFonts w:ascii="Times New Roman" w:hAnsi="Times New Roman" w:eastAsia="方正仿宋_GBK"/>
          <w:sz w:val="32"/>
          <w:szCs w:val="32"/>
        </w:rPr>
        <w:t>构建文化品牌培育体系。打造一批代表城口文化形象、体现一流艺术水准、深受人民群众喜爱的大型文化节会，擦亮“消夏养生节”“彩叶文化旅游节”两大招牌旅游文化活动，提升“巴山开门”赏春和“老家耍雪”炼冬文化活动影响力，配套开展大巴山民俗风情展演、非遗技艺比赛、土特产品博览、金牌美食展评等系列特色文化活动，推动文化与旅游深度融合发展，以文化提升旅游，以旅游传播文化。</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bCs/>
          <w:sz w:val="32"/>
          <w:szCs w:val="32"/>
        </w:rPr>
        <w:t>实施文化赋能行动计划。</w:t>
      </w:r>
      <w:r>
        <w:rPr>
          <w:rFonts w:ascii="Times New Roman" w:hAnsi="Times New Roman" w:eastAsia="方正仿宋_GBK"/>
          <w:sz w:val="32"/>
          <w:szCs w:val="32"/>
        </w:rPr>
        <w:t>坚持以文润城、以城营文，以文铸乡、以乡活文，以文塑旅、以旅彰文，全方位赋能空间格局、产业结构、生产方式、生活方式建设，打造城口文化名片，提升民众文化自信。建设一批文化教育基地，满足人民群众对高质量文化的需求。</w:t>
      </w:r>
    </w:p>
    <w:p>
      <w:pPr>
        <w:pStyle w:val="25"/>
        <w:overflowPunct w:val="0"/>
        <w:adjustRightInd w:val="0"/>
        <w:snapToGrid w:val="0"/>
        <w:spacing w:line="560" w:lineRule="exact"/>
        <w:ind w:firstLine="210"/>
        <w:rPr>
          <w:rFonts w:ascii="Times New Roman" w:hAnsi="Times New Roman"/>
        </w:rPr>
      </w:pPr>
    </w:p>
    <w:p>
      <w:pPr>
        <w:overflowPunct w:val="0"/>
        <w:adjustRightInd w:val="0"/>
        <w:snapToGrid w:val="0"/>
        <w:spacing w:line="560" w:lineRule="exact"/>
        <w:jc w:val="center"/>
        <w:outlineLvl w:val="0"/>
        <w:rPr>
          <w:rFonts w:ascii="Times New Roman" w:hAnsi="Times New Roman" w:eastAsia="方正小标宋_GBK"/>
          <w:b/>
          <w:bCs/>
          <w:kern w:val="44"/>
          <w:sz w:val="36"/>
          <w:szCs w:val="36"/>
        </w:rPr>
      </w:pPr>
      <w:bookmarkStart w:id="2346" w:name="_Toc1168"/>
      <w:bookmarkStart w:id="2347" w:name="_Toc21021"/>
      <w:bookmarkStart w:id="2348" w:name="_Toc59950100"/>
      <w:bookmarkStart w:id="2349" w:name="_Toc64"/>
      <w:bookmarkStart w:id="2350" w:name="_Toc4351"/>
      <w:bookmarkStart w:id="2351" w:name="_Toc26792"/>
      <w:bookmarkStart w:id="2352" w:name="_Toc6435"/>
      <w:bookmarkStart w:id="2353" w:name="_Toc32517"/>
      <w:bookmarkStart w:id="2354" w:name="_Toc11253"/>
      <w:bookmarkStart w:id="2355" w:name="_Toc11587"/>
      <w:bookmarkStart w:id="2356" w:name="_Toc25310"/>
      <w:bookmarkStart w:id="2357" w:name="_Toc31269"/>
      <w:bookmarkStart w:id="2358" w:name="_Toc19719"/>
      <w:bookmarkStart w:id="2359" w:name="_Toc25059"/>
      <w:bookmarkStart w:id="2360" w:name="_Toc18886"/>
      <w:bookmarkStart w:id="2361" w:name="_Toc24524"/>
      <w:bookmarkStart w:id="2362" w:name="_Toc31638"/>
      <w:bookmarkStart w:id="2363" w:name="_Toc23003"/>
      <w:bookmarkStart w:id="2364" w:name="_Toc1469"/>
      <w:bookmarkStart w:id="2365" w:name="_Toc17650"/>
      <w:r>
        <w:rPr>
          <w:rFonts w:ascii="Times New Roman" w:hAnsi="Times New Roman" w:eastAsia="方正小标宋_GBK"/>
          <w:b/>
          <w:bCs/>
          <w:kern w:val="44"/>
          <w:sz w:val="36"/>
          <w:szCs w:val="36"/>
        </w:rPr>
        <w:t>第十篇  努力创造高品质生活，提高社会建设水平</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overflowPunct w:val="0"/>
        <w:adjustRightInd w:val="0"/>
        <w:snapToGrid w:val="0"/>
        <w:spacing w:line="560" w:lineRule="exact"/>
        <w:ind w:firstLine="640" w:firstLineChars="200"/>
        <w:rPr>
          <w:rFonts w:ascii="Times New Roman" w:hAnsi="Times New Roman" w:eastAsia="方正仿宋_GBK"/>
          <w:sz w:val="32"/>
          <w:szCs w:val="32"/>
        </w:rPr>
      </w:pPr>
    </w:p>
    <w:p>
      <w:pPr>
        <w:overflowPunct w:val="0"/>
        <w:adjustRightInd w:val="0"/>
        <w:snapToGrid w:val="0"/>
        <w:spacing w:line="560" w:lineRule="exact"/>
        <w:ind w:firstLine="640" w:firstLineChars="200"/>
        <w:rPr>
          <w:rFonts w:ascii="Times New Roman" w:hAnsi="Times New Roman" w:eastAsia="方正仿宋_GBK"/>
          <w:sz w:val="32"/>
          <w:szCs w:val="32"/>
        </w:rPr>
      </w:pPr>
      <w:bookmarkStart w:id="2366" w:name="_Toc59950101"/>
      <w:r>
        <w:rPr>
          <w:rFonts w:ascii="Times New Roman" w:hAnsi="Times New Roman" w:eastAsia="方正仿宋_GBK"/>
          <w:sz w:val="32"/>
          <w:szCs w:val="32"/>
        </w:rPr>
        <w:t>坚持把实现好、维护好、发展好最广大人民利益作为发展的出发点和落脚点，提升公共服务质量和水平，完善共建共治共享的社会治理制度，扎实推进共同富裕，不断增强人民群众获得感、幸福感、安全感，促进人的全面发展和社会进步。</w:t>
      </w:r>
    </w:p>
    <w:p>
      <w:pPr>
        <w:overflowPunct w:val="0"/>
        <w:adjustRightInd w:val="0"/>
        <w:snapToGrid w:val="0"/>
        <w:spacing w:line="560" w:lineRule="exact"/>
        <w:ind w:firstLine="640" w:firstLineChars="200"/>
        <w:rPr>
          <w:rFonts w:ascii="Times New Roman" w:hAnsi="Times New Roman" w:eastAsia="方正仿宋_GBK"/>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2367" w:name="_Toc9491"/>
      <w:bookmarkStart w:id="2368" w:name="_Toc1546"/>
      <w:bookmarkStart w:id="2369" w:name="_Toc9394"/>
      <w:bookmarkStart w:id="2370" w:name="_Toc31409"/>
      <w:bookmarkStart w:id="2371" w:name="_Toc12041"/>
      <w:bookmarkStart w:id="2372" w:name="_Toc32712"/>
      <w:bookmarkStart w:id="2373" w:name="_Toc12429"/>
      <w:bookmarkStart w:id="2374" w:name="_Toc28496"/>
      <w:bookmarkStart w:id="2375" w:name="_Toc26684"/>
      <w:bookmarkStart w:id="2376" w:name="_Toc12601"/>
      <w:bookmarkStart w:id="2377" w:name="_Toc15882"/>
      <w:bookmarkStart w:id="2378" w:name="_Toc18027"/>
      <w:bookmarkStart w:id="2379" w:name="_Toc16141"/>
      <w:bookmarkStart w:id="2380" w:name="_Toc16053"/>
      <w:bookmarkStart w:id="2381" w:name="_Toc29732"/>
      <w:bookmarkStart w:id="2382" w:name="_Toc6397"/>
      <w:bookmarkStart w:id="2383" w:name="_Toc27508"/>
      <w:bookmarkStart w:id="2384" w:name="_Toc5432"/>
      <w:r>
        <w:rPr>
          <w:rFonts w:ascii="Times New Roman" w:hAnsi="Times New Roman" w:eastAsia="方正黑体_GBK"/>
          <w:b/>
          <w:bCs/>
          <w:kern w:val="44"/>
          <w:sz w:val="32"/>
          <w:szCs w:val="32"/>
        </w:rPr>
        <w:t>第三十五章  提高人民收入水平</w:t>
      </w:r>
      <w:bookmarkEnd w:id="2367"/>
      <w:bookmarkEnd w:id="2368"/>
      <w:bookmarkEnd w:id="2369"/>
      <w:bookmarkEnd w:id="2370"/>
      <w:bookmarkEnd w:id="2371"/>
      <w:bookmarkEnd w:id="2372"/>
      <w:bookmarkEnd w:id="2373"/>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sz w:val="32"/>
          <w:szCs w:val="32"/>
        </w:rPr>
        <w:t>坚持以人民为中心的发展思想，完善共建共治共享的社会治理制度，扎实推动共同富裕，不断增强人民群众获得感、幸福感、安全感。</w:t>
      </w:r>
      <w:r>
        <w:rPr>
          <w:rFonts w:ascii="Times New Roman" w:hAnsi="Times New Roman" w:eastAsia="方正仿宋_GBK"/>
          <w:bCs/>
          <w:sz w:val="32"/>
          <w:szCs w:val="32"/>
        </w:rPr>
        <w:t>坚持按劳分配的原则，完善工资制度，健全工资合理增长机制，努力扩大中等收入群体数量。</w:t>
      </w:r>
      <w:r>
        <w:rPr>
          <w:rFonts w:ascii="Times New Roman" w:hAnsi="Times New Roman" w:eastAsia="方正仿宋_GBK"/>
          <w:sz w:val="32"/>
          <w:szCs w:val="32"/>
        </w:rPr>
        <w:t>鼓励勤劳守法致富，保护居民合法收入，增加低收入者收入，缩小城乡、行业收入差距。</w:t>
      </w:r>
    </w:p>
    <w:p>
      <w:pPr>
        <w:overflowPunct w:val="0"/>
        <w:adjustRightInd w:val="0"/>
        <w:snapToGrid w:val="0"/>
        <w:spacing w:line="560" w:lineRule="exact"/>
        <w:jc w:val="center"/>
        <w:outlineLvl w:val="1"/>
        <w:rPr>
          <w:rFonts w:ascii="Times New Roman" w:hAnsi="Times New Roman" w:eastAsia="方正黑体_GBK"/>
          <w:b/>
          <w:bCs/>
          <w:kern w:val="44"/>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2385" w:name="_Toc32147"/>
      <w:bookmarkStart w:id="2386" w:name="_Toc3896"/>
      <w:bookmarkStart w:id="2387" w:name="_Toc15107"/>
      <w:bookmarkStart w:id="2388" w:name="_Toc28657"/>
      <w:bookmarkStart w:id="2389" w:name="_Toc30546"/>
      <w:bookmarkStart w:id="2390" w:name="_Toc14351"/>
      <w:bookmarkStart w:id="2391" w:name="_Toc2781"/>
      <w:r>
        <w:rPr>
          <w:rFonts w:ascii="Times New Roman" w:hAnsi="Times New Roman" w:eastAsia="方正黑体_GBK"/>
          <w:b/>
          <w:bCs/>
          <w:kern w:val="44"/>
          <w:sz w:val="32"/>
          <w:szCs w:val="32"/>
        </w:rPr>
        <w:t>第三十六章  促进更加充分更高质量就业</w:t>
      </w:r>
      <w:bookmarkEnd w:id="2385"/>
      <w:bookmarkEnd w:id="2386"/>
      <w:bookmarkEnd w:id="2387"/>
      <w:bookmarkEnd w:id="2388"/>
      <w:bookmarkEnd w:id="2389"/>
      <w:bookmarkEnd w:id="2390"/>
      <w:bookmarkEnd w:id="2391"/>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千方百计稳定和扩大就业，坚持经济发展与就业增长良性互动，扩大就业容量，提升就业质量，促进充分就业，保障劳动者待遇和权益。</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392" w:name="_Toc30800"/>
      <w:bookmarkStart w:id="2393" w:name="_Toc28310"/>
      <w:bookmarkStart w:id="2394" w:name="_Toc10523"/>
      <w:bookmarkStart w:id="2395" w:name="_Toc23504"/>
      <w:bookmarkStart w:id="2396" w:name="_Toc25538"/>
      <w:bookmarkStart w:id="2397" w:name="_Toc17240"/>
      <w:bookmarkStart w:id="2398" w:name="_Toc31734"/>
      <w:r>
        <w:rPr>
          <w:rFonts w:ascii="Times New Roman" w:hAnsi="Times New Roman" w:eastAsia="方正楷体_GBK"/>
          <w:b/>
          <w:sz w:val="32"/>
          <w:szCs w:val="32"/>
        </w:rPr>
        <w:t>第一节  健全就业创业服务体系</w:t>
      </w:r>
      <w:bookmarkEnd w:id="2392"/>
      <w:bookmarkEnd w:id="2393"/>
      <w:bookmarkEnd w:id="2394"/>
      <w:bookmarkEnd w:id="2395"/>
      <w:bookmarkEnd w:id="2396"/>
      <w:bookmarkEnd w:id="2397"/>
      <w:bookmarkEnd w:id="2398"/>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快推进公共就业创业服务标准化、专业化建设。健全覆盖城乡、服务均等的公共服务就业体系。完善农民工就业体系，提高创新就业服务能力，构建“互联网+就业创业服务”全流程线上服务生态。推行终身职业技能培训制度，培养“技能+职能”双能人才。</w:t>
      </w:r>
      <w:r>
        <w:rPr>
          <w:rFonts w:ascii="Times New Roman" w:hAnsi="Times New Roman" w:eastAsia="方正仿宋_GBK"/>
          <w:bCs/>
          <w:sz w:val="32"/>
          <w:szCs w:val="32"/>
        </w:rPr>
        <w:t>积极培育人力资源服务机构和劳务经纪人，健全三级服务体系，大力推动劳务经济发展。</w:t>
      </w:r>
      <w:r>
        <w:rPr>
          <w:rFonts w:ascii="Times New Roman" w:hAnsi="Times New Roman" w:eastAsia="方正仿宋_GBK"/>
          <w:sz w:val="32"/>
          <w:szCs w:val="32"/>
        </w:rPr>
        <w:t>建立健全就业失业统计监测预警体系，加强规模性失业预警。落实和谐劳动关系的体制机制，提升劳动关系基层治理能力。建立健全失业保险制度，形成促进就业、防范失业的长效机制。</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399" w:name="_Toc3732"/>
      <w:bookmarkStart w:id="2400" w:name="_Toc1304"/>
      <w:bookmarkStart w:id="2401" w:name="_Toc2660"/>
      <w:bookmarkStart w:id="2402" w:name="_Toc15932"/>
      <w:bookmarkStart w:id="2403" w:name="_Toc23468"/>
      <w:bookmarkStart w:id="2404" w:name="_Toc16911"/>
      <w:bookmarkStart w:id="2405" w:name="_Toc30746"/>
      <w:r>
        <w:rPr>
          <w:rFonts w:ascii="Times New Roman" w:hAnsi="Times New Roman" w:eastAsia="方正楷体_GBK"/>
          <w:b/>
          <w:sz w:val="32"/>
          <w:szCs w:val="32"/>
        </w:rPr>
        <w:t>第二节  促进重点群体就业</w:t>
      </w:r>
      <w:bookmarkEnd w:id="2399"/>
      <w:bookmarkEnd w:id="2400"/>
      <w:bookmarkEnd w:id="2401"/>
      <w:bookmarkEnd w:id="2402"/>
      <w:bookmarkEnd w:id="2403"/>
      <w:bookmarkEnd w:id="2404"/>
      <w:bookmarkEnd w:id="2405"/>
    </w:p>
    <w:p>
      <w:pPr>
        <w:overflowPunct w:val="0"/>
        <w:adjustRightInd w:val="0"/>
        <w:snapToGrid w:val="0"/>
        <w:spacing w:line="560" w:lineRule="exact"/>
        <w:ind w:firstLine="640" w:firstLineChars="200"/>
        <w:jc w:val="left"/>
        <w:rPr>
          <w:rFonts w:ascii="Times New Roman" w:hAnsi="Times New Roman"/>
        </w:rPr>
      </w:pPr>
      <w:r>
        <w:rPr>
          <w:rFonts w:ascii="Times New Roman" w:hAnsi="Times New Roman" w:eastAsia="方正仿宋_GBK"/>
          <w:sz w:val="32"/>
          <w:szCs w:val="32"/>
        </w:rPr>
        <w:t>大力开发就业岗位，注重提高产业发展、重大项目、重点民生工程等就业吸纳能力。充分发挥平台经济、共享经济等新经济的促进作用，鼓励新职业、新就业形态发展，支持多渠道灵活就业。落实百万青年就业促进计划、高校毕业生就业创业促进计划和基层成长计划。强化农民工职业技能培训和就业引导，提高农民工劳务输出组织化程度。落实“渝创渝新”创业促进计划，扶持创业项目发展，促进创业带动就业。加强困难人员就业援助，规范公益性岗位开发管理，对长期失业人员实施“一对一”帮扶，积极拓展退役军人、残疾人等重点群体就业渠道，确保城镇零就业家庭动态清零。</w:t>
      </w:r>
    </w:p>
    <w:p>
      <w:pPr>
        <w:overflowPunct w:val="0"/>
        <w:rPr>
          <w:rFonts w:ascii="Times New Roman" w:hAnsi="Times New Roman" w:eastAsia="方正黑体_GBK"/>
          <w:b/>
          <w:bCs/>
          <w:kern w:val="44"/>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highlight w:val="yellow"/>
        </w:rPr>
      </w:pPr>
      <w:bookmarkStart w:id="2406" w:name="_Toc30542"/>
      <w:bookmarkStart w:id="2407" w:name="_Toc12500"/>
      <w:bookmarkStart w:id="2408" w:name="_Toc28152"/>
      <w:bookmarkStart w:id="2409" w:name="_Toc18775"/>
      <w:bookmarkStart w:id="2410" w:name="_Toc15678"/>
      <w:bookmarkStart w:id="2411" w:name="_Toc3510"/>
      <w:bookmarkStart w:id="2412" w:name="_Toc11147"/>
      <w:r>
        <w:rPr>
          <w:rFonts w:ascii="Times New Roman" w:hAnsi="Times New Roman" w:eastAsia="方正黑体_GBK"/>
          <w:b/>
          <w:bCs/>
          <w:kern w:val="44"/>
          <w:sz w:val="32"/>
          <w:szCs w:val="32"/>
        </w:rPr>
        <w:t>第三十七章  优先发展教育事业</w:t>
      </w:r>
      <w:bookmarkEnd w:id="2366"/>
      <w:bookmarkEnd w:id="2374"/>
      <w:bookmarkEnd w:id="2375"/>
      <w:bookmarkEnd w:id="2376"/>
      <w:bookmarkEnd w:id="2377"/>
      <w:bookmarkEnd w:id="2378"/>
      <w:bookmarkEnd w:id="2379"/>
      <w:bookmarkEnd w:id="2380"/>
      <w:bookmarkEnd w:id="2381"/>
      <w:bookmarkEnd w:id="2382"/>
      <w:bookmarkEnd w:id="2383"/>
      <w:bookmarkEnd w:id="2384"/>
      <w:bookmarkEnd w:id="2406"/>
      <w:bookmarkEnd w:id="2407"/>
      <w:bookmarkEnd w:id="2408"/>
      <w:bookmarkEnd w:id="2409"/>
      <w:bookmarkEnd w:id="2410"/>
      <w:bookmarkEnd w:id="2411"/>
      <w:bookmarkEnd w:id="2412"/>
    </w:p>
    <w:p>
      <w:pPr>
        <w:overflowPunct w:val="0"/>
        <w:adjustRightInd w:val="0"/>
        <w:snapToGrid w:val="0"/>
        <w:spacing w:line="560" w:lineRule="exact"/>
        <w:ind w:firstLine="640" w:firstLineChars="200"/>
        <w:rPr>
          <w:rFonts w:ascii="Times New Roman" w:hAnsi="Times New Roman" w:eastAsia="方正仿宋_GBK"/>
          <w:sz w:val="32"/>
          <w:szCs w:val="32"/>
        </w:rPr>
      </w:pPr>
      <w:bookmarkStart w:id="2413" w:name="_Toc59950102"/>
      <w:r>
        <w:rPr>
          <w:rFonts w:ascii="Times New Roman" w:hAnsi="Times New Roman" w:eastAsia="方正仿宋_GBK"/>
          <w:sz w:val="32"/>
          <w:szCs w:val="32"/>
        </w:rPr>
        <w:t>树牢“红色城口·多彩教育”发展理念，聚焦建设教育强县奋斗目标，加快教育改革，促进教育公平，加快教育现代化，提升教育水平，努力办好人民满意教育。</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414" w:name="_Toc23167"/>
      <w:bookmarkStart w:id="2415" w:name="_Toc29641"/>
      <w:bookmarkStart w:id="2416" w:name="_Toc18943"/>
      <w:bookmarkStart w:id="2417" w:name="_Toc30687"/>
      <w:bookmarkStart w:id="2418" w:name="_Toc31234"/>
      <w:bookmarkStart w:id="2419" w:name="_Toc7140"/>
      <w:bookmarkStart w:id="2420" w:name="_Toc22861"/>
      <w:bookmarkStart w:id="2421" w:name="_Toc19991"/>
      <w:bookmarkStart w:id="2422" w:name="_Toc32294"/>
      <w:bookmarkStart w:id="2423" w:name="_Toc17323"/>
      <w:bookmarkStart w:id="2424" w:name="_Toc14006"/>
      <w:bookmarkStart w:id="2425" w:name="_Toc19127"/>
      <w:bookmarkStart w:id="2426" w:name="_Toc7573"/>
      <w:bookmarkStart w:id="2427" w:name="_Toc20444"/>
      <w:bookmarkStart w:id="2428" w:name="_Toc12586"/>
      <w:bookmarkStart w:id="2429" w:name="_Toc28439"/>
      <w:bookmarkStart w:id="2430" w:name="_Toc25778"/>
      <w:bookmarkStart w:id="2431" w:name="_Toc11429"/>
      <w:r>
        <w:rPr>
          <w:rFonts w:ascii="Times New Roman" w:hAnsi="Times New Roman" w:eastAsia="方正楷体_GBK"/>
          <w:b/>
          <w:sz w:val="32"/>
          <w:szCs w:val="32"/>
        </w:rPr>
        <w:t xml:space="preserve">第一节  </w:t>
      </w:r>
      <w:bookmarkEnd w:id="2413"/>
      <w:r>
        <w:rPr>
          <w:rFonts w:ascii="Times New Roman" w:hAnsi="Times New Roman" w:eastAsia="方正楷体_GBK"/>
          <w:b/>
          <w:sz w:val="32"/>
          <w:szCs w:val="32"/>
        </w:rPr>
        <w:t>推进基本公共教育优质发展</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坚持教育公益性原则，适应人口变化，全面优化基本公共教育布局结构和资源配置。</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动义务教育优质均衡发展。统筹推进城乡义务教育一体化发展，努力创建义务教育发展优质均衡县。加快推进木瓜坝小学、茅坪小学、蓼子乡第一中心小学、教师进修校迁建等项目，消除“大班额”，解决义务教育“乡村弱、城镇挤”问题。完善特殊教育保障机制，为特殊儿童提供更公平、更优质教育条件。</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动普通高中特色差异发展。新建城口高级中学。全面推进高中教育资源升级改造工程，深化优生联合培养计划，打造区域高中教育特色品牌。积极融入临沂东西协作联盟、九龙坡对口协同联盟，继续深化与重庆师范大学合作办学。</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进学前教育普惠发展。努力扩充普惠性学前教育资源供给，着力解决“入好园难”问题。充分利用撤并学校资源合理设置幼儿园、托儿所等，大力发展学前幼儿教育。新建明通镇、庙坝镇等幼儿园，整顿规范小区配套幼儿园，合理新增教学及辅助用房、生活用房，完善配套设施。</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432" w:name="_Toc1875"/>
      <w:bookmarkStart w:id="2433" w:name="_Toc16288"/>
      <w:bookmarkStart w:id="2434" w:name="_Toc8255"/>
      <w:bookmarkStart w:id="2435" w:name="_Toc22083"/>
      <w:bookmarkStart w:id="2436" w:name="_Toc19302"/>
      <w:bookmarkStart w:id="2437" w:name="_Toc7282"/>
      <w:bookmarkStart w:id="2438" w:name="_Toc3974"/>
      <w:bookmarkStart w:id="2439" w:name="_Toc31040"/>
      <w:bookmarkStart w:id="2440" w:name="_Toc13993"/>
      <w:bookmarkStart w:id="2441" w:name="_Toc32760"/>
      <w:bookmarkStart w:id="2442" w:name="_Toc16791"/>
      <w:bookmarkStart w:id="2443" w:name="_Toc28531"/>
      <w:bookmarkStart w:id="2444" w:name="_Toc11399"/>
      <w:bookmarkStart w:id="2445" w:name="_Toc23242"/>
      <w:bookmarkStart w:id="2446" w:name="_Toc21785"/>
      <w:bookmarkStart w:id="2447" w:name="_Toc19498"/>
      <w:bookmarkStart w:id="2448" w:name="_Toc17127"/>
      <w:bookmarkStart w:id="2449" w:name="_Toc31063"/>
      <w:r>
        <w:rPr>
          <w:rFonts w:ascii="Times New Roman" w:hAnsi="Times New Roman" w:eastAsia="方正楷体_GBK"/>
          <w:b/>
          <w:sz w:val="32"/>
          <w:szCs w:val="32"/>
        </w:rPr>
        <w:t>第二节  增强教育服务支撑高质量发展能力</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overflowPunct w:val="0"/>
        <w:adjustRightInd w:val="0"/>
        <w:snapToGrid w:val="0"/>
        <w:spacing w:line="560" w:lineRule="exact"/>
        <w:ind w:firstLine="640" w:firstLineChars="200"/>
        <w:rPr>
          <w:rFonts w:ascii="Times New Roman" w:hAnsi="Times New Roman" w:eastAsia="方正楷体_GBK"/>
          <w:b/>
          <w:sz w:val="32"/>
          <w:szCs w:val="32"/>
        </w:rPr>
      </w:pPr>
      <w:r>
        <w:rPr>
          <w:rFonts w:ascii="Times New Roman" w:hAnsi="Times New Roman" w:eastAsia="方正仿宋_GBK"/>
          <w:sz w:val="32"/>
          <w:szCs w:val="32"/>
        </w:rPr>
        <w:t>建设新时代高素质教师队伍。推进教师队伍建设改革。优化全县教师资源配置，合理核定教职工编制，盘活编制存量，优化编制结构。加强师德师风建设，完善教师全员聘用制和优秀教师定期评选制度。推进职业教育产教融合。深化产教融合，强化“PPP托管模式”的研究与应用。完善职业教育“双基地”“双师型”“双证书”职教培训机制。</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450" w:name="_Toc59950104"/>
      <w:bookmarkStart w:id="2451" w:name="_Toc17274"/>
      <w:bookmarkStart w:id="2452" w:name="_Toc5168"/>
      <w:bookmarkStart w:id="2453" w:name="_Toc24147"/>
      <w:bookmarkStart w:id="2454" w:name="_Toc18422"/>
      <w:bookmarkStart w:id="2455" w:name="_Toc22510"/>
      <w:bookmarkStart w:id="2456" w:name="_Toc23141"/>
      <w:bookmarkStart w:id="2457" w:name="_Toc21157"/>
      <w:bookmarkStart w:id="2458" w:name="_Toc8051"/>
      <w:bookmarkStart w:id="2459" w:name="_Toc3265"/>
      <w:bookmarkStart w:id="2460" w:name="_Toc27415"/>
      <w:bookmarkStart w:id="2461" w:name="_Toc19951"/>
      <w:bookmarkStart w:id="2462" w:name="_Toc10429"/>
      <w:bookmarkStart w:id="2463" w:name="_Toc18951"/>
      <w:bookmarkStart w:id="2464" w:name="_Toc22439"/>
      <w:bookmarkStart w:id="2465" w:name="_Toc29071"/>
      <w:bookmarkStart w:id="2466" w:name="_Toc17526"/>
      <w:bookmarkStart w:id="2467" w:name="_Toc25922"/>
      <w:bookmarkStart w:id="2468" w:name="_Toc22636"/>
      <w:r>
        <w:rPr>
          <w:rFonts w:ascii="Times New Roman" w:hAnsi="Times New Roman" w:eastAsia="方正楷体_GBK"/>
          <w:b/>
          <w:sz w:val="32"/>
          <w:szCs w:val="32"/>
        </w:rPr>
        <w:t xml:space="preserve">第三节  </w:t>
      </w:r>
      <w:bookmarkEnd w:id="2450"/>
      <w:r>
        <w:rPr>
          <w:rFonts w:ascii="Times New Roman" w:hAnsi="Times New Roman" w:eastAsia="方正楷体_GBK"/>
          <w:b/>
          <w:sz w:val="32"/>
          <w:szCs w:val="32"/>
        </w:rPr>
        <w:t>加快完善现代教育治理体系</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overflowPunct w:val="0"/>
        <w:adjustRightInd w:val="0"/>
        <w:snapToGrid w:val="0"/>
        <w:spacing w:line="560" w:lineRule="exact"/>
        <w:ind w:firstLine="640" w:firstLineChars="200"/>
        <w:rPr>
          <w:rFonts w:ascii="Times New Roman" w:hAnsi="Times New Roman" w:eastAsia="方正仿宋_GBK"/>
          <w:sz w:val="32"/>
          <w:szCs w:val="32"/>
        </w:rPr>
      </w:pPr>
      <w:bookmarkStart w:id="2469" w:name="_Toc59950105"/>
      <w:r>
        <w:rPr>
          <w:rFonts w:ascii="Times New Roman" w:hAnsi="Times New Roman" w:eastAsia="方正仿宋_GBK"/>
          <w:sz w:val="32"/>
          <w:szCs w:val="32"/>
        </w:rPr>
        <w:t>健全立德树人系统化落实机制、教育领导体制和学校家庭社会协同育人机制。全面加强素质教育，重视青少年身体素质和心理健康教育。赋予学校更大办学自主权，激发各类学校办学活力。深化新时代教育督导体制机制改革，系统推进教育评价改革。进一步规范办学、招生和教学等秩序，积极稳妥推进考试招生改革。规范民办教育和校外培训机构。构建覆盖全县的智慧教育体系，推动优质教育资源辐射乡村薄弱学校。大力发展社区教育，建设学习型社会。落实教育投入优先保障机制。</w:t>
      </w:r>
      <w:bookmarkEnd w:id="2469"/>
    </w:p>
    <w:p>
      <w:pPr>
        <w:overflowPunct w:val="0"/>
        <w:spacing w:line="480" w:lineRule="exact"/>
        <w:jc w:val="center"/>
        <w:rPr>
          <w:rFonts w:ascii="Times New Roman" w:hAnsi="Times New Roman" w:eastAsia="方正黑体_GBK"/>
          <w:sz w:val="28"/>
          <w:szCs w:val="28"/>
        </w:rPr>
      </w:pPr>
      <w:bookmarkStart w:id="2470" w:name="_Toc59950106"/>
      <w:r>
        <w:rPr>
          <w:rFonts w:ascii="Times New Roman" w:hAnsi="Times New Roman" w:eastAsia="方正黑体_GBK"/>
          <w:sz w:val="28"/>
          <w:szCs w:val="28"/>
        </w:rPr>
        <w:t>专栏19  教育重点工程</w:t>
      </w:r>
    </w:p>
    <w:tbl>
      <w:tblPr>
        <w:tblStyle w:val="27"/>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76"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2" w:firstLineChars="200"/>
              <w:rPr>
                <w:rFonts w:ascii="Times New Roman" w:hAnsi="Times New Roman" w:eastAsia="方正仿宋_GBK"/>
                <w:bCs/>
                <w:sz w:val="24"/>
                <w:szCs w:val="32"/>
              </w:rPr>
            </w:pPr>
            <w:r>
              <w:rPr>
                <w:rFonts w:ascii="Times New Roman" w:hAnsi="Times New Roman" w:eastAsia="方正仿宋_GBK"/>
                <w:b/>
                <w:sz w:val="24"/>
                <w:szCs w:val="32"/>
              </w:rPr>
              <w:t>基础教育。</w:t>
            </w:r>
            <w:r>
              <w:rPr>
                <w:rFonts w:ascii="Times New Roman" w:hAnsi="Times New Roman" w:eastAsia="方正仿宋_GBK"/>
                <w:bCs/>
                <w:sz w:val="24"/>
                <w:szCs w:val="32"/>
              </w:rPr>
              <w:t>实施学前教育普惠优质发展计划，推进示范幼儿园集团化办学建设项目。到2025年，全县公办幼儿园占比提高到95%以上，普惠率巩固在90%以上，二级及以上幼儿园占比达到60%以上。实施义务教育优质资源拓展计划，新建及改扩建幼儿园12所、义务教育学校11所、高中2所。</w:t>
            </w:r>
          </w:p>
          <w:p>
            <w:pPr>
              <w:overflowPunct w:val="0"/>
              <w:spacing w:line="400" w:lineRule="exact"/>
              <w:ind w:firstLine="482" w:firstLineChars="200"/>
              <w:rPr>
                <w:rFonts w:ascii="Times New Roman" w:hAnsi="Times New Roman" w:eastAsia="方正仿宋_GBK"/>
                <w:bCs/>
                <w:sz w:val="24"/>
                <w:szCs w:val="32"/>
              </w:rPr>
            </w:pPr>
            <w:r>
              <w:rPr>
                <w:rFonts w:ascii="Times New Roman" w:hAnsi="Times New Roman" w:eastAsia="方正仿宋_GBK"/>
                <w:b/>
                <w:sz w:val="24"/>
                <w:szCs w:val="32"/>
              </w:rPr>
              <w:t>职业教育。</w:t>
            </w:r>
            <w:r>
              <w:rPr>
                <w:rFonts w:ascii="Times New Roman" w:hAnsi="Times New Roman" w:eastAsia="方正仿宋_GBK"/>
                <w:bCs/>
                <w:sz w:val="24"/>
                <w:szCs w:val="32"/>
              </w:rPr>
              <w:t>实施职业教育融合规范发展计划，推进职业教育中心改扩建项目建设，到2025年，中职“双师型”教师数量占比达到75%以上，学生技能等级证获得率95%以上，学生就业稳定率90%以上，建成2个市级职教高水平专业</w:t>
            </w:r>
            <w:r>
              <w:rPr>
                <w:rFonts w:ascii="Times New Roman" w:hAnsi="Times New Roman" w:eastAsia="方正仿宋_GBK"/>
                <w:sz w:val="24"/>
                <w:szCs w:val="32"/>
              </w:rPr>
              <w:t>。</w:t>
            </w:r>
          </w:p>
          <w:p>
            <w:pPr>
              <w:overflowPunct w:val="0"/>
              <w:spacing w:line="400" w:lineRule="exact"/>
              <w:ind w:firstLine="482" w:firstLineChars="200"/>
              <w:rPr>
                <w:rFonts w:ascii="Times New Roman" w:hAnsi="Times New Roman" w:eastAsia="方正仿宋_GBK"/>
                <w:sz w:val="24"/>
                <w:szCs w:val="32"/>
              </w:rPr>
            </w:pPr>
            <w:r>
              <w:rPr>
                <w:rFonts w:ascii="Times New Roman" w:hAnsi="Times New Roman" w:eastAsia="方正仿宋_GBK"/>
                <w:b/>
                <w:bCs/>
                <w:sz w:val="24"/>
                <w:szCs w:val="32"/>
              </w:rPr>
              <w:t>民办教育。</w:t>
            </w:r>
            <w:r>
              <w:rPr>
                <w:rFonts w:ascii="Times New Roman" w:hAnsi="Times New Roman" w:eastAsia="方正仿宋_GBK"/>
                <w:bCs/>
                <w:sz w:val="24"/>
                <w:szCs w:val="32"/>
              </w:rPr>
              <w:t>实施民办教育融合规范发展计划，推进北大街高品质民办幼儿园、市级技工院校（城口分校）建设项目</w:t>
            </w:r>
            <w:r>
              <w:rPr>
                <w:rFonts w:ascii="Times New Roman" w:hAnsi="Times New Roman" w:eastAsia="方正仿宋_GBK"/>
                <w:sz w:val="24"/>
                <w:szCs w:val="32"/>
              </w:rPr>
              <w:t>。</w:t>
            </w:r>
          </w:p>
          <w:p>
            <w:pPr>
              <w:overflowPunct w:val="0"/>
              <w:spacing w:line="400" w:lineRule="exact"/>
              <w:ind w:firstLine="482" w:firstLineChars="200"/>
              <w:rPr>
                <w:rFonts w:ascii="Times New Roman" w:hAnsi="Times New Roman" w:eastAsia="方正仿宋_GBK"/>
                <w:sz w:val="24"/>
                <w:szCs w:val="32"/>
              </w:rPr>
            </w:pPr>
            <w:r>
              <w:rPr>
                <w:rFonts w:ascii="Times New Roman" w:hAnsi="Times New Roman" w:eastAsia="方正仿宋_GBK"/>
                <w:b/>
                <w:bCs/>
                <w:sz w:val="24"/>
                <w:szCs w:val="32"/>
              </w:rPr>
              <w:t>教育信息化。</w:t>
            </w:r>
            <w:r>
              <w:rPr>
                <w:rFonts w:ascii="Times New Roman" w:hAnsi="Times New Roman" w:eastAsia="方正仿宋_GBK"/>
                <w:bCs/>
                <w:sz w:val="24"/>
                <w:szCs w:val="32"/>
              </w:rPr>
              <w:t>推进“智慧校园”建设、“互联网+教育”，推动智能技术与教育教学深度融合，搭建集基础支撑平台、人人通空间、资源中心和智能教学管理系统于一体的县级教育云计算数据中心，推进5G+智慧教育硬件环境建设及5G+智慧教育创新应用建设，促进教学内容、教学形式、学习方式、学习评价创新，实现教学模式转变。</w:t>
            </w:r>
            <w:r>
              <w:rPr>
                <w:rFonts w:ascii="Times New Roman" w:hAnsi="Times New Roman" w:eastAsia="方正仿宋_GBK"/>
                <w:sz w:val="24"/>
                <w:szCs w:val="32"/>
              </w:rPr>
              <w:t>建设市级智慧校园示范学校</w:t>
            </w:r>
            <w:r>
              <w:rPr>
                <w:rFonts w:ascii="Times New Roman" w:hAnsi="Times New Roman" w:eastAsia="方正仿宋_GBK"/>
                <w:bCs/>
                <w:sz w:val="24"/>
                <w:szCs w:val="32"/>
              </w:rPr>
              <w:t>15</w:t>
            </w:r>
            <w:r>
              <w:rPr>
                <w:rFonts w:ascii="Times New Roman" w:hAnsi="Times New Roman" w:eastAsia="方正仿宋_GBK"/>
                <w:sz w:val="24"/>
                <w:szCs w:val="32"/>
              </w:rPr>
              <w:t>所、市级“名校网络课堂”示范学校</w:t>
            </w:r>
            <w:r>
              <w:rPr>
                <w:rFonts w:ascii="Times New Roman" w:hAnsi="Times New Roman" w:eastAsia="方正仿宋_GBK"/>
                <w:bCs/>
                <w:sz w:val="24"/>
                <w:szCs w:val="32"/>
              </w:rPr>
              <w:t>10</w:t>
            </w:r>
            <w:r>
              <w:rPr>
                <w:rFonts w:ascii="Times New Roman" w:hAnsi="Times New Roman" w:eastAsia="方正仿宋_GBK"/>
                <w:sz w:val="24"/>
                <w:szCs w:val="32"/>
              </w:rPr>
              <w:t>所。</w:t>
            </w:r>
          </w:p>
          <w:p>
            <w:pPr>
              <w:overflowPunct w:val="0"/>
              <w:spacing w:line="400" w:lineRule="exact"/>
              <w:ind w:firstLine="482" w:firstLineChars="200"/>
              <w:rPr>
                <w:rFonts w:ascii="Times New Roman" w:hAnsi="Times New Roman" w:eastAsia="方正仿宋_GBK"/>
                <w:bCs/>
                <w:sz w:val="24"/>
                <w:szCs w:val="32"/>
              </w:rPr>
            </w:pPr>
            <w:r>
              <w:rPr>
                <w:rFonts w:ascii="Times New Roman" w:hAnsi="Times New Roman" w:eastAsia="方正仿宋_GBK"/>
                <w:b/>
                <w:bCs/>
                <w:sz w:val="24"/>
                <w:szCs w:val="32"/>
              </w:rPr>
              <w:t>教师队伍。</w:t>
            </w:r>
            <w:r>
              <w:rPr>
                <w:rFonts w:ascii="Times New Roman" w:hAnsi="Times New Roman" w:eastAsia="方正仿宋_GBK"/>
                <w:bCs/>
                <w:sz w:val="24"/>
                <w:szCs w:val="32"/>
              </w:rPr>
              <w:t>建成9个县级名师工作室，3个名校长工作室。培育市级骨干校长5人、市级骨干教师50人、市级学科名师20名，全县教师学历达标率100%。</w:t>
            </w:r>
          </w:p>
          <w:p>
            <w:pPr>
              <w:overflowPunct w:val="0"/>
              <w:spacing w:line="400" w:lineRule="exact"/>
              <w:ind w:firstLine="482" w:firstLineChars="200"/>
              <w:rPr>
                <w:rFonts w:ascii="Times New Roman" w:hAnsi="Times New Roman" w:eastAsia="方正仿宋_GBK"/>
                <w:bCs/>
                <w:sz w:val="24"/>
                <w:szCs w:val="32"/>
              </w:rPr>
            </w:pPr>
            <w:r>
              <w:rPr>
                <w:rFonts w:ascii="Times New Roman" w:hAnsi="Times New Roman" w:eastAsia="方正仿宋_GBK"/>
                <w:b/>
                <w:sz w:val="24"/>
                <w:szCs w:val="32"/>
              </w:rPr>
              <w:t>教育基地建设。</w:t>
            </w:r>
            <w:r>
              <w:rPr>
                <w:rFonts w:ascii="Times New Roman" w:hAnsi="Times New Roman" w:eastAsia="方正仿宋_GBK"/>
                <w:bCs/>
                <w:sz w:val="24"/>
                <w:szCs w:val="32"/>
              </w:rPr>
              <w:t>建成一批教育示范基地，推进社会实践与劳动教育基地、农民田间学校等项目建设。</w:t>
            </w:r>
          </w:p>
        </w:tc>
      </w:tr>
    </w:tbl>
    <w:p>
      <w:pPr>
        <w:overflowPunct w:val="0"/>
        <w:adjustRightInd w:val="0"/>
        <w:snapToGrid w:val="0"/>
        <w:spacing w:line="560" w:lineRule="exact"/>
        <w:rPr>
          <w:rFonts w:ascii="Times New Roman" w:hAnsi="Times New Roman" w:eastAsia="方正仿宋_GBK"/>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2471" w:name="_Toc8748"/>
      <w:bookmarkStart w:id="2472" w:name="_Toc5958"/>
      <w:bookmarkStart w:id="2473" w:name="_Toc600"/>
      <w:bookmarkStart w:id="2474" w:name="_Toc24859"/>
      <w:bookmarkStart w:id="2475" w:name="_Toc31233"/>
      <w:bookmarkStart w:id="2476" w:name="_Toc3709"/>
      <w:bookmarkStart w:id="2477" w:name="_Toc29915"/>
      <w:bookmarkStart w:id="2478" w:name="_Toc8104"/>
      <w:bookmarkStart w:id="2479" w:name="_Toc21372"/>
      <w:bookmarkStart w:id="2480" w:name="_Toc7090"/>
      <w:bookmarkStart w:id="2481" w:name="_Toc2183"/>
      <w:bookmarkStart w:id="2482" w:name="_Toc7354"/>
      <w:bookmarkStart w:id="2483" w:name="_Toc25590"/>
      <w:bookmarkStart w:id="2484" w:name="_Toc27424"/>
      <w:bookmarkStart w:id="2485" w:name="_Toc18416"/>
      <w:bookmarkStart w:id="2486" w:name="_Toc24624"/>
      <w:bookmarkStart w:id="2487" w:name="_Toc31824"/>
      <w:bookmarkStart w:id="2488" w:name="_Toc20933"/>
      <w:r>
        <w:rPr>
          <w:rFonts w:ascii="Times New Roman" w:hAnsi="Times New Roman" w:eastAsia="方正黑体_GBK"/>
          <w:b/>
          <w:bCs/>
          <w:kern w:val="44"/>
          <w:sz w:val="32"/>
          <w:szCs w:val="32"/>
        </w:rPr>
        <w:t>第三十八章  实施健康中国</w:t>
      </w:r>
      <w:bookmarkEnd w:id="2470"/>
      <w:r>
        <w:rPr>
          <w:rFonts w:ascii="Times New Roman" w:hAnsi="Times New Roman" w:eastAsia="方正黑体_GBK"/>
          <w:b/>
          <w:bCs/>
          <w:kern w:val="44"/>
          <w:sz w:val="32"/>
          <w:szCs w:val="32"/>
        </w:rPr>
        <w:t>城口行动</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保障人民健康，坚持预防为主，加强卫生健康体系建设，织牢公共卫生防护网，为人民提供全方位全周期健康服务。</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489" w:name="_Toc14686"/>
      <w:bookmarkStart w:id="2490" w:name="_Toc19032"/>
      <w:bookmarkStart w:id="2491" w:name="_Toc15501"/>
      <w:bookmarkStart w:id="2492" w:name="_Toc59950107"/>
      <w:bookmarkStart w:id="2493" w:name="_Toc28558"/>
      <w:bookmarkStart w:id="2494" w:name="_Toc13805"/>
      <w:bookmarkStart w:id="2495" w:name="_Toc12558"/>
      <w:bookmarkStart w:id="2496" w:name="_Toc14818"/>
      <w:bookmarkStart w:id="2497" w:name="_Toc23311"/>
      <w:bookmarkStart w:id="2498" w:name="_Toc7309"/>
      <w:bookmarkStart w:id="2499" w:name="_Toc29970"/>
      <w:bookmarkStart w:id="2500" w:name="_Toc14826"/>
      <w:bookmarkStart w:id="2501" w:name="_Toc9410"/>
      <w:bookmarkStart w:id="2502" w:name="_Toc12365"/>
      <w:bookmarkStart w:id="2503" w:name="_Toc17910"/>
      <w:bookmarkStart w:id="2504" w:name="_Toc15431"/>
      <w:bookmarkStart w:id="2505" w:name="_Toc30231"/>
      <w:bookmarkStart w:id="2506" w:name="_Toc429"/>
      <w:bookmarkStart w:id="2507" w:name="_Toc1206"/>
      <w:r>
        <w:rPr>
          <w:rFonts w:ascii="Times New Roman" w:hAnsi="Times New Roman" w:eastAsia="方正楷体_GBK"/>
          <w:b/>
          <w:sz w:val="32"/>
          <w:szCs w:val="32"/>
        </w:rPr>
        <w:t>第一节  全面加强公共卫生服务体系建设</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overflowPunct w:val="0"/>
        <w:adjustRightInd w:val="0"/>
        <w:snapToGrid w:val="0"/>
        <w:spacing w:line="560" w:lineRule="exact"/>
        <w:ind w:firstLine="640" w:firstLineChars="200"/>
        <w:rPr>
          <w:rFonts w:ascii="Times New Roman" w:hAnsi="Times New Roman" w:eastAsia="方正仿宋_GBK"/>
          <w:sz w:val="32"/>
          <w:szCs w:val="32"/>
        </w:rPr>
      </w:pPr>
      <w:bookmarkStart w:id="2508" w:name="_Toc59950108"/>
      <w:r>
        <w:rPr>
          <w:rFonts w:ascii="Times New Roman" w:hAnsi="Times New Roman" w:eastAsia="方正仿宋_GBK"/>
          <w:sz w:val="32"/>
          <w:szCs w:val="32"/>
        </w:rPr>
        <w:t>完善疾病预防控制体系，加强疾病预防控制基础设施建设。完善公共卫生服务购买机制和重大疾病联合防控机制。推动疾控机构标准化建设，完善社区网络化疫情防治体系，构建县—镇（乡）—村（社区）三级疾控网络，全面强化新发突发急性传染病防控能力。加强应急医疗物资储备，提升慢性、非传染性疾病防治能力，健全完善职业病防治体系，提升精神卫生和心理健康服务保障能力。建设智慧疾控大数据平台，提升疾病早期监测预警能力。衔接市级中心医院，畅通紧急医学救援通道，提升紧急医学救援能力。</w:t>
      </w:r>
    </w:p>
    <w:bookmarkEnd w:id="2508"/>
    <w:p>
      <w:pPr>
        <w:overflowPunct w:val="0"/>
        <w:adjustRightInd w:val="0"/>
        <w:snapToGrid w:val="0"/>
        <w:spacing w:line="560" w:lineRule="exact"/>
        <w:jc w:val="center"/>
        <w:outlineLvl w:val="2"/>
        <w:rPr>
          <w:rFonts w:ascii="Times New Roman" w:hAnsi="Times New Roman" w:eastAsia="方正楷体_GBK"/>
          <w:b/>
          <w:sz w:val="32"/>
          <w:szCs w:val="32"/>
        </w:rPr>
      </w:pPr>
      <w:r>
        <w:rPr>
          <w:rFonts w:ascii="Times New Roman" w:hAnsi="Times New Roman" w:eastAsia="方正楷体_GBK"/>
          <w:b/>
          <w:sz w:val="32"/>
          <w:szCs w:val="32"/>
        </w:rPr>
        <w:t>第二节</w:t>
      </w:r>
      <w:bookmarkStart w:id="2509" w:name="_Toc6046"/>
      <w:bookmarkStart w:id="2510" w:name="_Toc30041"/>
      <w:bookmarkStart w:id="2511" w:name="_Toc13438"/>
      <w:bookmarkStart w:id="2512" w:name="_Toc24745"/>
      <w:bookmarkStart w:id="2513" w:name="_Toc1968"/>
      <w:bookmarkStart w:id="2514" w:name="_Toc18756"/>
      <w:bookmarkStart w:id="2515" w:name="_Toc4874"/>
      <w:bookmarkStart w:id="2516" w:name="_Toc9871"/>
      <w:bookmarkStart w:id="2517" w:name="_Toc6627"/>
      <w:bookmarkStart w:id="2518" w:name="_Toc27229"/>
      <w:bookmarkStart w:id="2519" w:name="_Toc19431"/>
      <w:bookmarkStart w:id="2520" w:name="_Toc19711"/>
      <w:bookmarkStart w:id="2521" w:name="_Toc32011"/>
      <w:bookmarkStart w:id="2522" w:name="_Toc28312"/>
      <w:bookmarkStart w:id="2523" w:name="_Toc17822"/>
      <w:bookmarkStart w:id="2524" w:name="_Toc6611"/>
      <w:bookmarkStart w:id="2525" w:name="_Toc3791"/>
      <w:bookmarkStart w:id="2526" w:name="_Toc4435"/>
      <w:r>
        <w:rPr>
          <w:rFonts w:ascii="Times New Roman" w:hAnsi="Times New Roman" w:eastAsia="方正楷体_GBK"/>
          <w:b/>
          <w:sz w:val="32"/>
          <w:szCs w:val="32"/>
        </w:rPr>
        <w:t>全面提高医疗卫生服务水平</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overflowPunct w:val="0"/>
        <w:spacing w:line="560" w:lineRule="exact"/>
        <w:ind w:firstLine="640" w:firstLineChars="200"/>
        <w:rPr>
          <w:rFonts w:ascii="Times New Roman" w:hAnsi="Times New Roman" w:eastAsia="方正仿宋_GBK"/>
          <w:sz w:val="32"/>
          <w:szCs w:val="32"/>
        </w:rPr>
      </w:pPr>
      <w:bookmarkStart w:id="2527" w:name="_Toc59950110"/>
      <w:r>
        <w:rPr>
          <w:rFonts w:ascii="Times New Roman" w:hAnsi="Times New Roman" w:eastAsia="方正仿宋_GBK"/>
          <w:sz w:val="32"/>
          <w:szCs w:val="32"/>
        </w:rPr>
        <w:t>坚持医疗卫生事业公益属性，深化医药卫生体制改革，建设优质高效的医疗卫生服务体系。加强县人民医院、县中医院、县妇幼保健院重点学科、特色专科建设。建立新型医疗卫生服务体系，完善家庭医生制度，提升卫生人才队伍素质，基本形成“基层首诊、双向转诊、急慢分治、上下联动”的分级诊疗格局，提升防病治病和健康管理能力。引导社会办医规范发展。推进智慧医疗建设，积极对接重庆市及国内的优质医疗资源，承接优质医疗资源下沉，支持医疗机构运用智能辅助技术提高诊疗水平，实现县级医联体和市级中心医院远程医疗服务联通。统筹推进医疗管理体制、运行机制、服务价格、绩效分配等综合性改革。县人民医院创建成为三级综合医院，县中医院达到二级甲等综合医院水平，县妇幼保健院达到二级甲等专科医院水平，县疾控中心达到二级水平，建成基层医疗卫生服务示范中心。</w:t>
      </w:r>
    </w:p>
    <w:p>
      <w:pPr>
        <w:overflowPunct w:val="0"/>
        <w:adjustRightInd w:val="0"/>
        <w:snapToGrid w:val="0"/>
        <w:spacing w:line="560" w:lineRule="exact"/>
        <w:ind w:firstLine="643" w:firstLineChars="200"/>
        <w:jc w:val="center"/>
        <w:outlineLvl w:val="2"/>
        <w:rPr>
          <w:rFonts w:ascii="Times New Roman" w:hAnsi="Times New Roman" w:eastAsia="方正楷体_GBK"/>
          <w:b/>
          <w:bCs/>
        </w:rPr>
      </w:pPr>
      <w:bookmarkStart w:id="2528" w:name="_Toc19288"/>
      <w:bookmarkStart w:id="2529" w:name="_Toc26331"/>
      <w:bookmarkStart w:id="2530" w:name="_Toc17415"/>
      <w:bookmarkStart w:id="2531" w:name="_Toc21992"/>
      <w:bookmarkStart w:id="2532" w:name="_Toc28867"/>
      <w:bookmarkStart w:id="2533" w:name="_Toc2052"/>
      <w:bookmarkStart w:id="2534" w:name="_Toc1992"/>
      <w:bookmarkStart w:id="2535" w:name="_Toc32594"/>
      <w:bookmarkStart w:id="2536" w:name="_Toc4732"/>
      <w:bookmarkStart w:id="2537" w:name="_Toc26103"/>
      <w:bookmarkStart w:id="2538" w:name="_Toc18240"/>
      <w:bookmarkStart w:id="2539" w:name="_Toc11513"/>
      <w:bookmarkStart w:id="2540" w:name="_Toc15500"/>
      <w:bookmarkStart w:id="2541" w:name="_Toc27106"/>
      <w:bookmarkStart w:id="2542" w:name="_Toc10173"/>
      <w:bookmarkStart w:id="2543" w:name="_Toc10612"/>
      <w:bookmarkStart w:id="2544" w:name="_Toc16446"/>
      <w:bookmarkStart w:id="2545" w:name="_Toc30760"/>
      <w:r>
        <w:rPr>
          <w:rFonts w:ascii="Times New Roman" w:hAnsi="Times New Roman" w:eastAsia="方正楷体_GBK"/>
          <w:b/>
          <w:sz w:val="32"/>
          <w:szCs w:val="32"/>
        </w:rPr>
        <w:t xml:space="preserve">第三节  </w:t>
      </w:r>
      <w:bookmarkEnd w:id="2527"/>
      <w:r>
        <w:rPr>
          <w:rFonts w:ascii="Times New Roman" w:hAnsi="Times New Roman" w:eastAsia="方正楷体_GBK"/>
          <w:b/>
          <w:sz w:val="32"/>
          <w:szCs w:val="32"/>
        </w:rPr>
        <w:t>加强全方位全生命周期健康保障</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overflowPunct w:val="0"/>
        <w:adjustRightInd w:val="0"/>
        <w:snapToGrid w:val="0"/>
        <w:spacing w:line="560" w:lineRule="exact"/>
        <w:ind w:firstLine="640" w:firstLineChars="200"/>
        <w:rPr>
          <w:rFonts w:ascii="Times New Roman" w:hAnsi="Times New Roman" w:eastAsia="方正仿宋_GBK"/>
          <w:sz w:val="32"/>
          <w:szCs w:val="32"/>
        </w:rPr>
      </w:pPr>
      <w:bookmarkStart w:id="2546" w:name="_Toc59950111"/>
      <w:r>
        <w:rPr>
          <w:rFonts w:ascii="Times New Roman" w:hAnsi="Times New Roman" w:eastAsia="方正仿宋_GBK"/>
          <w:sz w:val="32"/>
          <w:szCs w:val="32"/>
        </w:rPr>
        <w:t>坚持以健康需求和健康问题为导向，加强疾病综合预防，以慢性病为重点，为全县人民提供全程化、规范化的健康管理，实现医防深度融合。优化基本公共卫生服务，提高民众健康档案建档率和利用率，加强生命全周期管理。提升妇女儿童健康服务能力，推进生育全程服务。深入开展爱国卫生运动，实施国民营养计划，普及健康知识，倡导文明健康生活方式。加强老年医疗服务供给，推动老年病科建设。全县二级以上综合医院设立老年医学科，县中医院设置康复科。</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547" w:name="_Toc28468"/>
      <w:bookmarkStart w:id="2548" w:name="_Toc27243"/>
      <w:bookmarkStart w:id="2549" w:name="_Toc8401"/>
      <w:bookmarkStart w:id="2550" w:name="_Toc2129"/>
      <w:bookmarkStart w:id="2551" w:name="_Toc181"/>
      <w:bookmarkStart w:id="2552" w:name="_Toc23036"/>
      <w:bookmarkStart w:id="2553" w:name="_Toc3270"/>
      <w:bookmarkStart w:id="2554" w:name="_Toc28380"/>
      <w:bookmarkStart w:id="2555" w:name="_Toc4067"/>
      <w:bookmarkStart w:id="2556" w:name="_Toc5023"/>
      <w:bookmarkStart w:id="2557" w:name="_Toc31526"/>
      <w:bookmarkStart w:id="2558" w:name="_Toc23849"/>
      <w:bookmarkStart w:id="2559" w:name="_Toc28203"/>
      <w:bookmarkStart w:id="2560" w:name="_Toc19341"/>
      <w:bookmarkStart w:id="2561" w:name="_Toc5000"/>
      <w:bookmarkStart w:id="2562" w:name="_Toc3390"/>
      <w:bookmarkStart w:id="2563" w:name="_Toc25740"/>
      <w:bookmarkStart w:id="2564" w:name="_Toc20649"/>
      <w:r>
        <w:rPr>
          <w:rFonts w:ascii="Times New Roman" w:hAnsi="Times New Roman" w:eastAsia="方正楷体_GBK"/>
          <w:b/>
          <w:sz w:val="32"/>
          <w:szCs w:val="32"/>
        </w:rPr>
        <w:t>第四节  促进中医药传承与创新</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强县中医院建设，鼓励中医特色医院发展，完善中医医院基础设施，提升中医应急和救治能力。加快中西医结合发展，提升医疗机构中医药服务能力，提供中医临床疗效和综合服务能力。培养一批高层次复合型中医药人才、高水平中医临床人才和多学科交叉中医药创新团队，开展名医学术经验传承。</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565" w:name="_Toc8747"/>
      <w:bookmarkStart w:id="2566" w:name="_Toc4892"/>
      <w:bookmarkStart w:id="2567" w:name="_Toc2057"/>
      <w:bookmarkStart w:id="2568" w:name="_Toc3355"/>
      <w:bookmarkStart w:id="2569" w:name="_Toc28918"/>
      <w:bookmarkStart w:id="2570" w:name="_Toc12218"/>
      <w:bookmarkStart w:id="2571" w:name="_Toc24617"/>
      <w:bookmarkStart w:id="2572" w:name="_Toc785"/>
      <w:bookmarkStart w:id="2573" w:name="_Toc3147"/>
      <w:bookmarkStart w:id="2574" w:name="_Toc28367"/>
      <w:bookmarkStart w:id="2575" w:name="_Toc7163"/>
      <w:bookmarkStart w:id="2576" w:name="_Toc18194"/>
      <w:bookmarkStart w:id="2577" w:name="_Toc1348"/>
      <w:bookmarkStart w:id="2578" w:name="_Toc2040"/>
      <w:bookmarkStart w:id="2579" w:name="_Toc29021"/>
      <w:bookmarkStart w:id="2580" w:name="_Toc6251"/>
      <w:bookmarkStart w:id="2581" w:name="_Toc16601"/>
      <w:bookmarkStart w:id="2582" w:name="_Toc13061"/>
      <w:r>
        <w:rPr>
          <w:rFonts w:ascii="Times New Roman" w:hAnsi="Times New Roman" w:eastAsia="方正楷体_GBK"/>
          <w:b/>
          <w:sz w:val="32"/>
          <w:szCs w:val="32"/>
        </w:rPr>
        <w:t>第五节  推进体育事业</w:t>
      </w:r>
      <w:bookmarkEnd w:id="2546"/>
      <w:bookmarkEnd w:id="2565"/>
      <w:bookmarkEnd w:id="2566"/>
      <w:bookmarkEnd w:id="2567"/>
      <w:bookmarkEnd w:id="2568"/>
      <w:bookmarkEnd w:id="2569"/>
      <w:r>
        <w:rPr>
          <w:rFonts w:ascii="Times New Roman" w:hAnsi="Times New Roman" w:eastAsia="方正楷体_GBK"/>
          <w:b/>
          <w:sz w:val="32"/>
          <w:szCs w:val="32"/>
        </w:rPr>
        <w:t>发展</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overflowPunct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拓展全民健身事业。加强全民健身中心、乡镇健身广场（农体工程）、社区健身点建设，构建县级、乡镇（街道）和村（社区）三级全民健身服务体系。积极推动县体育中心等体育服务设施建设，推进体育服务水平提档升级。建立乡镇国民体质监测分中心，保障全民健身和全民健康深度融合。推进“青少年阳光体育工程”“中老年健康生活工程”，统筹全县群众科学健身。深化“全民健身月、周、日”等群体活动，创新活动内容和组织渠道、方式，组织开展群众日常健身活动。</w:t>
      </w:r>
    </w:p>
    <w:p>
      <w:pPr>
        <w:overflowPunct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提升竞技体育实力。重点发展举重、射箭、田径、摔跤等竞技项目，着力提升市内竞争力。完善后备人才培养体系，引进高水平体育专业人才2—5名，培养基层优秀教练员10名以上。</w:t>
      </w:r>
    </w:p>
    <w:p>
      <w:pPr>
        <w:overflowPunct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丰富体育赛事供给。创新举办“双城经济圈”运动会、“穿越大巴山”运动会等精品赛事，力争承办1—2个市级单项赛事。持续开展县运会、周末球赛、老区运动会、全国门球邀请赛等原有品牌赛事。</w:t>
      </w:r>
    </w:p>
    <w:p>
      <w:pPr>
        <w:overflowPunct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壮大“体育+”产业。着重推动体育+旅游、体育+文化、体育+康养、体育+医疗、体育+教育融合发展。积极推动九重山山地户外运动基地、九重山滑雪场、巴山湖水上运动基地等体育项目落地。进一步壮大体育彩票事业。</w:t>
      </w:r>
    </w:p>
    <w:p>
      <w:pPr>
        <w:overflowPunct w:val="0"/>
        <w:spacing w:line="480" w:lineRule="exact"/>
        <w:jc w:val="center"/>
        <w:rPr>
          <w:rFonts w:ascii="Times New Roman" w:hAnsi="Times New Roman" w:eastAsia="方正黑体_GBK"/>
          <w:sz w:val="28"/>
          <w:szCs w:val="28"/>
        </w:rPr>
      </w:pPr>
      <w:bookmarkStart w:id="2583" w:name="_Toc59950112"/>
      <w:r>
        <w:rPr>
          <w:rFonts w:ascii="Times New Roman" w:hAnsi="Times New Roman" w:eastAsia="方正黑体_GBK"/>
          <w:sz w:val="28"/>
          <w:szCs w:val="28"/>
        </w:rPr>
        <w:t>专栏20  卫生健康重点项目</w:t>
      </w:r>
    </w:p>
    <w:tbl>
      <w:tblPr>
        <w:tblStyle w:val="27"/>
        <w:tblW w:w="8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32"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2" w:firstLineChars="200"/>
              <w:rPr>
                <w:rFonts w:ascii="Times New Roman" w:hAnsi="Times New Roman" w:eastAsia="方正仿宋_GBK"/>
                <w:b/>
                <w:bCs/>
                <w:kern w:val="0"/>
                <w:sz w:val="24"/>
                <w:szCs w:val="28"/>
              </w:rPr>
            </w:pPr>
            <w:r>
              <w:rPr>
                <w:rFonts w:ascii="Times New Roman" w:hAnsi="Times New Roman" w:eastAsia="方正仿宋_GBK"/>
                <w:b/>
                <w:bCs/>
                <w:kern w:val="0"/>
                <w:sz w:val="24"/>
                <w:szCs w:val="28"/>
              </w:rPr>
              <w:t>综合及专科医院建设项目。</w:t>
            </w:r>
            <w:r>
              <w:rPr>
                <w:rFonts w:ascii="Times New Roman" w:hAnsi="Times New Roman" w:eastAsia="方正仿宋_GBK"/>
                <w:kern w:val="0"/>
                <w:sz w:val="24"/>
                <w:szCs w:val="28"/>
              </w:rPr>
              <w:t>推进县妇幼保健院儿童保健部迁建、县人民医院东部新区分院、县人民医院巴山分院住院楼、县中医医院迁建等项目建设。</w:t>
            </w:r>
          </w:p>
          <w:p>
            <w:pPr>
              <w:overflowPunct w:val="0"/>
              <w:spacing w:line="400" w:lineRule="exact"/>
              <w:ind w:firstLine="482" w:firstLineChars="200"/>
              <w:rPr>
                <w:rFonts w:ascii="Times New Roman" w:hAnsi="Times New Roman" w:eastAsia="方正仿宋_GBK"/>
                <w:b/>
                <w:bCs/>
                <w:kern w:val="0"/>
                <w:sz w:val="24"/>
                <w:szCs w:val="28"/>
              </w:rPr>
            </w:pPr>
            <w:r>
              <w:rPr>
                <w:rFonts w:ascii="Times New Roman" w:hAnsi="Times New Roman" w:eastAsia="方正仿宋_GBK"/>
                <w:b/>
                <w:bCs/>
                <w:kern w:val="0"/>
                <w:sz w:val="24"/>
                <w:szCs w:val="28"/>
              </w:rPr>
              <w:t>乡镇、村社卫生基建项目。</w:t>
            </w:r>
            <w:r>
              <w:rPr>
                <w:rFonts w:ascii="Times New Roman" w:hAnsi="Times New Roman" w:eastAsia="方正仿宋_GBK"/>
                <w:kern w:val="0"/>
                <w:sz w:val="24"/>
                <w:szCs w:val="28"/>
              </w:rPr>
              <w:t>推进乡镇卫生院建设项目、乡镇卫生院医疗设备配置项目、村卫生室建设项目，促进优质医疗资源下沉。</w:t>
            </w:r>
          </w:p>
          <w:p>
            <w:pPr>
              <w:overflowPunct w:val="0"/>
              <w:spacing w:line="400" w:lineRule="exact"/>
              <w:ind w:firstLine="482" w:firstLineChars="200"/>
              <w:rPr>
                <w:rFonts w:ascii="Times New Roman" w:hAnsi="Times New Roman" w:eastAsia="方正仿宋_GBK"/>
                <w:b/>
                <w:bCs/>
                <w:kern w:val="0"/>
                <w:sz w:val="24"/>
                <w:szCs w:val="28"/>
              </w:rPr>
            </w:pPr>
            <w:r>
              <w:rPr>
                <w:rFonts w:ascii="Times New Roman" w:hAnsi="Times New Roman" w:eastAsia="方正仿宋_GBK"/>
                <w:b/>
                <w:bCs/>
                <w:kern w:val="0"/>
                <w:sz w:val="24"/>
                <w:szCs w:val="28"/>
              </w:rPr>
              <w:t>卫生服务能力提升工程。</w:t>
            </w:r>
            <w:r>
              <w:rPr>
                <w:rFonts w:ascii="Times New Roman" w:hAnsi="Times New Roman" w:eastAsia="方正仿宋_GBK"/>
                <w:kern w:val="0"/>
                <w:sz w:val="24"/>
                <w:szCs w:val="28"/>
              </w:rPr>
              <w:t>推进县属医疗机构设备配置项目、医养结合建设项目，全面提升城口卫生服务能级。</w:t>
            </w:r>
          </w:p>
          <w:p>
            <w:pPr>
              <w:overflowPunct w:val="0"/>
              <w:spacing w:line="400" w:lineRule="exact"/>
              <w:ind w:firstLine="482" w:firstLineChars="200"/>
              <w:rPr>
                <w:rFonts w:ascii="Times New Roman" w:hAnsi="Times New Roman" w:eastAsia="方正仿宋_GBK"/>
                <w:kern w:val="0"/>
                <w:sz w:val="24"/>
                <w:szCs w:val="28"/>
              </w:rPr>
            </w:pPr>
            <w:r>
              <w:rPr>
                <w:rFonts w:ascii="Times New Roman" w:hAnsi="Times New Roman" w:eastAsia="方正仿宋_GBK"/>
                <w:b/>
                <w:bCs/>
                <w:kern w:val="0"/>
                <w:sz w:val="24"/>
                <w:szCs w:val="28"/>
              </w:rPr>
              <w:t>体育服务设施项目。</w:t>
            </w:r>
            <w:r>
              <w:rPr>
                <w:rFonts w:ascii="Times New Roman" w:hAnsi="Times New Roman" w:eastAsia="方正仿宋_GBK"/>
                <w:kern w:val="0"/>
                <w:sz w:val="24"/>
                <w:szCs w:val="28"/>
              </w:rPr>
              <w:t>推进县体育中心等体育服务设施建设。</w:t>
            </w:r>
          </w:p>
          <w:p>
            <w:pPr>
              <w:overflowPunct w:val="0"/>
              <w:spacing w:line="400" w:lineRule="exact"/>
              <w:ind w:firstLine="482" w:firstLineChars="200"/>
              <w:rPr>
                <w:rFonts w:ascii="Times New Roman" w:hAnsi="Times New Roman" w:eastAsia="方正仿宋_GBK"/>
              </w:rPr>
            </w:pPr>
            <w:r>
              <w:rPr>
                <w:rFonts w:ascii="Times New Roman" w:hAnsi="Times New Roman" w:eastAsia="方正仿宋_GBK"/>
                <w:b/>
                <w:bCs/>
                <w:kern w:val="0"/>
                <w:sz w:val="24"/>
                <w:szCs w:val="28"/>
              </w:rPr>
              <w:t>实施重大疫情防控体系和公共卫生应急管理体系推进行动。</w:t>
            </w:r>
            <w:r>
              <w:rPr>
                <w:rFonts w:ascii="Times New Roman" w:hAnsi="Times New Roman" w:eastAsia="方正仿宋_GBK"/>
                <w:kern w:val="0"/>
                <w:sz w:val="24"/>
                <w:szCs w:val="28"/>
              </w:rPr>
              <w:t>完善突发重大疫情和公共卫生事件应急状态下基础设施、机构、人员和技术转换征用机制，做好医院应对突发公共卫生事件应急腾空预案。加快县人民医院传染病区改造建设，新建医院按照传染病防治标准设计建设。</w:t>
            </w:r>
          </w:p>
        </w:tc>
      </w:tr>
      <w:bookmarkEnd w:id="2583"/>
    </w:tbl>
    <w:p>
      <w:pPr>
        <w:overflowPunct w:val="0"/>
        <w:rPr>
          <w:rFonts w:ascii="Times New Roman" w:hAnsi="Times New Roman" w:eastAsia="方正黑体_GBK"/>
          <w:b/>
          <w:bCs/>
          <w:kern w:val="44"/>
          <w:sz w:val="32"/>
          <w:szCs w:val="32"/>
        </w:rPr>
      </w:pPr>
      <w:bookmarkStart w:id="2584" w:name="_Toc59950115"/>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2585" w:name="_Toc8432"/>
      <w:bookmarkStart w:id="2586" w:name="_Toc19430"/>
      <w:bookmarkStart w:id="2587" w:name="_Toc23056"/>
      <w:bookmarkStart w:id="2588" w:name="_Toc24301"/>
      <w:bookmarkStart w:id="2589" w:name="_Toc25057"/>
      <w:bookmarkStart w:id="2590" w:name="_Toc26231"/>
      <w:bookmarkStart w:id="2591" w:name="_Toc2047"/>
      <w:bookmarkStart w:id="2592" w:name="_Toc11853"/>
      <w:bookmarkStart w:id="2593" w:name="_Toc18097"/>
      <w:bookmarkStart w:id="2594" w:name="_Toc5813"/>
      <w:bookmarkStart w:id="2595" w:name="_Toc25904"/>
      <w:bookmarkStart w:id="2596" w:name="_Toc13018"/>
      <w:bookmarkStart w:id="2597" w:name="_Toc17190"/>
      <w:bookmarkStart w:id="2598" w:name="_Toc4245"/>
      <w:bookmarkStart w:id="2599" w:name="_Toc13511"/>
      <w:bookmarkStart w:id="2600" w:name="_Toc19654"/>
      <w:bookmarkStart w:id="2601" w:name="_Toc24626"/>
      <w:bookmarkStart w:id="2602" w:name="_Toc24320"/>
      <w:r>
        <w:rPr>
          <w:rFonts w:ascii="Times New Roman" w:hAnsi="Times New Roman" w:eastAsia="方正黑体_GBK"/>
          <w:b/>
          <w:bCs/>
          <w:kern w:val="44"/>
          <w:sz w:val="32"/>
          <w:szCs w:val="32"/>
        </w:rPr>
        <w:t>第三十九章  加强社会保障体系建设</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完善基本社会保险制度，健全社会救助和住房保障体系，加快建立覆盖全民、统筹城乡、公平统一、可持续的多层次社会保障体系。</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603" w:name="_Toc2513"/>
      <w:bookmarkStart w:id="2604" w:name="_Toc15682"/>
      <w:bookmarkStart w:id="2605" w:name="_Toc20063"/>
      <w:bookmarkStart w:id="2606" w:name="_Toc28314"/>
      <w:bookmarkStart w:id="2607" w:name="_Toc12530"/>
      <w:bookmarkStart w:id="2608" w:name="_Toc26942"/>
      <w:bookmarkStart w:id="2609" w:name="_Toc29494"/>
      <w:bookmarkStart w:id="2610" w:name="_Toc59950116"/>
      <w:bookmarkStart w:id="2611" w:name="_Toc11849"/>
      <w:bookmarkStart w:id="2612" w:name="_Toc28868"/>
      <w:bookmarkStart w:id="2613" w:name="_Toc10898"/>
      <w:bookmarkStart w:id="2614" w:name="_Toc30361"/>
      <w:bookmarkStart w:id="2615" w:name="_Toc14355"/>
      <w:bookmarkStart w:id="2616" w:name="_Toc21842"/>
      <w:bookmarkStart w:id="2617" w:name="_Toc27574"/>
      <w:bookmarkStart w:id="2618" w:name="_Toc27891"/>
      <w:bookmarkStart w:id="2619" w:name="_Toc20024"/>
      <w:bookmarkStart w:id="2620" w:name="_Toc15219"/>
      <w:bookmarkStart w:id="2621" w:name="_Toc25681"/>
      <w:r>
        <w:rPr>
          <w:rFonts w:ascii="Times New Roman" w:hAnsi="Times New Roman" w:eastAsia="方正楷体_GBK"/>
          <w:b/>
          <w:sz w:val="32"/>
          <w:szCs w:val="32"/>
        </w:rPr>
        <w:t>第一节  完善社会保险和医疗保障体系</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深入推进全民参保计划，推动实现社会保险法定人员全覆盖。对接全国统一的社保公共服务平台，推广以社会保障卡为载体的“一卡通”服务管理模式。全面落实基本养老保险制度，完善城乡社会保险衔接机制，推进实施适合灵活就业特点的社保制度，基本养老保险参保率稳定在95%以上。深化医保制度改革，完善医保支付、待遇保障、医药服务、基金监管机制，全面落实医疗救助制度及重大疫情医疗保障制度，促进多层次医疗保障体系发展。</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622" w:name="_Toc1148"/>
      <w:bookmarkStart w:id="2623" w:name="_Toc7441"/>
      <w:bookmarkStart w:id="2624" w:name="_Toc5163"/>
      <w:bookmarkStart w:id="2625" w:name="_Toc30716"/>
      <w:bookmarkStart w:id="2626" w:name="_Toc24736"/>
      <w:bookmarkStart w:id="2627" w:name="_Toc6829"/>
      <w:bookmarkStart w:id="2628" w:name="_Toc13182"/>
      <w:bookmarkStart w:id="2629" w:name="_Toc4391"/>
      <w:bookmarkStart w:id="2630" w:name="_Toc5330"/>
      <w:bookmarkStart w:id="2631" w:name="_Toc59950117"/>
      <w:bookmarkStart w:id="2632" w:name="_Toc19250"/>
      <w:bookmarkStart w:id="2633" w:name="_Toc12325"/>
      <w:bookmarkStart w:id="2634" w:name="_Toc27018"/>
      <w:bookmarkStart w:id="2635" w:name="_Toc26709"/>
      <w:bookmarkStart w:id="2636" w:name="_Toc510"/>
      <w:bookmarkStart w:id="2637" w:name="_Toc10068"/>
      <w:bookmarkStart w:id="2638" w:name="_Toc27668"/>
      <w:bookmarkStart w:id="2639" w:name="_Toc3731"/>
      <w:bookmarkStart w:id="2640" w:name="_Toc16780"/>
      <w:r>
        <w:rPr>
          <w:rFonts w:ascii="Times New Roman" w:hAnsi="Times New Roman" w:eastAsia="方正楷体_GBK"/>
          <w:b/>
          <w:sz w:val="32"/>
          <w:szCs w:val="32"/>
        </w:rPr>
        <w:t>第二节  健全社会救助体系</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稳步扩大基本生活救助范围，落实保障标准调整机制，逐步实现城乡低保标准统一。加强救助对象分类动态管理，落实低保渐退制度。加强急难社会救助，全面建立乡镇（街道）临时救助备用金制度。加大孤儿、事实无抚养儿童兜底保障力度。强化特殊救助帮扶，加强特困人员照料护理服务。进一步加强和改进生活无着落的流浪乞讨人员救助管理。实施惠民殡葬政策，倡导绿色祭祀，构建县建殡葬服务中心、乡镇建殡仪服务站、村建集中安葬点的三级殡葬服务体系，保障人民群众基本丧葬需求。规范引导志愿服务活动，促进志愿服务制度化、规范化、常态化。广泛发动社会力量参与，大力发展慈善救助，扩大社会救助服务供给。</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641" w:name="_Toc1204"/>
      <w:bookmarkStart w:id="2642" w:name="_Toc22912"/>
      <w:bookmarkStart w:id="2643" w:name="_Toc27414"/>
      <w:bookmarkStart w:id="2644" w:name="_Toc17686"/>
      <w:bookmarkStart w:id="2645" w:name="_Toc29601"/>
      <w:bookmarkStart w:id="2646" w:name="_Toc59950118"/>
      <w:bookmarkStart w:id="2647" w:name="_Toc8659"/>
      <w:bookmarkStart w:id="2648" w:name="_Toc16811"/>
      <w:bookmarkStart w:id="2649" w:name="_Toc11788"/>
      <w:bookmarkStart w:id="2650" w:name="_Toc32023"/>
      <w:bookmarkStart w:id="2651" w:name="_Toc22897"/>
      <w:bookmarkStart w:id="2652" w:name="_Toc10708"/>
      <w:bookmarkStart w:id="2653" w:name="_Toc25575"/>
      <w:bookmarkStart w:id="2654" w:name="_Toc13259"/>
      <w:bookmarkStart w:id="2655" w:name="_Toc4306"/>
      <w:bookmarkStart w:id="2656" w:name="_Toc18814"/>
      <w:bookmarkStart w:id="2657" w:name="_Toc26009"/>
      <w:bookmarkStart w:id="2658" w:name="_Toc24391"/>
      <w:bookmarkStart w:id="2659" w:name="_Toc18692"/>
      <w:r>
        <w:rPr>
          <w:rFonts w:ascii="Times New Roman" w:hAnsi="Times New Roman" w:eastAsia="方正楷体_GBK"/>
          <w:b/>
          <w:sz w:val="32"/>
          <w:szCs w:val="32"/>
        </w:rPr>
        <w:t>第三节  完善住房保障体系</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积极落实多主体供给、多渠道保障、租购并举的住房保障制度，实现全县人民住有所居。坚持房子是用来住的、不是用来炒的定位，促进房地产市场平稳健康发展。实施按需保障、分类供给、规范管理，扩大保障性租赁住房供给，规范发展长租房市场，逐步使租购住房在享受公共服务上具有同等权利。稳步推进住房公积金制度改革，落实住房公积金缴存、提取、贷款机制。</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660" w:name="_Toc16303"/>
      <w:bookmarkStart w:id="2661" w:name="_Toc27204"/>
      <w:bookmarkStart w:id="2662" w:name="_Toc59950119"/>
      <w:bookmarkStart w:id="2663" w:name="_Toc31272"/>
      <w:bookmarkStart w:id="2664" w:name="_Toc30036"/>
      <w:bookmarkStart w:id="2665" w:name="_Toc4736"/>
      <w:bookmarkStart w:id="2666" w:name="_Toc27720"/>
      <w:bookmarkStart w:id="2667" w:name="_Toc3653"/>
      <w:bookmarkStart w:id="2668" w:name="_Toc23109"/>
      <w:bookmarkStart w:id="2669" w:name="_Toc10091"/>
      <w:bookmarkStart w:id="2670" w:name="_Toc17588"/>
      <w:bookmarkStart w:id="2671" w:name="_Toc26883"/>
      <w:bookmarkStart w:id="2672" w:name="_Toc11616"/>
      <w:bookmarkStart w:id="2673" w:name="_Toc21884"/>
      <w:bookmarkStart w:id="2674" w:name="_Toc21909"/>
      <w:bookmarkStart w:id="2675" w:name="_Toc22448"/>
      <w:bookmarkStart w:id="2676" w:name="_Toc22053"/>
      <w:bookmarkStart w:id="2677" w:name="_Toc14565"/>
      <w:bookmarkStart w:id="2678" w:name="_Toc28425"/>
      <w:r>
        <w:rPr>
          <w:rFonts w:ascii="Times New Roman" w:hAnsi="Times New Roman" w:eastAsia="方正楷体_GBK"/>
          <w:b/>
          <w:sz w:val="32"/>
          <w:szCs w:val="32"/>
        </w:rPr>
        <w:t>第四节  健全退役军人服务和保障体系</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深化退役军人安置制度改革，加大教育培训和就业扶持力度，提升安置质量。落实退役军人保障标准，加强退役军人保险制度衔接，落实伤病残退役军人移交安置、收治收养制度。大力弘扬英烈精神，加强烈士纪念设施修缮保护，推进烈士陵园建设。扎实做好新时代拥军优属工作。</w:t>
      </w:r>
    </w:p>
    <w:p>
      <w:pPr>
        <w:pStyle w:val="26"/>
        <w:overflowPunct w:val="0"/>
        <w:adjustRightInd w:val="0"/>
        <w:snapToGrid w:val="0"/>
        <w:spacing w:after="0" w:line="560" w:lineRule="exact"/>
        <w:ind w:leftChars="0"/>
        <w:rPr>
          <w:rFonts w:ascii="Times New Roman" w:hAnsi="Times New Roman"/>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2679" w:name="_Toc3382"/>
      <w:bookmarkStart w:id="2680" w:name="_Toc8567"/>
      <w:bookmarkStart w:id="2681" w:name="_Toc16224"/>
      <w:bookmarkStart w:id="2682" w:name="_Toc18834"/>
      <w:bookmarkStart w:id="2683" w:name="_Toc24978"/>
      <w:bookmarkStart w:id="2684" w:name="_Toc15376"/>
      <w:bookmarkStart w:id="2685" w:name="_Toc1583"/>
      <w:bookmarkStart w:id="2686" w:name="_Toc30771"/>
      <w:bookmarkStart w:id="2687" w:name="_Toc9096"/>
      <w:bookmarkStart w:id="2688" w:name="_Toc59950120"/>
      <w:bookmarkStart w:id="2689" w:name="_Toc10119"/>
      <w:bookmarkStart w:id="2690" w:name="_Toc31249"/>
      <w:bookmarkStart w:id="2691" w:name="_Toc4383"/>
      <w:bookmarkStart w:id="2692" w:name="_Toc20705"/>
      <w:bookmarkStart w:id="2693" w:name="_Toc27400"/>
      <w:bookmarkStart w:id="2694" w:name="_Toc21245"/>
      <w:bookmarkStart w:id="2695" w:name="_Toc6376"/>
      <w:bookmarkStart w:id="2696" w:name="_Toc14226"/>
      <w:bookmarkStart w:id="2697" w:name="_Toc24748"/>
      <w:r>
        <w:rPr>
          <w:rFonts w:ascii="Times New Roman" w:hAnsi="Times New Roman" w:eastAsia="方正黑体_GBK"/>
          <w:b/>
          <w:bCs/>
          <w:kern w:val="44"/>
          <w:sz w:val="32"/>
          <w:szCs w:val="32"/>
        </w:rPr>
        <w:t>第四十章  落实积极应对人口老龄化国家战略</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积极应对人口老龄化，加快构建生育政策、养老服务、健康保障、环境支撑、社会参与等为支撑的人口老龄化应对体系，促进人口均衡发展。</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698" w:name="_Toc3721"/>
      <w:bookmarkStart w:id="2699" w:name="_Toc59950121"/>
      <w:bookmarkStart w:id="2700" w:name="_Toc22947"/>
      <w:bookmarkStart w:id="2701" w:name="_Toc30405"/>
      <w:bookmarkStart w:id="2702" w:name="_Toc14619"/>
      <w:bookmarkStart w:id="2703" w:name="_Toc1731"/>
      <w:bookmarkStart w:id="2704" w:name="_Toc1306"/>
      <w:bookmarkStart w:id="2705" w:name="_Toc2674"/>
      <w:bookmarkStart w:id="2706" w:name="_Toc30281"/>
      <w:bookmarkStart w:id="2707" w:name="_Toc11318"/>
      <w:bookmarkStart w:id="2708" w:name="_Toc25668"/>
      <w:bookmarkStart w:id="2709" w:name="_Toc32649"/>
      <w:bookmarkStart w:id="2710" w:name="_Toc32005"/>
      <w:bookmarkStart w:id="2711" w:name="_Toc16866"/>
      <w:bookmarkStart w:id="2712" w:name="_Toc119"/>
      <w:bookmarkStart w:id="2713" w:name="_Toc29093"/>
      <w:bookmarkStart w:id="2714" w:name="_Toc16204"/>
      <w:bookmarkStart w:id="2715" w:name="_Toc7729"/>
      <w:bookmarkStart w:id="2716" w:name="_Toc12234"/>
      <w:r>
        <w:rPr>
          <w:rFonts w:ascii="Times New Roman" w:hAnsi="Times New Roman" w:eastAsia="方正楷体_GBK"/>
          <w:b/>
          <w:sz w:val="32"/>
          <w:szCs w:val="32"/>
        </w:rPr>
        <w:t>第一节  提高生育托育服务水平</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overflowPunct w:val="0"/>
        <w:adjustRightInd w:val="0"/>
        <w:snapToGrid w:val="0"/>
        <w:spacing w:line="56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落实国家生育政策，增强政策包容性，引导生育水平稳定提升，适度减缓人口老龄化进程。全面落实生育延长产假、生育保险政策和生育补贴津贴制度，提升居民生育意愿。提高优生优育服务水平，提高出生人口素质。实施城企联动普惠托育专项行动，支持社会力量开展托育服务，多元化增加托育服务供给。积极推进健康家庭及发展能力建设，营造生育友好的社会环境、家庭环境。</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717" w:name="_Toc59950122"/>
      <w:bookmarkStart w:id="2718" w:name="_Toc2015"/>
      <w:bookmarkStart w:id="2719" w:name="_Toc26122"/>
      <w:bookmarkStart w:id="2720" w:name="_Toc28663"/>
      <w:bookmarkStart w:id="2721" w:name="_Toc28703"/>
      <w:bookmarkStart w:id="2722" w:name="_Toc16920"/>
      <w:bookmarkStart w:id="2723" w:name="_Toc25978"/>
      <w:bookmarkStart w:id="2724" w:name="_Toc21231"/>
      <w:bookmarkStart w:id="2725" w:name="_Toc7604"/>
      <w:bookmarkStart w:id="2726" w:name="_Toc11251"/>
      <w:bookmarkStart w:id="2727" w:name="_Toc22330"/>
      <w:bookmarkStart w:id="2728" w:name="_Toc11394"/>
      <w:bookmarkStart w:id="2729" w:name="_Toc23617"/>
      <w:bookmarkStart w:id="2730" w:name="_Toc23076"/>
      <w:bookmarkStart w:id="2731" w:name="_Toc16242"/>
      <w:bookmarkStart w:id="2732" w:name="_Toc7877"/>
      <w:bookmarkStart w:id="2733" w:name="_Toc29632"/>
      <w:bookmarkStart w:id="2734" w:name="_Toc6198"/>
      <w:bookmarkStart w:id="2735" w:name="_Toc7071"/>
      <w:r>
        <w:rPr>
          <w:rFonts w:ascii="Times New Roman" w:hAnsi="Times New Roman" w:eastAsia="方正楷体_GBK"/>
          <w:b/>
          <w:sz w:val="32"/>
          <w:szCs w:val="32"/>
        </w:rPr>
        <w:t xml:space="preserve">第二节  </w:t>
      </w:r>
      <w:bookmarkEnd w:id="2717"/>
      <w:r>
        <w:rPr>
          <w:rFonts w:ascii="Times New Roman" w:hAnsi="Times New Roman" w:eastAsia="方正楷体_GBK"/>
          <w:b/>
          <w:sz w:val="32"/>
          <w:szCs w:val="32"/>
        </w:rPr>
        <w:t>推动养老事业和养老产业协同发展</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健全养老服务体系。建立基本公共养老服务清单，发展普惠性养老服务和互助性养老，加快构建以居家为基础、社区为依托、机构充分发展、医养康养有机结合的多层次养老服务体系。支持家庭承担养老功能，推进街道养老服务中心、社区养老服务站建设，提升居家社区养老服务能力。推动城乡养老服务均衡发展，加快农村养老服务设施提档升级，合理布局农村失能特困人员集中照护中心，发展城乡互助养老等新型养老模式。深化公办养老机构改革。持续发展市场化、专业化的居家养老服务组织，大力发展护理型养老机构和社区嵌入式养老机构。加强养老服务专业队伍建设和养老服务综合监管。加快各类公共设施适老化改造，构建老年人友好型社区，支持居家适老化改造，创造无障碍生活环境。</w:t>
      </w:r>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大力发展银发经济。支持企业积极开发老年人用品、用具和服务产品，加快发展养老护理服务、康复保健、文化娱乐等老龄产业，打造一批养老产业集聚区。引导金融机构开发适合老年人的理财、信贷等金融产品。积极推进“互联网+养老”，推进智慧养老大数据平台开发应用。发展老年教育，积极开发老龄人力资源，发挥老年人社会价值。鼓励开发老年住宅、老年公寓。</w:t>
      </w:r>
    </w:p>
    <w:p>
      <w:pPr>
        <w:overflowPunct w:val="0"/>
        <w:spacing w:line="480" w:lineRule="exact"/>
        <w:jc w:val="center"/>
        <w:rPr>
          <w:rFonts w:ascii="Times New Roman" w:hAnsi="Times New Roman" w:eastAsia="方正黑体_GBK"/>
          <w:sz w:val="28"/>
          <w:szCs w:val="28"/>
        </w:rPr>
      </w:pPr>
      <w:r>
        <w:rPr>
          <w:rFonts w:ascii="Times New Roman" w:hAnsi="Times New Roman" w:eastAsia="方正黑体_GBK"/>
          <w:sz w:val="28"/>
          <w:szCs w:val="28"/>
        </w:rPr>
        <w:t>专栏21  社会保障重点项目</w:t>
      </w:r>
    </w:p>
    <w:tbl>
      <w:tblPr>
        <w:tblStyle w:val="27"/>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76"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2" w:firstLineChars="200"/>
              <w:rPr>
                <w:rFonts w:ascii="Times New Roman" w:hAnsi="Times New Roman" w:eastAsia="方正仿宋_GBK"/>
                <w:b/>
                <w:sz w:val="24"/>
                <w:szCs w:val="32"/>
              </w:rPr>
            </w:pPr>
            <w:r>
              <w:rPr>
                <w:rFonts w:ascii="Times New Roman" w:hAnsi="Times New Roman" w:eastAsia="方正仿宋_GBK"/>
                <w:b/>
                <w:sz w:val="24"/>
                <w:szCs w:val="32"/>
              </w:rPr>
              <w:t>养老服务。</w:t>
            </w:r>
            <w:r>
              <w:rPr>
                <w:rFonts w:ascii="Times New Roman" w:hAnsi="Times New Roman" w:eastAsia="方正仿宋_GBK"/>
                <w:bCs/>
                <w:sz w:val="24"/>
                <w:szCs w:val="32"/>
              </w:rPr>
              <w:t>推进高燕镇、蓼子乡中心敬老院建设项目，规划建设居家养老服务中心（站）。规划建设城区养老服务中心。</w:t>
            </w:r>
          </w:p>
          <w:p>
            <w:pPr>
              <w:overflowPunct w:val="0"/>
              <w:spacing w:line="400" w:lineRule="exact"/>
              <w:ind w:firstLine="482" w:firstLineChars="200"/>
              <w:rPr>
                <w:rFonts w:ascii="Times New Roman" w:hAnsi="Times New Roman" w:eastAsia="方正仿宋_GBK"/>
                <w:bCs/>
                <w:sz w:val="24"/>
                <w:szCs w:val="32"/>
              </w:rPr>
            </w:pPr>
            <w:r>
              <w:rPr>
                <w:rFonts w:ascii="Times New Roman" w:hAnsi="Times New Roman" w:eastAsia="方正仿宋_GBK"/>
                <w:b/>
                <w:sz w:val="24"/>
                <w:szCs w:val="32"/>
              </w:rPr>
              <w:t>退役军人重点工程。</w:t>
            </w:r>
            <w:r>
              <w:rPr>
                <w:rFonts w:ascii="Times New Roman" w:hAnsi="Times New Roman" w:eastAsia="方正仿宋_GBK"/>
                <w:bCs/>
                <w:sz w:val="24"/>
                <w:szCs w:val="32"/>
              </w:rPr>
              <w:t>推进烈士陵园建设工程、军队离退休干部管理服务中心、乡镇（街道）退役军人服务站建设等项目建设。</w:t>
            </w:r>
          </w:p>
          <w:p>
            <w:pPr>
              <w:overflowPunct w:val="0"/>
              <w:spacing w:line="400" w:lineRule="exact"/>
              <w:ind w:firstLine="482" w:firstLineChars="200"/>
              <w:rPr>
                <w:rFonts w:ascii="Times New Roman" w:hAnsi="Times New Roman" w:eastAsia="方正仿宋_GBK"/>
                <w:bCs/>
                <w:sz w:val="24"/>
                <w:szCs w:val="32"/>
              </w:rPr>
            </w:pPr>
            <w:r>
              <w:rPr>
                <w:rFonts w:ascii="Times New Roman" w:hAnsi="Times New Roman" w:eastAsia="方正仿宋_GBK"/>
                <w:b/>
                <w:sz w:val="24"/>
                <w:szCs w:val="32"/>
              </w:rPr>
              <w:t>社会保障。</w:t>
            </w:r>
            <w:r>
              <w:rPr>
                <w:rFonts w:ascii="Times New Roman" w:hAnsi="Times New Roman" w:eastAsia="方正仿宋_GBK"/>
                <w:bCs/>
                <w:sz w:val="24"/>
                <w:szCs w:val="32"/>
              </w:rPr>
              <w:t>推进城市第二公益性公墓建设项目、乡镇场镇简易殡仪服务站及农村集中安葬点建设项目、殡葬服务设施建设项目。</w:t>
            </w:r>
          </w:p>
          <w:p>
            <w:pPr>
              <w:overflowPunct w:val="0"/>
              <w:spacing w:line="400" w:lineRule="exact"/>
              <w:ind w:firstLine="482" w:firstLineChars="200"/>
              <w:rPr>
                <w:rFonts w:ascii="Times New Roman" w:hAnsi="Times New Roman"/>
              </w:rPr>
            </w:pPr>
            <w:r>
              <w:rPr>
                <w:rFonts w:ascii="Times New Roman" w:hAnsi="Times New Roman" w:eastAsia="方正仿宋_GBK"/>
                <w:b/>
                <w:sz w:val="24"/>
                <w:szCs w:val="32"/>
              </w:rPr>
              <w:t>社会救助。</w:t>
            </w:r>
            <w:r>
              <w:rPr>
                <w:rFonts w:ascii="Times New Roman" w:hAnsi="Times New Roman" w:eastAsia="方正仿宋_GBK"/>
                <w:bCs/>
                <w:sz w:val="24"/>
                <w:szCs w:val="32"/>
              </w:rPr>
              <w:t>推进儿童福利院、未成年人救助保护中心（救助站）、流浪乞讨人员救助管理站建设等项目。</w:t>
            </w:r>
          </w:p>
        </w:tc>
      </w:tr>
    </w:tbl>
    <w:p>
      <w:pPr>
        <w:pStyle w:val="26"/>
        <w:overflowPunct w:val="0"/>
        <w:adjustRightInd w:val="0"/>
        <w:snapToGrid w:val="0"/>
        <w:spacing w:after="0" w:line="560" w:lineRule="exact"/>
        <w:ind w:leftChars="0"/>
        <w:rPr>
          <w:rFonts w:ascii="Times New Roman" w:hAnsi="Times New Roman"/>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2736" w:name="_Toc19872"/>
      <w:bookmarkStart w:id="2737" w:name="_Toc30286"/>
      <w:bookmarkStart w:id="2738" w:name="_Toc30973"/>
      <w:bookmarkStart w:id="2739" w:name="_Toc15911"/>
      <w:bookmarkStart w:id="2740" w:name="_Toc19273"/>
      <w:bookmarkStart w:id="2741" w:name="_Toc15936"/>
      <w:bookmarkStart w:id="2742" w:name="_Toc26233"/>
      <w:bookmarkStart w:id="2743" w:name="_Toc27093"/>
      <w:bookmarkStart w:id="2744" w:name="_Toc22007"/>
      <w:bookmarkStart w:id="2745" w:name="_Toc1412"/>
      <w:bookmarkStart w:id="2746" w:name="_Toc13983"/>
      <w:bookmarkStart w:id="2747" w:name="_Toc18101"/>
      <w:bookmarkStart w:id="2748" w:name="_Toc25237"/>
      <w:bookmarkStart w:id="2749" w:name="_Toc6537"/>
      <w:bookmarkStart w:id="2750" w:name="_Toc7638"/>
      <w:bookmarkStart w:id="2751" w:name="_Toc4089"/>
      <w:bookmarkStart w:id="2752" w:name="_Toc59950123"/>
      <w:bookmarkStart w:id="2753" w:name="_Toc1055"/>
      <w:bookmarkStart w:id="2754" w:name="_Toc27057"/>
      <w:r>
        <w:rPr>
          <w:rFonts w:ascii="Times New Roman" w:hAnsi="Times New Roman" w:eastAsia="方正黑体_GBK"/>
          <w:b/>
          <w:bCs/>
          <w:kern w:val="44"/>
          <w:sz w:val="32"/>
          <w:szCs w:val="32"/>
        </w:rPr>
        <w:t>第四十一章  关心关爱重点群体发展</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注重机会公平，聚焦妇女儿童、青少年和残疾人等重点群体，切实保障基本权益，共享社会发展成果。</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755" w:name="_Toc11396"/>
      <w:bookmarkStart w:id="2756" w:name="_Toc3013"/>
      <w:bookmarkStart w:id="2757" w:name="_Toc27733"/>
      <w:bookmarkStart w:id="2758" w:name="_Toc17126"/>
      <w:bookmarkStart w:id="2759" w:name="_Toc1787"/>
      <w:bookmarkStart w:id="2760" w:name="_Toc32209"/>
      <w:bookmarkStart w:id="2761" w:name="_Toc23124"/>
      <w:bookmarkStart w:id="2762" w:name="_Toc24493"/>
      <w:bookmarkStart w:id="2763" w:name="_Toc27530"/>
      <w:bookmarkStart w:id="2764" w:name="_Toc701"/>
      <w:bookmarkStart w:id="2765" w:name="_Toc27521"/>
      <w:bookmarkStart w:id="2766" w:name="_Toc9079"/>
      <w:bookmarkStart w:id="2767" w:name="_Toc17358"/>
      <w:bookmarkStart w:id="2768" w:name="_Toc7716"/>
      <w:bookmarkStart w:id="2769" w:name="_Toc4699"/>
      <w:bookmarkStart w:id="2770" w:name="_Toc8466"/>
      <w:bookmarkStart w:id="2771" w:name="_Toc23773"/>
      <w:bookmarkStart w:id="2772" w:name="_Toc18721"/>
      <w:bookmarkStart w:id="2773" w:name="_Toc59950124"/>
      <w:r>
        <w:rPr>
          <w:rFonts w:ascii="Times New Roman" w:hAnsi="Times New Roman" w:eastAsia="方正楷体_GBK"/>
          <w:b/>
          <w:sz w:val="32"/>
          <w:szCs w:val="32"/>
        </w:rPr>
        <w:t>第一节  促进妇女全面发展</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bookmarkEnd w:id="2773"/>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男女平等基本国策，坚持和完善促进男女平等、妇女全面发展的制度机制。落实中国妇女发展纲要，畅通妇女诉求表达、利益协调、权益保障通道。聚焦就业性别歧视、性侵妇女和二孩政策下妇女权益保护、婚姻家庭纠纷人民调解等重点问题，保障妇女合法权益。加强女性人才队伍建设，提升女性素质，提高妇女参与经济社会发展的能力与水平。全方位优化妇女发展环境，提高妇女参与经济文化社会事务管理水平，充分发挥妇女在全面建设社会主义现代化国家中的“半边天”作用。拓宽妇女就业渠道，培养女性优秀人才，高质量促进妇女成长成才。推进基层妇女之家活动阵地规范化建设。提高妇幼保健公共服务水平。加强特殊困难妇女群体民生保障，实施城乡低收入“两癌”患病妇女救助。</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774" w:name="_Toc16705"/>
      <w:bookmarkStart w:id="2775" w:name="_Toc17921"/>
      <w:bookmarkStart w:id="2776" w:name="_Toc24629"/>
      <w:bookmarkStart w:id="2777" w:name="_Toc15701"/>
      <w:bookmarkStart w:id="2778" w:name="_Toc28159"/>
      <w:bookmarkStart w:id="2779" w:name="_Toc14341"/>
      <w:bookmarkStart w:id="2780" w:name="_Toc4394"/>
      <w:bookmarkStart w:id="2781" w:name="_Toc20524"/>
      <w:bookmarkStart w:id="2782" w:name="_Toc7268"/>
      <w:bookmarkStart w:id="2783" w:name="_Toc11155"/>
      <w:bookmarkStart w:id="2784" w:name="_Toc11566"/>
      <w:bookmarkStart w:id="2785" w:name="_Toc32342"/>
      <w:bookmarkStart w:id="2786" w:name="_Toc25910"/>
      <w:bookmarkStart w:id="2787" w:name="_Toc31695"/>
      <w:bookmarkStart w:id="2788" w:name="_Toc26457"/>
      <w:bookmarkStart w:id="2789" w:name="_Toc28486"/>
      <w:bookmarkStart w:id="2790" w:name="_Toc16339"/>
      <w:bookmarkStart w:id="2791" w:name="_Toc12626"/>
      <w:r>
        <w:rPr>
          <w:rFonts w:ascii="Times New Roman" w:hAnsi="Times New Roman" w:eastAsia="方正楷体_GBK"/>
          <w:b/>
          <w:sz w:val="32"/>
          <w:szCs w:val="32"/>
        </w:rPr>
        <w:t>第二节  保障儿童健康发展</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全面贯彻落实儿童优先原则，建立和完善促进儿童优先发展和全面发展的制度体系。优化儿童发展环境，探索创建儿童友好城区和儿童友好社区，提高城乡社区儿童之家建设水平。缩小儿童发展的城乡、区域、群体差距，保障儿童生存、发展、受保护和参与的权利。加强儿童早期教育和心理健康教育指导。完善学校家庭社会协同育人机制，落实立德树人根本任务。促进儿童早期发展，探索实施学龄前儿童营养改善计划，全面提升儿童综合素质。完善儿童监护制度，健全基层儿童保护机制，加强留守儿童关爱服务，落实困境儿童保障制度，增加婴幼儿普惠性托育服务有效供给。健全未成年人网络保护综合治理机制，提升儿童网络素养，严厉打击危害儿童身心健康的违法犯罪行为。完善困境儿童、留守儿童等特殊群体关爱服务体系，实施“情暖童心 相伴成长”关爱服务项目。</w:t>
      </w:r>
    </w:p>
    <w:p>
      <w:pPr>
        <w:overflowPunct w:val="0"/>
        <w:adjustRightInd w:val="0"/>
        <w:snapToGrid w:val="0"/>
        <w:spacing w:line="560" w:lineRule="exact"/>
        <w:jc w:val="center"/>
        <w:outlineLvl w:val="2"/>
        <w:rPr>
          <w:rFonts w:ascii="Times New Roman" w:hAnsi="Times New Roman" w:eastAsia="方正仿宋_GBK"/>
          <w:sz w:val="32"/>
          <w:szCs w:val="32"/>
        </w:rPr>
      </w:pPr>
      <w:bookmarkStart w:id="2792" w:name="_Toc12314"/>
      <w:bookmarkStart w:id="2793" w:name="_Toc11070"/>
      <w:bookmarkStart w:id="2794" w:name="_Toc5066"/>
      <w:bookmarkStart w:id="2795" w:name="_Toc7486"/>
      <w:bookmarkStart w:id="2796" w:name="_Toc2913"/>
      <w:bookmarkStart w:id="2797" w:name="_Toc148"/>
      <w:bookmarkStart w:id="2798" w:name="_Toc14647"/>
      <w:bookmarkStart w:id="2799" w:name="_Toc22043"/>
      <w:bookmarkStart w:id="2800" w:name="_Toc2726"/>
      <w:bookmarkStart w:id="2801" w:name="_Toc7227"/>
      <w:bookmarkStart w:id="2802" w:name="_Toc18365"/>
      <w:bookmarkStart w:id="2803" w:name="_Toc29537"/>
      <w:bookmarkStart w:id="2804" w:name="_Toc174"/>
      <w:bookmarkStart w:id="2805" w:name="_Toc19455"/>
      <w:bookmarkStart w:id="2806" w:name="_Toc4154"/>
      <w:bookmarkStart w:id="2807" w:name="_Toc18832"/>
      <w:bookmarkStart w:id="2808" w:name="_Toc21543"/>
      <w:bookmarkStart w:id="2809" w:name="_Toc11865"/>
      <w:r>
        <w:rPr>
          <w:rFonts w:ascii="Times New Roman" w:hAnsi="Times New Roman" w:eastAsia="方正楷体_GBK"/>
          <w:b/>
          <w:sz w:val="32"/>
          <w:szCs w:val="32"/>
        </w:rPr>
        <w:t>第三节  高质量推动青少年发展事业</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Start w:id="2810" w:name="_Toc59950125"/>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贯彻落实全市中长期青年发展规划，让青年成为经济社会发展的生力军和中坚力量。提升“青少年之家”的服务功能，新建青少年活动中心，打造集思想引领、艺体培训、素质拓展为一体的校外教育阵地。打造青年创客工坊和返乡青年创业示范基地，引导广大青年参与乡村振兴战略，促进乡村建设发展。充分利用良好的生态资源，创建国家级青少年社会实践基地及营地，实施青少年自然教育，助推农文旅融合发展。打造“城宣万”青年合作联盟，强化人才互动和成果合作，为助推城宣万革命老区振兴发展贡献青年力量。实施青年体质健康提升工程，在城乡社区建设更多适应青少年需求的体育设施和场所，在全县建立青少年心理健康工作室，解决青年在学业、职业和生活等方面的问题和压力。打造青少年社会工作专业人才队伍，培育青少年事务社会工作服务机构，提升青年全面参与社会工作的能力。</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811" w:name="_Toc1163"/>
      <w:bookmarkStart w:id="2812" w:name="_Toc11053"/>
      <w:bookmarkStart w:id="2813" w:name="_Toc19887"/>
      <w:bookmarkStart w:id="2814" w:name="_Toc24470"/>
      <w:bookmarkStart w:id="2815" w:name="_Toc23858"/>
      <w:bookmarkStart w:id="2816" w:name="_Toc12961"/>
      <w:bookmarkStart w:id="2817" w:name="_Toc25116"/>
      <w:bookmarkStart w:id="2818" w:name="_Toc21361"/>
      <w:bookmarkStart w:id="2819" w:name="_Toc340"/>
      <w:bookmarkStart w:id="2820" w:name="_Toc29743"/>
      <w:bookmarkStart w:id="2821" w:name="_Toc23460"/>
      <w:bookmarkStart w:id="2822" w:name="_Toc21395"/>
      <w:bookmarkStart w:id="2823" w:name="_Toc24805"/>
      <w:bookmarkStart w:id="2824" w:name="_Toc7214"/>
      <w:bookmarkStart w:id="2825" w:name="_Toc12345"/>
      <w:bookmarkStart w:id="2826" w:name="_Toc30191"/>
      <w:bookmarkStart w:id="2827" w:name="_Toc17544"/>
      <w:bookmarkStart w:id="2828" w:name="_Toc31186"/>
      <w:r>
        <w:rPr>
          <w:rFonts w:ascii="Times New Roman" w:hAnsi="Times New Roman" w:eastAsia="方正楷体_GBK"/>
          <w:b/>
          <w:sz w:val="32"/>
          <w:szCs w:val="32"/>
        </w:rPr>
        <w:t>第四节  加强家庭建设</w:t>
      </w:r>
    </w:p>
    <w:p>
      <w:pPr>
        <w:pStyle w:val="2"/>
        <w:overflowPunct w:val="0"/>
        <w:adjustRightInd w:val="0"/>
        <w:snapToGrid w:val="0"/>
        <w:spacing w:before="0" w:after="0" w:line="560" w:lineRule="exact"/>
        <w:ind w:firstLine="643" w:firstLineChars="200"/>
        <w:rPr>
          <w:rFonts w:ascii="Times New Roman" w:hAnsi="Times New Roman" w:eastAsia="方正仿宋_GBK" w:cs="Times New Roman"/>
          <w:bCs w:val="0"/>
        </w:rPr>
      </w:pPr>
      <w:r>
        <w:rPr>
          <w:rFonts w:ascii="Times New Roman" w:hAnsi="Times New Roman" w:eastAsia="方正仿宋_GBK" w:cs="Times New Roman"/>
          <w:bCs w:val="0"/>
        </w:rPr>
        <w:t>以建设文明家庭、实施科学家教、传承优良家风为重点，深入实施家家幸福安康工程。推动实施《重庆市家庭教育促进条例》，加大反家庭暴力法宣传力度，加强婚姻家庭辅导服务，进一步完善婚姻家庭纠纷人民调解机制，预防和化解婚姻家庭矛盾纠纷。构建覆盖城乡的家庭教育指导服务体系，健全学校家庭社会协同育人机制。促进家庭服务多元化发展。充分发挥家庭家教家风在基层社会治理中的作用。</w:t>
      </w:r>
    </w:p>
    <w:p>
      <w:pPr>
        <w:overflowPunct w:val="0"/>
        <w:adjustRightInd w:val="0"/>
        <w:snapToGrid w:val="0"/>
        <w:spacing w:line="560" w:lineRule="exact"/>
        <w:jc w:val="center"/>
        <w:outlineLvl w:val="2"/>
        <w:rPr>
          <w:rFonts w:ascii="Times New Roman" w:hAnsi="Times New Roman" w:eastAsia="方正仿宋_GBK"/>
          <w:sz w:val="32"/>
          <w:szCs w:val="32"/>
        </w:rPr>
      </w:pPr>
      <w:r>
        <w:rPr>
          <w:rFonts w:ascii="Times New Roman" w:hAnsi="Times New Roman" w:eastAsia="方正楷体_GBK"/>
          <w:b/>
          <w:sz w:val="32"/>
          <w:szCs w:val="32"/>
        </w:rPr>
        <w:t>第五节  提升残疾人服务保障水平</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落实贫困残疾人生活补贴、重度残疾人互利补贴标准，持续解决残疾人特殊生活困难和长期照顾困难。完善残疾人社会福利制度，扩大残疾人社会保险覆盖面，加快发展重度残疾人照护和托养服务。推进残疾人集中就业，多渠道多形式扶持残疾人自主创业和灵活就业。加强残疾人健康管理，提升残疾人康复服务水平。完善残疾人服务基础设施，提高无障碍环境建设水平。建设残疾人康复中心，逐步满足残疾人康复或托养需求。</w:t>
      </w:r>
    </w:p>
    <w:p>
      <w:pPr>
        <w:overflowPunct w:val="0"/>
        <w:rPr>
          <w:rFonts w:ascii="Times New Roman" w:hAnsi="Times New Roman" w:eastAsia="方正黑体_GBK"/>
          <w:b/>
          <w:bCs/>
          <w:kern w:val="44"/>
          <w:sz w:val="32"/>
          <w:szCs w:val="32"/>
        </w:rPr>
      </w:pPr>
      <w:bookmarkStart w:id="2829" w:name="_Toc59950126"/>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2830" w:name="_Toc25334"/>
      <w:bookmarkStart w:id="2831" w:name="_Toc23614"/>
      <w:bookmarkStart w:id="2832" w:name="_Toc1773"/>
      <w:bookmarkStart w:id="2833" w:name="_Toc24278"/>
      <w:bookmarkStart w:id="2834" w:name="_Toc1552"/>
      <w:bookmarkStart w:id="2835" w:name="_Toc25441"/>
      <w:bookmarkStart w:id="2836" w:name="_Toc26966"/>
      <w:bookmarkStart w:id="2837" w:name="_Toc2518"/>
      <w:bookmarkStart w:id="2838" w:name="_Toc24085"/>
      <w:bookmarkStart w:id="2839" w:name="_Toc22233"/>
      <w:bookmarkStart w:id="2840" w:name="_Toc5131"/>
      <w:bookmarkStart w:id="2841" w:name="_Toc8833"/>
      <w:bookmarkStart w:id="2842" w:name="_Toc6359"/>
      <w:bookmarkStart w:id="2843" w:name="_Toc27648"/>
      <w:bookmarkStart w:id="2844" w:name="_Toc12260"/>
      <w:bookmarkStart w:id="2845" w:name="_Toc7749"/>
      <w:bookmarkStart w:id="2846" w:name="_Toc13263"/>
      <w:bookmarkStart w:id="2847" w:name="_Toc11641"/>
      <w:r>
        <w:rPr>
          <w:rFonts w:ascii="Times New Roman" w:hAnsi="Times New Roman" w:eastAsia="方正黑体_GBK"/>
          <w:b/>
          <w:bCs/>
          <w:kern w:val="44"/>
          <w:sz w:val="32"/>
          <w:szCs w:val="32"/>
        </w:rPr>
        <w:t>第四十二章  加强和创新社会治理</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坚持系统治理、依法治理、综合治理、源头治理，建设人人有责、人人尽责、人人享有的社会治理共同体，推进社会治理体系和治理能力现代化。</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848" w:name="_Toc26651"/>
      <w:bookmarkStart w:id="2849" w:name="_Toc26015"/>
      <w:bookmarkStart w:id="2850" w:name="_Toc5319"/>
      <w:bookmarkStart w:id="2851" w:name="_Toc30277"/>
      <w:bookmarkStart w:id="2852" w:name="_Toc3806"/>
      <w:bookmarkStart w:id="2853" w:name="_Toc31324"/>
      <w:bookmarkStart w:id="2854" w:name="_Toc15646"/>
      <w:bookmarkStart w:id="2855" w:name="_Toc28069"/>
      <w:bookmarkStart w:id="2856" w:name="_Toc31468"/>
      <w:bookmarkStart w:id="2857" w:name="_Toc11006"/>
      <w:bookmarkStart w:id="2858" w:name="_Toc17442"/>
      <w:bookmarkStart w:id="2859" w:name="_Toc21142"/>
      <w:bookmarkStart w:id="2860" w:name="_Toc541"/>
      <w:bookmarkStart w:id="2861" w:name="_Toc17505"/>
      <w:bookmarkStart w:id="2862" w:name="_Toc3333"/>
      <w:bookmarkStart w:id="2863" w:name="_Toc26440"/>
      <w:bookmarkStart w:id="2864" w:name="_Toc1278"/>
      <w:bookmarkStart w:id="2865" w:name="_Toc59950127"/>
      <w:bookmarkStart w:id="2866" w:name="_Toc25517"/>
      <w:r>
        <w:rPr>
          <w:rFonts w:ascii="Times New Roman" w:hAnsi="Times New Roman" w:eastAsia="方正楷体_GBK"/>
          <w:b/>
          <w:sz w:val="32"/>
          <w:szCs w:val="32"/>
        </w:rPr>
        <w:t>第一节  完善社会治理体系</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推进县域社会治理现代化试点工作为抓手，健全完善共建共治共享的基层社会治理体系。强化政治引领。自觉把政治引领落实到社会治理各领域各方面各环节，进一步巩固党的执政根基，不断增强社会治理的政治优势、组织优势。强化自治基础。健全基层群众自治机制，广泛开展村民说事、民情恳谈等协商活动，明确政府管理权和村民自治权的边界。不断创新丰富全县基层社会治理品牌的时代内涵，进一步提升品牌知名度和影响力。</w:t>
      </w:r>
    </w:p>
    <w:p>
      <w:pPr>
        <w:overflowPunct w:val="0"/>
        <w:adjustRightInd w:val="0"/>
        <w:snapToGrid w:val="0"/>
        <w:spacing w:line="560" w:lineRule="exact"/>
        <w:rPr>
          <w:rFonts w:ascii="Times New Roman" w:hAnsi="Times New Roman" w:eastAsia="方正仿宋_GBK"/>
          <w:sz w:val="32"/>
          <w:szCs w:val="32"/>
        </w:rPr>
      </w:pPr>
      <w:r>
        <w:rPr>
          <w:rFonts w:ascii="Times New Roman" w:hAnsi="Times New Roman" w:eastAsia="方正仿宋_GBK"/>
          <w:sz w:val="32"/>
          <w:szCs w:val="32"/>
        </w:rPr>
        <w:t>强化法治保障。建立健全扫黑除恶专项斗争长效常治机制，不断加强公共法律服务建设，充分发挥“一村一警”“一村一法律顾问”在基层调解、法律服务方面的作用。全面落实“谁执法谁普法”普法责任制，推动行政执法与刑事司法有机衔接。强化德治教化。广泛开展道德模范、身边好人等选树活动，完善见义勇为人员奖励和保障政策，健全守信联合激励和失信联合惩戒机制，弘扬公序良俗。强化智治支撑。推动大数据、人工智能等现代科技与社会治理深度融合。开展“互联网+政务服务”，打通部门、企事业单位之间的数据壁垒，实现设施联通、信息互通、工作联动。</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867" w:name="_Toc19377"/>
      <w:bookmarkStart w:id="2868" w:name="_Toc17328"/>
      <w:bookmarkStart w:id="2869" w:name="_Toc12990"/>
      <w:bookmarkStart w:id="2870" w:name="_Toc17118"/>
      <w:bookmarkStart w:id="2871" w:name="_Toc22009"/>
      <w:bookmarkStart w:id="2872" w:name="_Toc12219"/>
      <w:bookmarkStart w:id="2873" w:name="_Toc59950128"/>
      <w:bookmarkStart w:id="2874" w:name="_Toc12707"/>
      <w:bookmarkStart w:id="2875" w:name="_Toc25368"/>
      <w:bookmarkStart w:id="2876" w:name="_Toc18643"/>
      <w:bookmarkStart w:id="2877" w:name="_Toc19599"/>
      <w:bookmarkStart w:id="2878" w:name="_Toc20730"/>
      <w:bookmarkStart w:id="2879" w:name="_Toc28499"/>
      <w:bookmarkStart w:id="2880" w:name="_Toc19801"/>
      <w:bookmarkStart w:id="2881" w:name="_Toc19327"/>
      <w:bookmarkStart w:id="2882" w:name="_Toc31795"/>
      <w:bookmarkStart w:id="2883" w:name="_Toc30386"/>
      <w:bookmarkStart w:id="2884" w:name="_Toc10293"/>
      <w:bookmarkStart w:id="2885" w:name="_Toc26750"/>
      <w:r>
        <w:rPr>
          <w:rFonts w:ascii="Times New Roman" w:hAnsi="Times New Roman" w:eastAsia="方正楷体_GBK"/>
          <w:b/>
          <w:sz w:val="32"/>
          <w:szCs w:val="32"/>
        </w:rPr>
        <w:t xml:space="preserve">第二节  </w:t>
      </w:r>
      <w:bookmarkEnd w:id="2867"/>
      <w:bookmarkEnd w:id="2868"/>
      <w:bookmarkEnd w:id="2869"/>
      <w:bookmarkEnd w:id="2870"/>
      <w:bookmarkEnd w:id="2871"/>
      <w:bookmarkEnd w:id="2872"/>
      <w:bookmarkEnd w:id="2873"/>
      <w:bookmarkEnd w:id="2874"/>
      <w:bookmarkEnd w:id="2875"/>
      <w:bookmarkEnd w:id="2876"/>
      <w:r>
        <w:rPr>
          <w:rFonts w:ascii="Times New Roman" w:hAnsi="Times New Roman" w:eastAsia="方正楷体_GBK"/>
          <w:b/>
          <w:sz w:val="32"/>
          <w:szCs w:val="32"/>
        </w:rPr>
        <w:t>加强基层社会治理</w:t>
      </w:r>
      <w:bookmarkEnd w:id="2877"/>
      <w:bookmarkEnd w:id="2878"/>
      <w:bookmarkEnd w:id="2879"/>
      <w:bookmarkEnd w:id="2880"/>
      <w:bookmarkEnd w:id="2881"/>
      <w:bookmarkEnd w:id="2882"/>
      <w:bookmarkEnd w:id="2883"/>
      <w:bookmarkEnd w:id="2884"/>
      <w:bookmarkEnd w:id="2885"/>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动社会治理重心向基层下移，完善基层网格化管理，向基层放权赋能，加强基层组织、基础工作、基本能力建设，减轻基层特别是村级组织负担。推进县、乡、村综治中心规范化、实体化建设，完善城乡社区治理和服务体系，深入落实“县—乡—村—基础”四级网格管理体系，进一步提升基层社会治理效能。健全完善“党建+三治”治理机制。探索建立党建引领下的社区居民委员会、业主委员会、物业服务企业协调运行机制，加强社区物业党建联建，形成社区治理合力。加强基层社会治理队伍建设，构建网格化管理、精细化服务、信息化支撑、开放共享的基层管理服务平台。推动大数据智能化等现代科技与社会治理深度融合。</w:t>
      </w:r>
    </w:p>
    <w:p>
      <w:pPr>
        <w:overflowPunct w:val="0"/>
        <w:spacing w:line="480" w:lineRule="exact"/>
        <w:jc w:val="center"/>
        <w:rPr>
          <w:rFonts w:ascii="Times New Roman" w:hAnsi="Times New Roman" w:eastAsia="方正黑体_GBK"/>
          <w:sz w:val="28"/>
          <w:szCs w:val="28"/>
        </w:rPr>
      </w:pPr>
      <w:r>
        <w:rPr>
          <w:rFonts w:ascii="Times New Roman" w:hAnsi="Times New Roman" w:eastAsia="方正黑体_GBK"/>
          <w:sz w:val="28"/>
          <w:szCs w:val="28"/>
        </w:rPr>
        <w:t>专栏22  社会治理重点项目</w:t>
      </w:r>
    </w:p>
    <w:tbl>
      <w:tblPr>
        <w:tblStyle w:val="27"/>
        <w:tblW w:w="8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2"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2" w:firstLineChars="200"/>
              <w:rPr>
                <w:rFonts w:ascii="Times New Roman" w:hAnsi="Times New Roman"/>
              </w:rPr>
            </w:pPr>
            <w:r>
              <w:rPr>
                <w:rFonts w:ascii="Times New Roman" w:hAnsi="Times New Roman" w:eastAsia="方正仿宋_GBK"/>
                <w:b/>
                <w:sz w:val="24"/>
                <w:szCs w:val="32"/>
              </w:rPr>
              <w:t>社会治理。</w:t>
            </w:r>
            <w:r>
              <w:rPr>
                <w:rFonts w:ascii="Times New Roman" w:hAnsi="Times New Roman" w:eastAsia="方正仿宋_GBK"/>
                <w:bCs/>
                <w:sz w:val="24"/>
                <w:szCs w:val="32"/>
              </w:rPr>
              <w:t>加快建设“雪亮工程”、社会治安综合治理中心、执法办案中心建设，规划建设车管服务中心、公安巡逻执法中心、基层派出所、毒品预防教育基地。</w:t>
            </w:r>
          </w:p>
        </w:tc>
      </w:tr>
    </w:tbl>
    <w:p>
      <w:pPr>
        <w:overflowPunct w:val="0"/>
        <w:rPr>
          <w:rFonts w:ascii="Times New Roman" w:hAnsi="Times New Roman" w:eastAsia="方正小标宋_GBK"/>
          <w:b/>
          <w:bCs/>
          <w:kern w:val="44"/>
          <w:sz w:val="36"/>
          <w:szCs w:val="36"/>
        </w:rPr>
      </w:pPr>
    </w:p>
    <w:p>
      <w:pPr>
        <w:overflowPunct w:val="0"/>
        <w:adjustRightInd w:val="0"/>
        <w:snapToGrid w:val="0"/>
        <w:spacing w:line="560" w:lineRule="exact"/>
        <w:jc w:val="center"/>
        <w:outlineLvl w:val="0"/>
        <w:rPr>
          <w:rFonts w:ascii="Times New Roman" w:hAnsi="Times New Roman" w:eastAsia="方正小标宋_GBK"/>
          <w:b/>
          <w:bCs/>
          <w:kern w:val="44"/>
          <w:sz w:val="36"/>
          <w:szCs w:val="36"/>
        </w:rPr>
      </w:pPr>
      <w:bookmarkStart w:id="2886" w:name="_Toc4255"/>
      <w:bookmarkStart w:id="2887" w:name="_Toc5207"/>
      <w:bookmarkStart w:id="2888" w:name="_Toc29703"/>
      <w:bookmarkStart w:id="2889" w:name="_Toc3915"/>
      <w:bookmarkStart w:id="2890" w:name="_Toc29690"/>
      <w:bookmarkStart w:id="2891" w:name="_Toc3366"/>
      <w:bookmarkStart w:id="2892" w:name="_Toc13346"/>
      <w:bookmarkStart w:id="2893" w:name="_Toc21057"/>
      <w:bookmarkStart w:id="2894" w:name="_Toc19053"/>
      <w:bookmarkStart w:id="2895" w:name="_Toc29879"/>
      <w:bookmarkStart w:id="2896" w:name="_Toc22747"/>
      <w:bookmarkStart w:id="2897" w:name="_Toc15555"/>
      <w:bookmarkStart w:id="2898" w:name="_Toc4755"/>
      <w:bookmarkStart w:id="2899" w:name="_Toc3738"/>
      <w:bookmarkStart w:id="2900" w:name="_Toc4303"/>
      <w:bookmarkStart w:id="2901" w:name="_Toc5351"/>
      <w:bookmarkStart w:id="2902" w:name="_Toc6371"/>
      <w:bookmarkStart w:id="2903" w:name="_Toc16517"/>
      <w:r>
        <w:rPr>
          <w:rFonts w:ascii="Times New Roman" w:hAnsi="Times New Roman" w:eastAsia="方正小标宋_GBK"/>
          <w:b/>
          <w:bCs/>
          <w:kern w:val="44"/>
          <w:sz w:val="36"/>
          <w:szCs w:val="36"/>
        </w:rPr>
        <w:t>第十一篇  统筹发展和安全  守住安全发展底线</w:t>
      </w:r>
      <w:bookmarkEnd w:id="2886"/>
      <w:bookmarkEnd w:id="2887"/>
      <w:bookmarkEnd w:id="2888"/>
      <w:bookmarkEnd w:id="2889"/>
      <w:bookmarkEnd w:id="2890"/>
      <w:bookmarkEnd w:id="2891"/>
      <w:bookmarkEnd w:id="2892"/>
      <w:bookmarkEnd w:id="2893"/>
      <w:bookmarkEnd w:id="2894"/>
      <w:bookmarkEnd w:id="2895"/>
      <w:bookmarkEnd w:id="2896"/>
    </w:p>
    <w:p>
      <w:pPr>
        <w:overflowPunct w:val="0"/>
        <w:adjustRightInd w:val="0"/>
        <w:snapToGrid w:val="0"/>
        <w:spacing w:line="560" w:lineRule="exact"/>
        <w:ind w:firstLine="640" w:firstLineChars="200"/>
        <w:rPr>
          <w:rFonts w:ascii="Times New Roman" w:hAnsi="Times New Roman" w:eastAsia="方正仿宋_GBK"/>
          <w:sz w:val="32"/>
          <w:szCs w:val="32"/>
        </w:rPr>
      </w:pPr>
    </w:p>
    <w:p>
      <w:pPr>
        <w:overflowPunct w:val="0"/>
        <w:adjustRightInd w:val="0"/>
        <w:snapToGrid w:val="0"/>
        <w:spacing w:line="560" w:lineRule="exact"/>
        <w:ind w:firstLine="640" w:firstLineChars="200"/>
        <w:jc w:val="left"/>
        <w:rPr>
          <w:rFonts w:ascii="Times New Roman" w:hAnsi="Times New Roman"/>
        </w:rPr>
      </w:pPr>
      <w:r>
        <w:rPr>
          <w:rFonts w:ascii="Times New Roman" w:hAnsi="Times New Roman" w:eastAsia="方正仿宋_GBK"/>
          <w:sz w:val="32"/>
          <w:szCs w:val="32"/>
        </w:rPr>
        <w:t>坚持总体国家安全观，牢固树立安全发展理念，统筹传统安全和非传统安全，把安全发展贯穿发展各领域和全过程，提高重点领域防范抵御风险能力，确保全县人民安居乐业、社会安定有序。</w:t>
      </w:r>
    </w:p>
    <w:p>
      <w:pPr>
        <w:overflowPunct w:val="0"/>
        <w:adjustRightInd w:val="0"/>
        <w:snapToGrid w:val="0"/>
        <w:spacing w:line="560" w:lineRule="exact"/>
        <w:jc w:val="center"/>
        <w:outlineLvl w:val="1"/>
        <w:rPr>
          <w:rFonts w:ascii="Times New Roman" w:hAnsi="Times New Roman" w:eastAsia="方正黑体_GBK"/>
          <w:b/>
          <w:bCs/>
          <w:kern w:val="44"/>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2904" w:name="_Toc11470"/>
      <w:bookmarkStart w:id="2905" w:name="_Toc18267"/>
      <w:bookmarkStart w:id="2906" w:name="_Toc17775"/>
      <w:bookmarkStart w:id="2907" w:name="_Toc8948"/>
      <w:bookmarkStart w:id="2908" w:name="_Toc3282"/>
      <w:bookmarkStart w:id="2909" w:name="_Toc22732"/>
      <w:bookmarkStart w:id="2910" w:name="_Toc13892"/>
      <w:bookmarkStart w:id="2911" w:name="_Toc13386"/>
      <w:bookmarkStart w:id="2912" w:name="_Toc26352"/>
      <w:bookmarkStart w:id="2913" w:name="_Toc32751"/>
      <w:bookmarkStart w:id="2914" w:name="_Toc28400"/>
      <w:r>
        <w:rPr>
          <w:rFonts w:ascii="Times New Roman" w:hAnsi="Times New Roman" w:eastAsia="方正黑体_GBK"/>
          <w:b/>
          <w:bCs/>
          <w:kern w:val="44"/>
          <w:sz w:val="32"/>
          <w:szCs w:val="32"/>
        </w:rPr>
        <w:t>第四十三章  全力维护国家安全</w:t>
      </w:r>
      <w:bookmarkEnd w:id="2904"/>
      <w:bookmarkEnd w:id="2905"/>
      <w:bookmarkEnd w:id="2906"/>
      <w:bookmarkEnd w:id="2907"/>
      <w:bookmarkEnd w:id="2908"/>
      <w:bookmarkEnd w:id="2909"/>
      <w:bookmarkEnd w:id="2910"/>
      <w:bookmarkEnd w:id="2911"/>
      <w:bookmarkEnd w:id="2912"/>
      <w:bookmarkEnd w:id="2913"/>
      <w:bookmarkEnd w:id="2914"/>
    </w:p>
    <w:p>
      <w:pPr>
        <w:overflowPunct w:val="0"/>
        <w:adjustRightInd w:val="0"/>
        <w:snapToGrid w:val="0"/>
        <w:spacing w:line="560" w:lineRule="exact"/>
        <w:ind w:firstLine="640" w:firstLineChars="200"/>
        <w:jc w:val="left"/>
        <w:rPr>
          <w:rFonts w:ascii="Times New Roman" w:hAnsi="Times New Roman" w:eastAsia="方正仿宋_GBK"/>
          <w:sz w:val="32"/>
          <w:szCs w:val="32"/>
        </w:rPr>
      </w:pPr>
      <w:bookmarkStart w:id="2915" w:name="_Toc4991"/>
      <w:r>
        <w:rPr>
          <w:rFonts w:ascii="Times New Roman" w:hAnsi="Times New Roman" w:eastAsia="方正仿宋_GBK"/>
          <w:sz w:val="32"/>
          <w:szCs w:val="32"/>
        </w:rPr>
        <w:t>落实国家安全战略，坚持人民安全、政治安全、国家利益至上有机统一，坚决维护国家主权、安全、发展利益。落实国家安全审查和监管制度，完善跨部门会商、风险监测评估和预警、危机管控等专项工作机制。加强维护国家安全所需资金、物资、技术、装备等保障。用好红色资源，深入开展国家安全宣传教育，增强全县群众国家安全意识，筑牢国家安全群众基础。</w:t>
      </w:r>
      <w:bookmarkEnd w:id="2915"/>
    </w:p>
    <w:p>
      <w:pPr>
        <w:overflowPunct w:val="0"/>
        <w:adjustRightInd w:val="0"/>
        <w:snapToGrid w:val="0"/>
        <w:spacing w:line="560" w:lineRule="exact"/>
        <w:ind w:firstLine="640" w:firstLineChars="200"/>
        <w:jc w:val="left"/>
        <w:rPr>
          <w:rFonts w:ascii="Times New Roman" w:hAnsi="Times New Roman" w:eastAsia="方正仿宋_GBK"/>
          <w:sz w:val="32"/>
          <w:szCs w:val="32"/>
        </w:rPr>
      </w:pPr>
      <w:bookmarkStart w:id="2916" w:name="_Toc23233"/>
      <w:r>
        <w:rPr>
          <w:rFonts w:ascii="Times New Roman" w:hAnsi="Times New Roman" w:eastAsia="方正仿宋_GBK"/>
          <w:sz w:val="32"/>
          <w:szCs w:val="32"/>
        </w:rPr>
        <w:t>坚决维护国家政权安全、制度安全、意识形态安全，深入抓好政治安全风险隐患排查化解，严密防范和严厉打击各种渗透、破坏、颠覆、分裂活动。扎实开展反邪教斗争，依法处置非法宗教活动。坚决落实党委（党组）意识形态工作责任制，加强宣传思想文化阵地建设和管理。全面加强网络安全保障体系和能力建设，做好网络意识形态工作。</w:t>
      </w:r>
      <w:bookmarkEnd w:id="2916"/>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增强国防动员和保障能力，落实国防动员体制改革各项任务，巩固强化党管国防动员的职能定位，抓实民兵队伍建设，完善民兵队伍建设、训练、管理、保障机制。抓实全民国防教育，创新培养国防动员人才，开创军政军民团结新局面。</w:t>
      </w:r>
    </w:p>
    <w:p>
      <w:pPr>
        <w:overflowPunct w:val="0"/>
        <w:adjustRightInd w:val="0"/>
        <w:snapToGrid w:val="0"/>
        <w:spacing w:line="560" w:lineRule="exact"/>
        <w:rPr>
          <w:rFonts w:ascii="Times New Roman" w:hAnsi="Times New Roman" w:eastAsia="方正黑体_GBK"/>
          <w:b/>
          <w:bCs/>
          <w:kern w:val="44"/>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2917" w:name="_Toc20113"/>
      <w:bookmarkStart w:id="2918" w:name="_Toc962"/>
      <w:bookmarkStart w:id="2919" w:name="_Toc29550"/>
      <w:bookmarkStart w:id="2920" w:name="_Toc2091"/>
      <w:bookmarkStart w:id="2921" w:name="_Toc19420"/>
      <w:bookmarkStart w:id="2922" w:name="_Toc9287"/>
      <w:bookmarkStart w:id="2923" w:name="_Toc6942"/>
      <w:bookmarkStart w:id="2924" w:name="_Toc21049"/>
      <w:bookmarkStart w:id="2925" w:name="_Toc14447"/>
      <w:bookmarkStart w:id="2926" w:name="_Toc25442"/>
      <w:bookmarkStart w:id="2927" w:name="_Toc11210"/>
      <w:r>
        <w:rPr>
          <w:rFonts w:ascii="Times New Roman" w:hAnsi="Times New Roman" w:eastAsia="方正黑体_GBK"/>
          <w:b/>
          <w:bCs/>
          <w:kern w:val="44"/>
          <w:sz w:val="32"/>
          <w:szCs w:val="32"/>
        </w:rPr>
        <w:t>第四十四章  突出抓好经济安全</w:t>
      </w:r>
      <w:bookmarkEnd w:id="2917"/>
      <w:bookmarkEnd w:id="2918"/>
      <w:bookmarkEnd w:id="2919"/>
      <w:bookmarkEnd w:id="2920"/>
      <w:bookmarkEnd w:id="2921"/>
      <w:bookmarkEnd w:id="2922"/>
      <w:bookmarkEnd w:id="2923"/>
      <w:bookmarkEnd w:id="2924"/>
      <w:bookmarkEnd w:id="2925"/>
      <w:bookmarkEnd w:id="2926"/>
      <w:bookmarkEnd w:id="2927"/>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加强经济安全风险预警、防控机制和能力建设，织密织牢开放安全网，确保金融、战略资源等关键领域安全可控，增强生存力、竞争力、发展力、持续力。强化金融风险监测、评估、预警和处置，切实提高防范化解金融风险能力。严厉打击非法金融活动，稳妥处置重大非法集资案件，加强国有企业资产负债约束和管理，稳妥推动“僵尸企业”处置，防止政府债务违约风险。稳妥化解重点企业信用风险，防止信贷违约风险集中爆发，严厉打击恶意“逃废债”行为。加强存量债券兑付风险排查和债券发行事前事中事后监管，稳妥化解公开市场风险，营造良好金融法治环境。加强战略物资储备，统筹建设与经济社会发展相协调、与应急管理体系相衔接的新型战略物资储备体系，强化交通、生活、医疗等战略物资保障。坚决维护粮食安全，全面加强粮食生产、储备和流通能力建设。加强战略物资储备设施建设，完善重要商品应急保供重点企业制度。</w:t>
      </w:r>
    </w:p>
    <w:p>
      <w:pPr>
        <w:overflowPunct w:val="0"/>
        <w:rPr>
          <w:rFonts w:ascii="Times New Roman" w:hAnsi="Times New Roman" w:eastAsia="方正黑体_GBK"/>
          <w:b/>
          <w:bCs/>
          <w:kern w:val="44"/>
          <w:sz w:val="32"/>
          <w:szCs w:val="32"/>
        </w:rPr>
      </w:pPr>
    </w:p>
    <w:p>
      <w:pPr>
        <w:overflowPunct w:val="0"/>
        <w:adjustRightInd w:val="0"/>
        <w:snapToGrid w:val="0"/>
        <w:spacing w:line="560" w:lineRule="exact"/>
        <w:jc w:val="center"/>
        <w:outlineLvl w:val="1"/>
        <w:rPr>
          <w:rFonts w:ascii="Times New Roman" w:hAnsi="Times New Roman" w:eastAsia="方正仿宋_GBK"/>
          <w:sz w:val="32"/>
          <w:szCs w:val="32"/>
        </w:rPr>
      </w:pPr>
      <w:bookmarkStart w:id="2928" w:name="_Toc1350"/>
      <w:bookmarkStart w:id="2929" w:name="_Toc17634"/>
      <w:bookmarkStart w:id="2930" w:name="_Toc1800"/>
      <w:bookmarkStart w:id="2931" w:name="_Toc16337"/>
      <w:bookmarkStart w:id="2932" w:name="_Toc17028"/>
      <w:bookmarkStart w:id="2933" w:name="_Toc26140"/>
      <w:bookmarkStart w:id="2934" w:name="_Toc5052"/>
      <w:bookmarkStart w:id="2935" w:name="_Toc1310"/>
      <w:bookmarkStart w:id="2936" w:name="_Toc23255"/>
      <w:bookmarkStart w:id="2937" w:name="_Toc13878"/>
      <w:bookmarkStart w:id="2938" w:name="_Toc15738"/>
      <w:r>
        <w:rPr>
          <w:rFonts w:ascii="Times New Roman" w:hAnsi="Times New Roman" w:eastAsia="方正黑体_GBK"/>
          <w:b/>
          <w:bCs/>
          <w:kern w:val="44"/>
          <w:sz w:val="32"/>
          <w:szCs w:val="32"/>
        </w:rPr>
        <w:t>第四十五章  切实保障公共安全</w:t>
      </w:r>
      <w:bookmarkEnd w:id="2928"/>
      <w:bookmarkEnd w:id="2929"/>
      <w:bookmarkEnd w:id="2930"/>
      <w:bookmarkEnd w:id="2931"/>
      <w:bookmarkEnd w:id="2932"/>
      <w:bookmarkEnd w:id="2933"/>
      <w:bookmarkEnd w:id="2934"/>
      <w:bookmarkEnd w:id="2935"/>
      <w:bookmarkEnd w:id="2936"/>
      <w:bookmarkEnd w:id="2937"/>
      <w:bookmarkEnd w:id="2938"/>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坚持人民至上、生命至上，把保护人民生命安全摆在首位，织密织牢全方位立体化的公共安全网，让人民群众的安全感更有保障。</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939" w:name="_Toc18233"/>
      <w:bookmarkStart w:id="2940" w:name="_Toc23938"/>
      <w:bookmarkStart w:id="2941" w:name="_Toc11539"/>
      <w:bookmarkStart w:id="2942" w:name="_Toc13158"/>
      <w:bookmarkStart w:id="2943" w:name="_Toc22920"/>
      <w:bookmarkStart w:id="2944" w:name="_Toc4258"/>
      <w:bookmarkStart w:id="2945" w:name="_Toc553"/>
      <w:bookmarkStart w:id="2946" w:name="_Toc22635"/>
      <w:bookmarkStart w:id="2947" w:name="_Toc15963"/>
      <w:r>
        <w:rPr>
          <w:rFonts w:ascii="Times New Roman" w:hAnsi="Times New Roman" w:eastAsia="方正楷体_GBK"/>
          <w:b/>
          <w:sz w:val="32"/>
          <w:szCs w:val="32"/>
        </w:rPr>
        <w:t>第一节  全面提升安全生产水平</w:t>
      </w:r>
      <w:bookmarkEnd w:id="2939"/>
      <w:bookmarkEnd w:id="2940"/>
      <w:bookmarkEnd w:id="2941"/>
      <w:bookmarkEnd w:id="2942"/>
      <w:bookmarkEnd w:id="2943"/>
      <w:bookmarkEnd w:id="2944"/>
      <w:bookmarkEnd w:id="2945"/>
      <w:bookmarkEnd w:id="2946"/>
      <w:bookmarkEnd w:id="2947"/>
    </w:p>
    <w:p>
      <w:pPr>
        <w:overflowPunct w:val="0"/>
        <w:adjustRightInd w:val="0"/>
        <w:snapToGrid w:val="0"/>
        <w:spacing w:line="560" w:lineRule="exact"/>
        <w:ind w:firstLine="640" w:firstLineChars="200"/>
        <w:rPr>
          <w:rFonts w:ascii="Times New Roman" w:hAnsi="Times New Roman" w:eastAsia="方正仿宋_GBK"/>
          <w:sz w:val="32"/>
          <w:szCs w:val="32"/>
        </w:rPr>
      </w:pPr>
      <w:bookmarkStart w:id="2948" w:name="_Toc18546"/>
      <w:bookmarkStart w:id="2949" w:name="_Toc16917"/>
      <w:bookmarkStart w:id="2950" w:name="_Toc30223"/>
      <w:r>
        <w:rPr>
          <w:rFonts w:ascii="Times New Roman" w:hAnsi="Times New Roman" w:eastAsia="方正仿宋_GBK"/>
          <w:sz w:val="32"/>
          <w:szCs w:val="32"/>
        </w:rPr>
        <w:t>完善和落实安全生产责任制，推进安全生产标准化建设，构建风险分级管控和隐患排查治理双重预防体系，落实企业安全管理主体责任。持续推进矿山、交通、建设施工、校园、医院、高层建筑消防和旅游景区等重点领域安全专项整治，有效防范较大及以上安全事故。实施公路安全生命防护、消防生命通道等重大安全风险控制工程。加强重点行业领域安全风险监测预警，完善事故信息发布机制。完善安全生产执法体系，提升安全生产治理基础保障能力。推进安全生产网格化管理，强化城市运行安全保障。</w:t>
      </w:r>
      <w:bookmarkStart w:id="2951" w:name="_Toc10053"/>
      <w:bookmarkStart w:id="2952" w:name="_Toc2943"/>
      <w:bookmarkStart w:id="2953" w:name="_Toc31089"/>
      <w:bookmarkStart w:id="2954" w:name="_Toc27828"/>
    </w:p>
    <w:p>
      <w:pPr>
        <w:overflowPunct w:val="0"/>
        <w:adjustRightInd w:val="0"/>
        <w:snapToGrid w:val="0"/>
        <w:spacing w:line="560" w:lineRule="exact"/>
        <w:jc w:val="center"/>
        <w:outlineLvl w:val="2"/>
        <w:rPr>
          <w:rFonts w:ascii="Times New Roman" w:hAnsi="Times New Roman" w:eastAsia="方正楷体_GBK"/>
          <w:b/>
          <w:sz w:val="32"/>
          <w:szCs w:val="32"/>
        </w:rPr>
      </w:pPr>
      <w:bookmarkStart w:id="2955" w:name="_Toc10641"/>
      <w:bookmarkStart w:id="2956" w:name="_Toc23755"/>
      <w:r>
        <w:rPr>
          <w:rFonts w:ascii="Times New Roman" w:hAnsi="Times New Roman" w:eastAsia="方正楷体_GBK"/>
          <w:b/>
          <w:sz w:val="32"/>
          <w:szCs w:val="32"/>
        </w:rPr>
        <w:t>第二节  严格食品药品安全监管</w:t>
      </w:r>
      <w:bookmarkEnd w:id="2948"/>
      <w:bookmarkEnd w:id="2949"/>
      <w:bookmarkEnd w:id="2950"/>
      <w:bookmarkEnd w:id="2951"/>
      <w:bookmarkEnd w:id="2952"/>
      <w:bookmarkEnd w:id="2953"/>
      <w:bookmarkEnd w:id="2954"/>
      <w:bookmarkEnd w:id="2955"/>
      <w:bookmarkEnd w:id="2956"/>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坚持最严谨的标准、最严格的监管、最严厉的处罚、最严肃的问责，加快完善食品药品治理体系，建立健全覆盖生产、流通、储备、使用等各个环节的全链式、可追溯式管理机制，牢牢守住食品药品安全底线。强化准入源头监管，完善药品生产、流通全过程监管，严格实施食药领域惩罚性赔偿制度，依法打击食品药品安全违法违规行为。强化智慧监管，加强监管数据的开发应用和开放共享，坚守生命安全红线和健康底线。</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957" w:name="_Toc22392"/>
      <w:bookmarkStart w:id="2958" w:name="_Toc22766"/>
      <w:bookmarkStart w:id="2959" w:name="_Toc12818"/>
      <w:bookmarkStart w:id="2960" w:name="_Toc14427"/>
      <w:bookmarkStart w:id="2961" w:name="_Toc19304"/>
      <w:bookmarkStart w:id="2962" w:name="_Toc27385"/>
      <w:bookmarkStart w:id="2963" w:name="_Toc517"/>
      <w:bookmarkStart w:id="2964" w:name="_Toc5445"/>
      <w:bookmarkStart w:id="2965" w:name="_Toc20542"/>
      <w:r>
        <w:rPr>
          <w:rFonts w:ascii="Times New Roman" w:hAnsi="Times New Roman" w:eastAsia="方正楷体_GBK"/>
          <w:b/>
          <w:sz w:val="32"/>
          <w:szCs w:val="32"/>
        </w:rPr>
        <w:t>第三节  提高事故灾害防范应对能力</w:t>
      </w:r>
      <w:bookmarkEnd w:id="2957"/>
      <w:bookmarkEnd w:id="2958"/>
      <w:bookmarkEnd w:id="2959"/>
      <w:bookmarkEnd w:id="2960"/>
      <w:bookmarkEnd w:id="2961"/>
      <w:bookmarkEnd w:id="2962"/>
      <w:bookmarkEnd w:id="2963"/>
      <w:bookmarkEnd w:id="2964"/>
      <w:bookmarkEnd w:id="2965"/>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构建统一指挥、专常兼备、反应灵敏、上下联动的应急管理体制，优化全县应急管理体系，提高防灾、减灾、救灾能力。健全县、乡镇（街道）、村分级响应机制，强化跨区域跨流域灾害事故应急协同联动。加强灾害综合检测预警能力建设，完善重点地区自然灾害监测站网布局。开展自然灾害风险普查，建立完善全县自然灾害风险数据库。实施公共基础设施安全加固，加强防御自然灾害基础设施建设。加强应急救援队伍建设，完善应急物资储备，提高快速调配和紧急运输能力。建设全县统一的事故灾害应急调度指挥信息系统。完善灾后救助和恢复重建补助机制，发展巨灾保险。加强城市规划建设管理各环节安全管控，推进安全风险网格化管理，保障城市运行安全。</w:t>
      </w:r>
    </w:p>
    <w:p>
      <w:pPr>
        <w:overflowPunct w:val="0"/>
        <w:adjustRightInd w:val="0"/>
        <w:snapToGrid w:val="0"/>
        <w:spacing w:line="560" w:lineRule="exact"/>
        <w:ind w:firstLine="560" w:firstLineChars="200"/>
        <w:jc w:val="center"/>
        <w:rPr>
          <w:rFonts w:ascii="Times New Roman" w:hAnsi="Times New Roman" w:eastAsia="方正黑体_GBK"/>
          <w:sz w:val="28"/>
          <w:szCs w:val="28"/>
        </w:rPr>
      </w:pPr>
      <w:r>
        <w:rPr>
          <w:rFonts w:ascii="Times New Roman" w:hAnsi="Times New Roman" w:eastAsia="方正黑体_GBK"/>
          <w:sz w:val="28"/>
          <w:szCs w:val="28"/>
        </w:rPr>
        <w:t>专栏23  应急和安全重点工程</w:t>
      </w:r>
    </w:p>
    <w:tbl>
      <w:tblPr>
        <w:tblStyle w:val="27"/>
        <w:tblW w:w="8865"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0" w:type="dxa"/>
            <w:tcBorders>
              <w:top w:val="single" w:color="auto" w:sz="4" w:space="0"/>
              <w:left w:val="single" w:color="auto" w:sz="4" w:space="0"/>
              <w:bottom w:val="single" w:color="auto" w:sz="4" w:space="0"/>
              <w:right w:val="single" w:color="auto" w:sz="4" w:space="0"/>
            </w:tcBorders>
          </w:tcPr>
          <w:p>
            <w:pPr>
              <w:overflowPunct w:val="0"/>
              <w:spacing w:line="400" w:lineRule="exact"/>
              <w:ind w:firstLine="482" w:firstLineChars="200"/>
              <w:rPr>
                <w:rFonts w:ascii="Times New Roman" w:hAnsi="Times New Roman" w:eastAsia="方正仿宋_GBK"/>
                <w:bCs/>
                <w:sz w:val="24"/>
                <w:szCs w:val="32"/>
              </w:rPr>
            </w:pPr>
            <w:r>
              <w:rPr>
                <w:rFonts w:ascii="Times New Roman" w:hAnsi="Times New Roman" w:eastAsia="方正仿宋_GBK"/>
                <w:b/>
                <w:sz w:val="24"/>
                <w:szCs w:val="32"/>
              </w:rPr>
              <w:t>应急管理。</w:t>
            </w:r>
            <w:r>
              <w:rPr>
                <w:rFonts w:ascii="Times New Roman" w:hAnsi="Times New Roman" w:eastAsia="方正仿宋_GBK"/>
                <w:bCs/>
                <w:sz w:val="24"/>
                <w:szCs w:val="32"/>
              </w:rPr>
              <w:t>建成救灾物资储备库与应急管理实训基地、村级防灾减灾预警工作站、应急能力建设等，规划建设城口县避难场所等项目。</w:t>
            </w:r>
          </w:p>
          <w:p>
            <w:pPr>
              <w:overflowPunct w:val="0"/>
              <w:spacing w:line="400" w:lineRule="exact"/>
              <w:ind w:firstLine="482" w:firstLineChars="200"/>
              <w:rPr>
                <w:rFonts w:ascii="Times New Roman" w:hAnsi="Times New Roman"/>
              </w:rPr>
            </w:pPr>
            <w:r>
              <w:rPr>
                <w:rFonts w:ascii="Times New Roman" w:hAnsi="Times New Roman" w:eastAsia="方正仿宋_GBK"/>
                <w:b/>
                <w:sz w:val="24"/>
                <w:szCs w:val="32"/>
              </w:rPr>
              <w:t>国防安全。</w:t>
            </w:r>
            <w:r>
              <w:rPr>
                <w:rFonts w:ascii="Times New Roman" w:hAnsi="Times New Roman" w:eastAsia="方正仿宋_GBK"/>
                <w:bCs/>
                <w:sz w:val="24"/>
                <w:szCs w:val="32"/>
              </w:rPr>
              <w:t>建设集国防教育、民兵训练、学生军训、干部轮训、会议培训、拓展训练、民警战训等功能于一体的国防教育综合训练基地。</w:t>
            </w:r>
          </w:p>
        </w:tc>
      </w:tr>
    </w:tbl>
    <w:p>
      <w:pPr>
        <w:overflowPunct w:val="0"/>
        <w:adjustRightInd w:val="0"/>
        <w:snapToGrid w:val="0"/>
        <w:spacing w:line="560" w:lineRule="exact"/>
        <w:rPr>
          <w:rFonts w:ascii="Times New Roman" w:hAnsi="Times New Roman"/>
        </w:rPr>
      </w:pPr>
    </w:p>
    <w:p>
      <w:pPr>
        <w:overflowPunct w:val="0"/>
        <w:adjustRightInd w:val="0"/>
        <w:snapToGrid w:val="0"/>
        <w:spacing w:line="560" w:lineRule="exact"/>
        <w:jc w:val="center"/>
        <w:outlineLvl w:val="1"/>
        <w:rPr>
          <w:rFonts w:ascii="Times New Roman" w:hAnsi="Times New Roman"/>
        </w:rPr>
      </w:pPr>
      <w:bookmarkStart w:id="2966" w:name="_Toc30324"/>
      <w:bookmarkStart w:id="2967" w:name="_Toc13743"/>
      <w:bookmarkStart w:id="2968" w:name="_Toc29156"/>
      <w:bookmarkStart w:id="2969" w:name="_Toc29572"/>
      <w:bookmarkStart w:id="2970" w:name="_Toc31549"/>
      <w:bookmarkStart w:id="2971" w:name="_Toc6602"/>
      <w:bookmarkStart w:id="2972" w:name="_Toc29507"/>
      <w:bookmarkStart w:id="2973" w:name="_Toc8750"/>
      <w:bookmarkStart w:id="2974" w:name="_Toc22231"/>
      <w:bookmarkStart w:id="2975" w:name="_Toc10784"/>
      <w:bookmarkStart w:id="2976" w:name="_Toc1807"/>
      <w:r>
        <w:rPr>
          <w:rFonts w:ascii="Times New Roman" w:hAnsi="Times New Roman" w:eastAsia="方正黑体_GBK"/>
          <w:b/>
          <w:bCs/>
          <w:kern w:val="44"/>
          <w:sz w:val="32"/>
          <w:szCs w:val="32"/>
        </w:rPr>
        <w:t>第四十六章  维护社会稳定和安全</w:t>
      </w:r>
      <w:bookmarkEnd w:id="2966"/>
      <w:bookmarkEnd w:id="2967"/>
      <w:bookmarkEnd w:id="2968"/>
      <w:bookmarkEnd w:id="2969"/>
      <w:bookmarkEnd w:id="2970"/>
      <w:bookmarkEnd w:id="2971"/>
      <w:bookmarkEnd w:id="2972"/>
      <w:bookmarkEnd w:id="2973"/>
      <w:bookmarkEnd w:id="2974"/>
      <w:bookmarkEnd w:id="2975"/>
      <w:bookmarkEnd w:id="2976"/>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正确处理新形势下群众内部矛盾，加强社会风险预防和治安防控，将矛盾化解在基层，将和谐稳定在基层，确保群众安居乐业、社会安定有序。</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977" w:name="_Toc30236"/>
      <w:bookmarkStart w:id="2978" w:name="_Toc24508"/>
      <w:bookmarkStart w:id="2979" w:name="_Toc3153"/>
      <w:bookmarkStart w:id="2980" w:name="_Toc16653"/>
      <w:bookmarkStart w:id="2981" w:name="_Toc11904"/>
      <w:bookmarkStart w:id="2982" w:name="_Toc15557"/>
      <w:bookmarkStart w:id="2983" w:name="_Toc15498"/>
      <w:bookmarkStart w:id="2984" w:name="_Toc23436"/>
      <w:bookmarkStart w:id="2985" w:name="_Toc20970"/>
      <w:r>
        <w:rPr>
          <w:rFonts w:ascii="Times New Roman" w:hAnsi="Times New Roman" w:eastAsia="方正楷体_GBK"/>
          <w:b/>
          <w:sz w:val="32"/>
          <w:szCs w:val="32"/>
        </w:rPr>
        <w:t>第一节  防范化解社会矛盾风险</w:t>
      </w:r>
      <w:bookmarkEnd w:id="2977"/>
      <w:bookmarkEnd w:id="2978"/>
      <w:bookmarkEnd w:id="2979"/>
      <w:bookmarkEnd w:id="2980"/>
      <w:bookmarkEnd w:id="2981"/>
      <w:bookmarkEnd w:id="2982"/>
      <w:bookmarkEnd w:id="2983"/>
      <w:bookmarkEnd w:id="2984"/>
      <w:bookmarkEnd w:id="2985"/>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深化“枫桥经验”重庆实践，打造源头防控、排查梳理、纠纷化解、应急处置的社会矛盾综合治理机制。畅通和规范群众诉求表达、利益协调、权益保障通道，落实重大决策社会稳定风险评估制度机制。完善信访制度，落实领导干部接访下访制度。健全矛盾纠纷多元化解机制，构建各类调解联动工作体系。巩固充实乡镇（街道）人民调解委员会，加强人民调解员队伍和行业性、专业性调解组织建设。健全群体性事件预防处置机制。健全社会心理服务体系和危机干预机制，完善社会心理服务网络。</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2986" w:name="_Toc32103"/>
      <w:bookmarkStart w:id="2987" w:name="_Toc6223"/>
      <w:bookmarkStart w:id="2988" w:name="_Toc1396"/>
      <w:bookmarkStart w:id="2989" w:name="_Toc15415"/>
      <w:bookmarkStart w:id="2990" w:name="_Toc16114"/>
      <w:bookmarkStart w:id="2991" w:name="_Toc15446"/>
      <w:bookmarkStart w:id="2992" w:name="_Toc3845"/>
      <w:bookmarkStart w:id="2993" w:name="_Toc4692"/>
      <w:bookmarkStart w:id="2994" w:name="_Toc31036"/>
      <w:r>
        <w:rPr>
          <w:rFonts w:ascii="Times New Roman" w:hAnsi="Times New Roman" w:eastAsia="方正楷体_GBK"/>
          <w:b/>
          <w:sz w:val="32"/>
          <w:szCs w:val="32"/>
        </w:rPr>
        <w:t>第二节  推进社会治安防控体系现代化</w:t>
      </w:r>
      <w:bookmarkEnd w:id="2986"/>
      <w:bookmarkEnd w:id="2987"/>
      <w:bookmarkEnd w:id="2988"/>
      <w:bookmarkEnd w:id="2989"/>
      <w:bookmarkEnd w:id="2990"/>
      <w:bookmarkEnd w:id="2991"/>
      <w:bookmarkEnd w:id="2992"/>
      <w:bookmarkEnd w:id="2993"/>
      <w:bookmarkEnd w:id="2994"/>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坚持专群结合、群防群治，深化平安县、平安乡镇（街道）、平安村（社区）示范创建活动，提高社会治理社会化、法治化、智能化、专业化水平，构建城乡统筹、网上网下融合、人防物防技防结合、打防管控一体的社会治安防控新格局。构建扫黑除恶长效常治机制，防范和打击暴力恐怖、新型网络犯罪和毒品犯罪。以“雪亮工程”项目建设为牵引，加强智慧警务建设，深入推进社会面智能安防，强化派出所、警务室等治安防控支点建设。加强社会面圈层查控、县域单元防控、治安要素管控、基础工程建设，规范快递物理、网约车等新业态安全监管，提高预测预警预防各类风险能力。</w:t>
      </w:r>
    </w:p>
    <w:p>
      <w:pPr>
        <w:overflowPunct w:val="0"/>
        <w:rPr>
          <w:rFonts w:ascii="Times New Roman" w:hAnsi="Times New Roman" w:eastAsia="方正小标宋_GBK"/>
          <w:b/>
          <w:bCs/>
          <w:kern w:val="44"/>
          <w:sz w:val="36"/>
          <w:szCs w:val="36"/>
        </w:rPr>
      </w:pPr>
    </w:p>
    <w:p>
      <w:pPr>
        <w:overflowPunct w:val="0"/>
        <w:adjustRightInd w:val="0"/>
        <w:snapToGrid w:val="0"/>
        <w:spacing w:line="560" w:lineRule="exact"/>
        <w:jc w:val="center"/>
        <w:outlineLvl w:val="0"/>
        <w:rPr>
          <w:rFonts w:ascii="Times New Roman" w:hAnsi="Times New Roman" w:eastAsia="方正小标宋_GBK"/>
          <w:b/>
          <w:bCs/>
          <w:kern w:val="44"/>
          <w:sz w:val="36"/>
          <w:szCs w:val="36"/>
        </w:rPr>
      </w:pPr>
      <w:bookmarkStart w:id="2995" w:name="_Toc28756"/>
      <w:bookmarkStart w:id="2996" w:name="_Toc23183"/>
      <w:bookmarkStart w:id="2997" w:name="_Toc20129"/>
      <w:bookmarkStart w:id="2998" w:name="_Toc4653"/>
      <w:bookmarkStart w:id="2999" w:name="_Toc12677"/>
      <w:bookmarkStart w:id="3000" w:name="_Toc810"/>
      <w:bookmarkStart w:id="3001" w:name="_Toc28129"/>
      <w:bookmarkStart w:id="3002" w:name="_Toc27387"/>
      <w:bookmarkStart w:id="3003" w:name="_Toc24925"/>
      <w:bookmarkStart w:id="3004" w:name="_Toc31293"/>
      <w:bookmarkStart w:id="3005" w:name="_Toc15356"/>
      <w:r>
        <w:rPr>
          <w:rFonts w:ascii="Times New Roman" w:hAnsi="Times New Roman" w:eastAsia="方正小标宋_GBK"/>
          <w:b/>
          <w:bCs/>
          <w:kern w:val="44"/>
          <w:sz w:val="36"/>
          <w:szCs w:val="36"/>
        </w:rPr>
        <w:t>第十二篇  健全规划的领导和保障机制</w:t>
      </w:r>
      <w:bookmarkEnd w:id="2995"/>
      <w:bookmarkEnd w:id="2996"/>
      <w:bookmarkEnd w:id="2997"/>
      <w:bookmarkEnd w:id="2998"/>
      <w:bookmarkEnd w:id="2999"/>
      <w:bookmarkEnd w:id="3000"/>
      <w:bookmarkEnd w:id="3001"/>
      <w:bookmarkEnd w:id="3002"/>
      <w:bookmarkEnd w:id="3003"/>
      <w:bookmarkEnd w:id="3004"/>
      <w:bookmarkEnd w:id="3005"/>
    </w:p>
    <w:p>
      <w:pPr>
        <w:overflowPunct w:val="0"/>
        <w:adjustRightInd w:val="0"/>
        <w:snapToGrid w:val="0"/>
        <w:spacing w:line="560" w:lineRule="exact"/>
        <w:ind w:firstLine="640" w:firstLineChars="200"/>
        <w:rPr>
          <w:rFonts w:ascii="Times New Roman" w:hAnsi="Times New Roman" w:eastAsia="方正仿宋_GBK"/>
          <w:sz w:val="32"/>
          <w:szCs w:val="32"/>
        </w:rPr>
      </w:pPr>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建立健全规划实施机制，最大程度激发全社会的积极性、主动性、创造性，形成推动规划实施的强大合力，确保各项目标任务顺利实施。</w:t>
      </w:r>
    </w:p>
    <w:p>
      <w:pPr>
        <w:pStyle w:val="26"/>
        <w:overflowPunct w:val="0"/>
        <w:adjustRightInd w:val="0"/>
        <w:snapToGrid w:val="0"/>
        <w:spacing w:after="0" w:line="560" w:lineRule="exact"/>
        <w:ind w:leftChars="0"/>
        <w:rPr>
          <w:rFonts w:ascii="Times New Roman" w:hAnsi="Times New Roman"/>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3006" w:name="_Toc9179"/>
      <w:bookmarkStart w:id="3007" w:name="_Toc4612"/>
      <w:bookmarkStart w:id="3008" w:name="_Toc30570"/>
      <w:bookmarkStart w:id="3009" w:name="_Toc4999"/>
      <w:bookmarkStart w:id="3010" w:name="_Toc7318"/>
      <w:bookmarkStart w:id="3011" w:name="_Toc17432"/>
      <w:bookmarkStart w:id="3012" w:name="_Toc7023"/>
      <w:bookmarkStart w:id="3013" w:name="_Toc6571"/>
      <w:bookmarkStart w:id="3014" w:name="_Toc25961"/>
      <w:bookmarkStart w:id="3015" w:name="_Toc20958"/>
      <w:bookmarkStart w:id="3016" w:name="_Toc23770"/>
      <w:r>
        <w:rPr>
          <w:rFonts w:ascii="Times New Roman" w:hAnsi="Times New Roman" w:eastAsia="方正黑体_GBK"/>
          <w:b/>
          <w:bCs/>
          <w:kern w:val="44"/>
          <w:sz w:val="32"/>
          <w:szCs w:val="32"/>
        </w:rPr>
        <w:t>第四十七章  坚持党对经济社会发展的领导</w:t>
      </w:r>
      <w:bookmarkEnd w:id="3006"/>
      <w:bookmarkEnd w:id="3007"/>
      <w:bookmarkEnd w:id="3008"/>
      <w:bookmarkEnd w:id="3009"/>
      <w:bookmarkEnd w:id="3010"/>
      <w:bookmarkEnd w:id="3011"/>
      <w:bookmarkEnd w:id="3012"/>
      <w:bookmarkEnd w:id="3013"/>
      <w:bookmarkEnd w:id="3014"/>
      <w:bookmarkEnd w:id="3015"/>
      <w:bookmarkEnd w:id="3016"/>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深入学习贯彻习近平新时代中国特色社会主义思想，以精神文明建设铸魂聚力，进一步增强“四个意识”、坚定“四个自信”、做到“两个维护”，用实际行动统筹推进“五位一体”总体布局、协调推进“四个全面”战略布局，贯彻党把方向、谋大局、定政策、促改革的要求，完善上下贯通、执行有力的组织体系，切实推进全县生态优先绿色发展。发挥党统揽全局、协调各方的领导核心作用，把党的集中统一领导落实到各方面各领域各环节，加强党对全县经济社会发展工作的统筹指导、督促协调，确保中央和市委市政府决策部署有效落实。切实提高党的领导能力，提升党领导经济社会发展制度化、规范化、程序化水平，加强前瞻性思考、全局性谋划、战略性布局、整体性推进，促进经济社会发展各个环节有效对接、紧密协同、相互促进。强化党委决策和监督作用，把握正确发展方向，加强调查研究，强化创新理念，善于用政治眼光观察和分析经济社会问题，提升政治判断力、政治领悟力、政治执行力，提高决策科学化、民主化、法治化水平，把制度优势转为治理效能。</w:t>
      </w:r>
    </w:p>
    <w:p>
      <w:pPr>
        <w:pStyle w:val="26"/>
        <w:overflowPunct w:val="0"/>
        <w:adjustRightInd w:val="0"/>
        <w:snapToGrid w:val="0"/>
        <w:spacing w:after="0" w:line="560" w:lineRule="exact"/>
        <w:ind w:leftChars="0"/>
        <w:rPr>
          <w:rFonts w:ascii="Times New Roman" w:hAnsi="Times New Roman"/>
        </w:rPr>
      </w:pPr>
    </w:p>
    <w:p>
      <w:pPr>
        <w:overflowPunct w:val="0"/>
        <w:adjustRightInd w:val="0"/>
        <w:snapToGrid w:val="0"/>
        <w:spacing w:line="560" w:lineRule="exact"/>
        <w:jc w:val="center"/>
        <w:outlineLvl w:val="1"/>
        <w:rPr>
          <w:rFonts w:ascii="Times New Roman" w:hAnsi="Times New Roman" w:eastAsia="方正仿宋_GBK"/>
          <w:bCs/>
          <w:sz w:val="32"/>
          <w:szCs w:val="32"/>
        </w:rPr>
      </w:pPr>
      <w:bookmarkStart w:id="3017" w:name="_Toc1180"/>
      <w:bookmarkStart w:id="3018" w:name="_Toc2171"/>
      <w:bookmarkStart w:id="3019" w:name="_Toc14413"/>
      <w:bookmarkStart w:id="3020" w:name="_Toc8326"/>
      <w:bookmarkStart w:id="3021" w:name="_Toc13985"/>
      <w:bookmarkStart w:id="3022" w:name="_Toc23136"/>
      <w:bookmarkStart w:id="3023" w:name="_Toc20853"/>
      <w:bookmarkStart w:id="3024" w:name="_Toc17422"/>
      <w:bookmarkStart w:id="3025" w:name="_Toc3229"/>
      <w:bookmarkStart w:id="3026" w:name="_Toc10733"/>
      <w:bookmarkStart w:id="3027" w:name="_Toc19922"/>
      <w:r>
        <w:rPr>
          <w:rFonts w:ascii="Times New Roman" w:hAnsi="Times New Roman" w:eastAsia="方正黑体_GBK"/>
          <w:b/>
          <w:bCs/>
          <w:kern w:val="44"/>
          <w:sz w:val="32"/>
          <w:szCs w:val="32"/>
        </w:rPr>
        <w:t>第四十八章  持续营造风清气正良好政治生态</w:t>
      </w:r>
      <w:bookmarkEnd w:id="3017"/>
      <w:bookmarkEnd w:id="3018"/>
      <w:bookmarkEnd w:id="3019"/>
      <w:bookmarkEnd w:id="3020"/>
      <w:bookmarkEnd w:id="3021"/>
      <w:bookmarkEnd w:id="3022"/>
      <w:bookmarkEnd w:id="3023"/>
      <w:bookmarkEnd w:id="3024"/>
      <w:bookmarkEnd w:id="3025"/>
      <w:bookmarkEnd w:id="3026"/>
      <w:bookmarkEnd w:id="3027"/>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坚持不懈加强党的政治建设，推动主体责任与监督责任双压实、管权管事与管人管责双结合，坚决防止党的领导弱化、党的建设缺失、全面从严治党不力的问题，提高党的建设质量。深入开展贯彻落实习近平总书记对重庆所作重要讲话和系列重要指示批示精神“回头看”，巩固深化“不忘初心、牢记使命”主题教育成果，全面彻底干净肃清孙政才恶劣影响和薄熙来、王立军流毒。驰而不息整治“四风”，严格落实中央八项规定精神，深化治理各种歪风邪气，深入开展形式主义、官僚主义问题整治，落实基层减负各项措施。完善党和国家监督体系，加强政治监督，强化对公权力运行的制约和监督。把严的主基调长期坚持下去，坚定不移正风肃纪反腐，坚决查处腐败案件，惩治不收敛不收手、群众反映强烈、侵害群众利益的党员干部，一体推进不敢腐、不能腐、不想腐。坚持法治与德治相结合，加强党员干部政德建设，深化拓展“以案说纪、以案说法、以案说德、以案说责”警示教育，深入推进“以案改治理、以案改监管、以案改制度、以案改作风”，发扬积极健康的党内政治文化，以政治生态持续净化促进发展环境不断优化。</w:t>
      </w:r>
    </w:p>
    <w:p>
      <w:pPr>
        <w:overflowPunct w:val="0"/>
        <w:adjustRightInd w:val="0"/>
        <w:snapToGrid w:val="0"/>
        <w:spacing w:line="560" w:lineRule="exact"/>
        <w:ind w:firstLine="640" w:firstLineChars="200"/>
        <w:rPr>
          <w:rFonts w:ascii="Times New Roman" w:hAnsi="Times New Roman" w:eastAsia="方正仿宋_GBK"/>
          <w:bCs/>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3028" w:name="_Toc22866"/>
      <w:bookmarkStart w:id="3029" w:name="_Toc13233"/>
      <w:bookmarkStart w:id="3030" w:name="_Toc14433"/>
      <w:bookmarkStart w:id="3031" w:name="_Toc15726"/>
      <w:bookmarkStart w:id="3032" w:name="_Toc11249"/>
      <w:bookmarkStart w:id="3033" w:name="_Toc26467"/>
      <w:bookmarkStart w:id="3034" w:name="_Toc15391"/>
      <w:bookmarkStart w:id="3035" w:name="_Toc9837"/>
      <w:bookmarkStart w:id="3036" w:name="_Toc9392"/>
      <w:bookmarkStart w:id="3037" w:name="_Toc27003"/>
      <w:bookmarkStart w:id="3038" w:name="_Toc12905"/>
      <w:r>
        <w:rPr>
          <w:rFonts w:ascii="Times New Roman" w:hAnsi="Times New Roman" w:eastAsia="方正黑体_GBK"/>
          <w:b/>
          <w:bCs/>
          <w:kern w:val="44"/>
          <w:sz w:val="32"/>
          <w:szCs w:val="32"/>
        </w:rPr>
        <w:t>第四十九章  建设高素质专业化干部队伍</w:t>
      </w:r>
      <w:bookmarkEnd w:id="3028"/>
      <w:bookmarkEnd w:id="3029"/>
      <w:bookmarkEnd w:id="3030"/>
      <w:bookmarkEnd w:id="3031"/>
      <w:bookmarkEnd w:id="3032"/>
      <w:bookmarkEnd w:id="3033"/>
      <w:bookmarkEnd w:id="3034"/>
      <w:bookmarkEnd w:id="3035"/>
      <w:bookmarkEnd w:id="3036"/>
      <w:bookmarkEnd w:id="3037"/>
      <w:bookmarkEnd w:id="3038"/>
    </w:p>
    <w:p>
      <w:pPr>
        <w:pStyle w:val="26"/>
        <w:overflowPunct w:val="0"/>
        <w:adjustRightInd w:val="0"/>
        <w:snapToGrid w:val="0"/>
        <w:spacing w:after="0" w:line="560" w:lineRule="exact"/>
        <w:ind w:leftChars="0" w:firstLine="640" w:firstLineChars="200"/>
        <w:rPr>
          <w:rFonts w:ascii="Times New Roman" w:hAnsi="Times New Roman" w:eastAsia="方正仿宋_GBK"/>
          <w:bCs/>
          <w:sz w:val="32"/>
          <w:szCs w:val="32"/>
        </w:rPr>
      </w:pPr>
      <w:r>
        <w:rPr>
          <w:rFonts w:ascii="Times New Roman" w:hAnsi="Times New Roman" w:eastAsia="方正仿宋_GBK"/>
          <w:sz w:val="32"/>
          <w:szCs w:val="32"/>
        </w:rPr>
        <w:t>全面贯彻新时代党的组织路线，大力倡导实干创业绩、有为才有位的用人导向，落实新时期好干部标准，加强各级领导和干部队伍建设，大力发现培养选拔优秀年轻干部，着力把符合党和人民事业的好干部选出来、用出来、管出来、带出来。大力开展理想信念教育，强化党性锤炼，深入总结和运用中国共产党一百年的宝贵经验，教育引导广大党员干部坚持共产主义远大理想和中国特色社会主义共同理想，为党和人民事业不懈奋斗。聚焦增强“八项本领”，提升“七种能力”，加强干部政治历练、专业训练、实践锻炼，推动党员干部理论水平、政治素养、专业能力、实践本领适应治理体系和治理能力现代化的新要求。综合运用激励约束举措，对表现出色的给予褒奖、对慵懒无为的给予惩处，落实“三个区分开来”和容错免责机制，激发和保护干部干事创业积极性。坚持大抓基层、抓实基层导向，发挥基层党组织在重大任务落实中的战斗堡垒和先锋模范作用，加大村（社区）干部培养力度，打通工作落实的“最后一公里”</w:t>
      </w:r>
      <w:r>
        <w:rPr>
          <w:rFonts w:ascii="Times New Roman" w:hAnsi="Times New Roman" w:eastAsia="方正仿宋_GBK"/>
          <w:bCs/>
          <w:sz w:val="32"/>
          <w:szCs w:val="32"/>
        </w:rPr>
        <w:t>。</w:t>
      </w:r>
    </w:p>
    <w:p>
      <w:pPr>
        <w:pStyle w:val="25"/>
        <w:overflowPunct w:val="0"/>
        <w:adjustRightInd w:val="0"/>
        <w:snapToGrid w:val="0"/>
        <w:spacing w:line="560" w:lineRule="exact"/>
        <w:ind w:firstLine="210"/>
        <w:rPr>
          <w:rFonts w:ascii="Times New Roman" w:hAnsi="Times New Roman"/>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3039" w:name="_Toc15155"/>
      <w:bookmarkStart w:id="3040" w:name="_Toc12830"/>
      <w:bookmarkStart w:id="3041" w:name="_Toc16820"/>
      <w:bookmarkStart w:id="3042" w:name="_Toc19131"/>
      <w:bookmarkStart w:id="3043" w:name="_Toc16455"/>
      <w:bookmarkStart w:id="3044" w:name="_Toc24179"/>
      <w:bookmarkStart w:id="3045" w:name="_Toc21530"/>
      <w:bookmarkStart w:id="3046" w:name="_Toc3969"/>
      <w:bookmarkStart w:id="3047" w:name="_Toc3039"/>
      <w:bookmarkStart w:id="3048" w:name="_Toc15448"/>
      <w:bookmarkStart w:id="3049" w:name="_Toc655"/>
      <w:r>
        <w:rPr>
          <w:rFonts w:ascii="Times New Roman" w:hAnsi="Times New Roman" w:eastAsia="方正黑体_GBK"/>
          <w:b/>
          <w:bCs/>
          <w:kern w:val="44"/>
          <w:sz w:val="32"/>
          <w:szCs w:val="32"/>
        </w:rPr>
        <w:t>第五十章  凝聚全社会力量共同奋斗</w:t>
      </w:r>
      <w:bookmarkEnd w:id="3039"/>
      <w:bookmarkEnd w:id="3040"/>
      <w:bookmarkEnd w:id="3041"/>
      <w:bookmarkEnd w:id="3042"/>
      <w:bookmarkEnd w:id="3043"/>
      <w:bookmarkEnd w:id="3044"/>
      <w:bookmarkEnd w:id="3045"/>
      <w:bookmarkEnd w:id="3046"/>
      <w:bookmarkEnd w:id="3047"/>
      <w:bookmarkEnd w:id="3048"/>
      <w:bookmarkEnd w:id="3049"/>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坚持党的领导、人民当家作主、依法治国有机统一，坚定不移走中国特色社会主义政治发展道路。坚持和完善人民代表大会制度，支持和保障人大及其常委会依法行使职权，加强人大对“一府一委两院”的监督，深入推进人大讨论决定重大事项，保障人民依法通过各种途径和形式管理国家事务、经济文化事业、社会事务。坚持和完善中国共产党领导的多党合作和政治协商制度，支持政协充分发挥人民政协专门协商机构作用，加强思想政治引领，广泛凝聚共识，积极开展协商议政。完善大统战工作格局，促进政党关系、民族关系、宗教关系、阶层关系、海内外同胞关系和谐，巩固和发展大团结大联合局面。全面贯彻党的侨务政策，凝聚侨心、服务大局。进一步发挥工商联、工会、共青团、妇联、科协等群团组织的挑梁纽带作用，引导企业家、工人、青年等各界人士增强爱国情怀和干事创业热情，最大限度凝聚社会各级力量，形成人人思发展、人人为发展、人人抓发展的浓厚氛围。</w:t>
      </w:r>
    </w:p>
    <w:p>
      <w:pPr>
        <w:overflowPunct w:val="0"/>
        <w:rPr>
          <w:rFonts w:ascii="Times New Roman" w:hAnsi="Times New Roman" w:eastAsia="方正黑体_GBK"/>
          <w:b/>
          <w:bCs/>
          <w:kern w:val="44"/>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3050" w:name="_Toc11094"/>
      <w:bookmarkStart w:id="3051" w:name="_Toc22655"/>
      <w:bookmarkStart w:id="3052" w:name="_Toc13549"/>
      <w:bookmarkStart w:id="3053" w:name="_Toc14257"/>
      <w:bookmarkStart w:id="3054" w:name="_Toc21054"/>
      <w:bookmarkStart w:id="3055" w:name="_Toc25415"/>
      <w:bookmarkStart w:id="3056" w:name="_Toc11309"/>
      <w:bookmarkStart w:id="3057" w:name="_Toc3072"/>
      <w:bookmarkStart w:id="3058" w:name="_Toc11898"/>
      <w:bookmarkStart w:id="3059" w:name="_Toc13345"/>
      <w:bookmarkStart w:id="3060" w:name="_Toc14376"/>
      <w:r>
        <w:rPr>
          <w:rFonts w:ascii="Times New Roman" w:hAnsi="Times New Roman" w:eastAsia="方正黑体_GBK"/>
          <w:b/>
          <w:bCs/>
          <w:kern w:val="44"/>
          <w:sz w:val="32"/>
          <w:szCs w:val="32"/>
        </w:rPr>
        <w:t>第五十一章  推进全面依法治县</w:t>
      </w:r>
      <w:bookmarkEnd w:id="3050"/>
      <w:bookmarkEnd w:id="3051"/>
      <w:bookmarkEnd w:id="3052"/>
      <w:bookmarkEnd w:id="3053"/>
      <w:bookmarkEnd w:id="3054"/>
      <w:bookmarkEnd w:id="3055"/>
      <w:bookmarkEnd w:id="3056"/>
      <w:bookmarkEnd w:id="3057"/>
      <w:bookmarkEnd w:id="3058"/>
      <w:bookmarkEnd w:id="3059"/>
      <w:bookmarkEnd w:id="3060"/>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坚定不移走中国特色社会主义法治道路，更好发挥法治对改革发展稳定的引领、规范、保障作用，推动经济社会各项事业发展在法治轨道上运行，切实维护人民权益、维护公平正义、维护社会和谐稳定。维护宪法尊严，保证宪法实施，扎实推动法治政府建设，深入推进依法行政，严格规范公正文明执法，深化行政复议体制改革，加强和改进公益诉讼和行政审判工作。提高执法司法的质量、效率、公信力，深化司法体制综合配套改革，大力推行民事诉讼繁简分流，继续深化以审判为中心的刑事诉讼制度改革，建立健全执法司法制约监督体系。加快建设信仰法治、公平正义、保障权利、守法诚信、充满活力、和谐有序的社会主义法治社会，弘扬社会主义法治精神，积极推进法治乡村建设，提高各级领导干部运用法治思维和法治方式深化改革、推动发展、化解矛盾、维护稳定、应对风险的能力。广泛开展全民法治素养提升行动，抓好“八五”普法工作，建立健全覆盖城乡、便捷高效、均等普惠的公共法律服务体系。加大对公德失范、诚信缺失等行为惩处力度，在全社会营造尊法学法守法用法的良好氛围。</w:t>
      </w:r>
    </w:p>
    <w:p>
      <w:pPr>
        <w:overflowPunct w:val="0"/>
        <w:adjustRightInd w:val="0"/>
        <w:snapToGrid w:val="0"/>
        <w:spacing w:line="560" w:lineRule="exact"/>
        <w:rPr>
          <w:rFonts w:ascii="Times New Roman" w:hAnsi="Times New Roman" w:eastAsia="方正仿宋_GBK"/>
          <w:sz w:val="32"/>
          <w:szCs w:val="32"/>
        </w:rPr>
      </w:pPr>
    </w:p>
    <w:p>
      <w:pPr>
        <w:overflowPunct w:val="0"/>
        <w:adjustRightInd w:val="0"/>
        <w:snapToGrid w:val="0"/>
        <w:spacing w:line="560" w:lineRule="exact"/>
        <w:jc w:val="center"/>
        <w:outlineLvl w:val="1"/>
        <w:rPr>
          <w:rFonts w:ascii="Times New Roman" w:hAnsi="Times New Roman" w:eastAsia="方正黑体_GBK"/>
          <w:b/>
          <w:bCs/>
          <w:kern w:val="44"/>
          <w:sz w:val="32"/>
          <w:szCs w:val="32"/>
        </w:rPr>
      </w:pPr>
      <w:bookmarkStart w:id="3061" w:name="_Toc27645"/>
      <w:bookmarkStart w:id="3062" w:name="_Toc28678"/>
      <w:bookmarkStart w:id="3063" w:name="_Toc25604"/>
      <w:bookmarkStart w:id="3064" w:name="_Toc18181"/>
      <w:bookmarkStart w:id="3065" w:name="_Toc24598"/>
      <w:bookmarkStart w:id="3066" w:name="_Toc24290"/>
      <w:bookmarkStart w:id="3067" w:name="_Toc20238"/>
      <w:bookmarkStart w:id="3068" w:name="_Toc32699"/>
      <w:bookmarkStart w:id="3069" w:name="_Toc16786"/>
      <w:bookmarkStart w:id="3070" w:name="_Toc24285"/>
      <w:bookmarkStart w:id="3071" w:name="_Toc20103"/>
      <w:r>
        <w:rPr>
          <w:rFonts w:ascii="Times New Roman" w:hAnsi="Times New Roman" w:eastAsia="方正黑体_GBK"/>
          <w:b/>
          <w:bCs/>
          <w:kern w:val="44"/>
          <w:sz w:val="32"/>
          <w:szCs w:val="32"/>
        </w:rPr>
        <w:t>第五十二章  加强规划实施和管理</w:t>
      </w:r>
      <w:bookmarkEnd w:id="3061"/>
      <w:bookmarkEnd w:id="3062"/>
      <w:bookmarkEnd w:id="3063"/>
      <w:bookmarkEnd w:id="3064"/>
      <w:bookmarkEnd w:id="3065"/>
      <w:bookmarkEnd w:id="3066"/>
      <w:bookmarkEnd w:id="3067"/>
      <w:bookmarkEnd w:id="3068"/>
      <w:bookmarkEnd w:id="3069"/>
      <w:bookmarkEnd w:id="3070"/>
      <w:bookmarkEnd w:id="3071"/>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本规划经县人民代表大会审议批准，具有法律效力。要充分发挥规划对资源配置的导向作用，建立健全规划有效实施的保障机制，确保发展目标和各项重点任务顺利完成。</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3072" w:name="_Toc26821"/>
      <w:bookmarkStart w:id="3073" w:name="_Toc3658"/>
      <w:bookmarkStart w:id="3074" w:name="_Toc8048"/>
      <w:bookmarkStart w:id="3075" w:name="_Toc3171"/>
      <w:bookmarkStart w:id="3076" w:name="_Toc1282"/>
      <w:bookmarkStart w:id="3077" w:name="_Toc14918"/>
      <w:bookmarkStart w:id="3078" w:name="_Toc9245"/>
      <w:bookmarkStart w:id="3079" w:name="_Toc22047"/>
      <w:bookmarkStart w:id="3080" w:name="_Toc2323"/>
      <w:bookmarkStart w:id="3081" w:name="_Toc8341"/>
      <w:bookmarkStart w:id="3082" w:name="_Toc28028"/>
      <w:r>
        <w:rPr>
          <w:rFonts w:ascii="Times New Roman" w:hAnsi="Times New Roman" w:eastAsia="方正楷体_GBK"/>
          <w:b/>
          <w:sz w:val="32"/>
          <w:szCs w:val="32"/>
        </w:rPr>
        <w:t>第一节  建立统一规划体系</w:t>
      </w:r>
      <w:bookmarkEnd w:id="3072"/>
      <w:bookmarkEnd w:id="3073"/>
      <w:bookmarkEnd w:id="3074"/>
      <w:bookmarkEnd w:id="3075"/>
      <w:bookmarkEnd w:id="3076"/>
      <w:bookmarkEnd w:id="3077"/>
      <w:bookmarkEnd w:id="3078"/>
      <w:bookmarkEnd w:id="3079"/>
      <w:bookmarkEnd w:id="3080"/>
      <w:bookmarkEnd w:id="3081"/>
      <w:bookmarkEnd w:id="3082"/>
    </w:p>
    <w:p>
      <w:pPr>
        <w:overflowPunct w:val="0"/>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建立以全县发展规划为统领，以空间规划为基础，以专项规划为支撑，定位准确、边界清晰、功能互补、统一衔接的全县规划体系。根据全县发展规划对特定领域提出的战略任务，同步编制和实施一批专项规划、空间规划，确保全县发展规划确定的战略任务精准落地。</w:t>
      </w:r>
    </w:p>
    <w:p>
      <w:pPr>
        <w:overflowPunct w:val="0"/>
        <w:adjustRightInd w:val="0"/>
        <w:snapToGrid w:val="0"/>
        <w:spacing w:line="560" w:lineRule="exact"/>
        <w:ind w:firstLine="643" w:firstLineChars="200"/>
        <w:jc w:val="center"/>
        <w:outlineLvl w:val="2"/>
        <w:rPr>
          <w:rFonts w:ascii="Times New Roman" w:hAnsi="Times New Roman" w:eastAsia="方正楷体_GBK"/>
          <w:b/>
          <w:sz w:val="32"/>
          <w:szCs w:val="32"/>
        </w:rPr>
      </w:pPr>
      <w:bookmarkStart w:id="3083" w:name="_Toc30077"/>
      <w:bookmarkStart w:id="3084" w:name="_Toc14204"/>
      <w:bookmarkStart w:id="3085" w:name="_Toc9999"/>
      <w:bookmarkStart w:id="3086" w:name="_Toc16693"/>
      <w:bookmarkStart w:id="3087" w:name="_Toc9157"/>
      <w:bookmarkStart w:id="3088" w:name="_Toc24437"/>
      <w:bookmarkStart w:id="3089" w:name="_Toc18500"/>
      <w:bookmarkStart w:id="3090" w:name="_Toc24018"/>
      <w:bookmarkStart w:id="3091" w:name="_Toc21613"/>
      <w:bookmarkStart w:id="3092" w:name="_Toc12790"/>
      <w:bookmarkStart w:id="3093" w:name="_Toc3737"/>
      <w:r>
        <w:rPr>
          <w:rFonts w:ascii="Times New Roman" w:hAnsi="Times New Roman" w:eastAsia="方正楷体_GBK"/>
          <w:b/>
          <w:sz w:val="32"/>
          <w:szCs w:val="32"/>
        </w:rPr>
        <w:t>第二节  落实规划实施主体责任</w:t>
      </w:r>
      <w:bookmarkEnd w:id="3083"/>
      <w:bookmarkEnd w:id="3084"/>
      <w:bookmarkEnd w:id="3085"/>
      <w:bookmarkEnd w:id="3086"/>
      <w:bookmarkEnd w:id="3087"/>
      <w:bookmarkEnd w:id="3088"/>
      <w:bookmarkEnd w:id="3089"/>
      <w:bookmarkEnd w:id="3090"/>
      <w:bookmarkEnd w:id="3091"/>
      <w:bookmarkEnd w:id="3092"/>
      <w:bookmarkEnd w:id="3093"/>
    </w:p>
    <w:p>
      <w:pPr>
        <w:pStyle w:val="2"/>
        <w:overflowPunct w:val="0"/>
        <w:spacing w:before="0" w:after="0" w:line="560" w:lineRule="exact"/>
        <w:ind w:firstLine="643" w:firstLineChars="200"/>
        <w:rPr>
          <w:rFonts w:ascii="Times New Roman" w:hAnsi="Times New Roman" w:cs="Times New Roman"/>
        </w:rPr>
      </w:pPr>
      <w:r>
        <w:rPr>
          <w:rFonts w:ascii="Times New Roman" w:hAnsi="Times New Roman" w:eastAsia="方正仿宋_GBK" w:cs="Times New Roman"/>
        </w:rPr>
        <w:t>各级各部门要根据职责分工，制定本规划涉及本行业、本领域、本辖区的主要目标任务实施方案。本规划确定的约束性指标、重大工程项目和公共服务、生态环保、安全保障等领域任务，要明确责任主体和进度要求，合理配置公共资源，集聚要素保障，确保如期完成。本规划提出的预期性指标和产业发展、结构调整等任务，各级各部门要创造良好的政策环境、体制环境和法治环境，充分激发市场主体的主观能动性，全力推动预期目标顺利实现。年度计划要贯彻本规划提出的发展目标和重点任务，将本规划确定的主要指标分解纳入年度计划指标体系，设置年度目标并做好年度间综合平衡，合理确定年度工作重点。</w:t>
      </w:r>
    </w:p>
    <w:p>
      <w:pPr>
        <w:overflowPunct w:val="0"/>
        <w:adjustRightInd w:val="0"/>
        <w:snapToGrid w:val="0"/>
        <w:spacing w:line="560" w:lineRule="exact"/>
        <w:jc w:val="center"/>
        <w:outlineLvl w:val="2"/>
        <w:rPr>
          <w:rFonts w:ascii="Times New Roman" w:hAnsi="Times New Roman" w:eastAsia="方正楷体_GBK"/>
          <w:b/>
          <w:sz w:val="32"/>
          <w:szCs w:val="32"/>
        </w:rPr>
      </w:pPr>
      <w:bookmarkStart w:id="3094" w:name="_Toc18903"/>
      <w:bookmarkStart w:id="3095" w:name="_Toc6338"/>
      <w:bookmarkStart w:id="3096" w:name="_Toc6625"/>
      <w:bookmarkStart w:id="3097" w:name="_Toc19394"/>
      <w:bookmarkStart w:id="3098" w:name="_Toc16502"/>
      <w:bookmarkStart w:id="3099" w:name="_Toc27737"/>
      <w:r>
        <w:rPr>
          <w:rFonts w:ascii="Times New Roman" w:hAnsi="Times New Roman" w:eastAsia="方正楷体_GBK"/>
          <w:b/>
          <w:sz w:val="32"/>
          <w:szCs w:val="32"/>
        </w:rPr>
        <w:t>第三节</w:t>
      </w:r>
      <w:bookmarkStart w:id="3100" w:name="_Toc22078"/>
      <w:bookmarkStart w:id="3101" w:name="_Toc23699"/>
      <w:bookmarkStart w:id="3102" w:name="_Toc29673"/>
      <w:bookmarkStart w:id="3103" w:name="_Toc1995"/>
      <w:bookmarkStart w:id="3104" w:name="_Toc8318"/>
      <w:r>
        <w:rPr>
          <w:rFonts w:ascii="Times New Roman" w:hAnsi="Times New Roman" w:eastAsia="方正楷体_GBK"/>
          <w:b/>
          <w:sz w:val="32"/>
          <w:szCs w:val="32"/>
        </w:rPr>
        <w:t xml:space="preserve">  强化项目支撑</w:t>
      </w:r>
      <w:bookmarkEnd w:id="3094"/>
      <w:bookmarkEnd w:id="3095"/>
      <w:bookmarkEnd w:id="3096"/>
      <w:bookmarkEnd w:id="3097"/>
      <w:bookmarkEnd w:id="3098"/>
      <w:bookmarkEnd w:id="3099"/>
      <w:bookmarkEnd w:id="3100"/>
      <w:bookmarkEnd w:id="3101"/>
      <w:bookmarkEnd w:id="3102"/>
      <w:bookmarkEnd w:id="3103"/>
      <w:bookmarkEnd w:id="3104"/>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围绕全县发展定位和产业布局，科学论证、谋划、筛选一批“十四五”重大项目，科学建立“十四五”重大项目库。健全重大项目服务机制，强化项目科学化和精细化管理，落实项目建设目标责任。根据实际情况进行项目动态有序调整，形成“规划一批、储备一批、争取一批、实施一批”的滚动推进项目实施机制，为“十四五”时期经济社会高质量发展提供有力支撑。</w:t>
      </w:r>
    </w:p>
    <w:p>
      <w:pPr>
        <w:overflowPunct w:val="0"/>
        <w:adjustRightInd w:val="0"/>
        <w:snapToGrid w:val="0"/>
        <w:spacing w:line="560" w:lineRule="exact"/>
        <w:ind w:firstLine="643" w:firstLineChars="200"/>
        <w:jc w:val="center"/>
        <w:outlineLvl w:val="2"/>
        <w:rPr>
          <w:rFonts w:ascii="Times New Roman" w:hAnsi="Times New Roman" w:eastAsia="方正楷体_GBK"/>
          <w:b/>
          <w:sz w:val="32"/>
          <w:szCs w:val="32"/>
        </w:rPr>
      </w:pPr>
      <w:bookmarkStart w:id="3105" w:name="_Toc27666"/>
      <w:bookmarkStart w:id="3106" w:name="_Toc26375"/>
      <w:bookmarkStart w:id="3107" w:name="_Toc8613"/>
      <w:bookmarkStart w:id="3108" w:name="_Toc3385"/>
      <w:bookmarkStart w:id="3109" w:name="_Toc22843"/>
      <w:bookmarkStart w:id="3110" w:name="_Toc17673"/>
      <w:bookmarkStart w:id="3111" w:name="_Toc21274"/>
      <w:bookmarkStart w:id="3112" w:name="_Toc27185"/>
      <w:bookmarkStart w:id="3113" w:name="_Toc12987"/>
      <w:bookmarkStart w:id="3114" w:name="_Toc31313"/>
      <w:bookmarkStart w:id="3115" w:name="_Toc8585"/>
      <w:r>
        <w:rPr>
          <w:rFonts w:ascii="Times New Roman" w:hAnsi="Times New Roman" w:eastAsia="方正楷体_GBK"/>
          <w:b/>
          <w:sz w:val="32"/>
          <w:szCs w:val="32"/>
        </w:rPr>
        <w:t>第四节  完善规划评估监督机制</w:t>
      </w:r>
      <w:bookmarkEnd w:id="3105"/>
      <w:bookmarkEnd w:id="3106"/>
      <w:bookmarkEnd w:id="3107"/>
      <w:bookmarkEnd w:id="3108"/>
      <w:bookmarkEnd w:id="3109"/>
      <w:bookmarkEnd w:id="3110"/>
      <w:bookmarkEnd w:id="3111"/>
      <w:bookmarkEnd w:id="3112"/>
      <w:bookmarkEnd w:id="3113"/>
      <w:bookmarkEnd w:id="3114"/>
      <w:bookmarkEnd w:id="3115"/>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加强对本规划明确的重大政策、重大工程、重要事项等跟踪监督，及时开展监测评估。创新监测方式，有效整合互联网数据和统计数据，全面真实反映规划实施情况，为科学评估提供支撑。创新评估方式，组织开展规划实施年度监测分析、中期评估和总结评估，鼓励开展第三方评估，增强对规划评估的客观性和准确性。强化监测评估结果应用，进一步完善规划实施的公众参与和民主监督机制，及时公开规划实施相关信息，接受全社会监督。</w:t>
      </w:r>
    </w:p>
    <w:p>
      <w:pPr>
        <w:overflowPunct w:val="0"/>
        <w:adjustRightInd w:val="0"/>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各部门要自觉接受县人民代表大会及其常务委员会对本规划实施情况的监督检查，依法向县人大报告实施情况。实施过程中宏观环境发生重大变化，需要对纲要进行调整时，按程序报县人民代表大会常务委员会批准。</w:t>
      </w:r>
      <w:bookmarkEnd w:id="2365"/>
      <w:bookmarkEnd w:id="2897"/>
      <w:bookmarkEnd w:id="2898"/>
      <w:bookmarkEnd w:id="2899"/>
      <w:bookmarkEnd w:id="2900"/>
      <w:bookmarkEnd w:id="2901"/>
      <w:bookmarkEnd w:id="2902"/>
      <w:bookmarkEnd w:id="2903"/>
    </w:p>
    <w:p>
      <w:pPr>
        <w:pStyle w:val="2"/>
        <w:overflowPunct w:val="0"/>
        <w:rPr>
          <w:rFonts w:ascii="Times New Roman" w:hAnsi="Times New Roman" w:cs="Times New Roman"/>
        </w:rPr>
      </w:pPr>
    </w:p>
    <w:p>
      <w:pPr>
        <w:overflowPunct w:val="0"/>
        <w:rPr>
          <w:rFonts w:ascii="Times New Roman" w:hAnsi="Times New Roman"/>
        </w:rPr>
      </w:pPr>
    </w:p>
    <w:p>
      <w:pPr>
        <w:pStyle w:val="2"/>
        <w:overflowPunct w:val="0"/>
        <w:rPr>
          <w:rFonts w:ascii="Times New Roman" w:hAnsi="Times New Roman" w:cs="Times New Roman"/>
        </w:rPr>
      </w:pPr>
    </w:p>
    <w:p>
      <w:pPr>
        <w:overflowPunct w:val="0"/>
        <w:rPr>
          <w:rFonts w:ascii="Times New Roman" w:hAnsi="Times New Roman"/>
        </w:rPr>
      </w:pPr>
    </w:p>
    <w:p>
      <w:pPr>
        <w:pStyle w:val="2"/>
        <w:overflowPunct w:val="0"/>
        <w:rPr>
          <w:rFonts w:ascii="Times New Roman" w:hAnsi="Times New Roman" w:cs="Times New Roman"/>
        </w:rPr>
      </w:pPr>
    </w:p>
    <w:p>
      <w:pPr>
        <w:overflowPunct w:val="0"/>
        <w:rPr>
          <w:rFonts w:ascii="Times New Roman" w:hAnsi="Times New Roman"/>
        </w:rPr>
      </w:pPr>
    </w:p>
    <w:p>
      <w:pPr>
        <w:pStyle w:val="2"/>
        <w:overflowPunct w:val="0"/>
        <w:rPr>
          <w:rFonts w:ascii="Times New Roman" w:hAnsi="Times New Roman" w:cs="Times New Roman"/>
        </w:rPr>
      </w:pPr>
    </w:p>
    <w:p>
      <w:pPr>
        <w:overflowPunct w:val="0"/>
        <w:rPr>
          <w:rFonts w:ascii="Times New Roman" w:hAnsi="Times New Roman"/>
        </w:rPr>
      </w:pPr>
    </w:p>
    <w:p>
      <w:pPr>
        <w:pStyle w:val="2"/>
        <w:overflowPunct w:val="0"/>
        <w:rPr>
          <w:rFonts w:ascii="Times New Roman" w:hAnsi="Times New Roman" w:cs="Times New Roman"/>
        </w:rPr>
      </w:pPr>
    </w:p>
    <w:p>
      <w:pPr>
        <w:overflowPunct w:val="0"/>
        <w:rPr>
          <w:rFonts w:ascii="Times New Roman" w:hAnsi="Times New Roman"/>
        </w:rPr>
      </w:pPr>
    </w:p>
    <w:p>
      <w:pPr>
        <w:pStyle w:val="2"/>
        <w:overflowPunct w:val="0"/>
        <w:rPr>
          <w:rFonts w:ascii="Times New Roman" w:hAnsi="Times New Roman" w:cs="Times New Roman"/>
        </w:rPr>
      </w:pPr>
    </w:p>
    <w:p>
      <w:pPr>
        <w:overflowPunct w:val="0"/>
        <w:rPr>
          <w:rFonts w:ascii="Times New Roman" w:hAnsi="Times New Roman"/>
        </w:rPr>
      </w:pPr>
    </w:p>
    <w:p>
      <w:pPr>
        <w:pStyle w:val="2"/>
        <w:overflowPunct w:val="0"/>
        <w:rPr>
          <w:rFonts w:ascii="Times New Roman" w:hAnsi="Times New Roman" w:cs="Times New Roman"/>
        </w:rPr>
      </w:pPr>
    </w:p>
    <w:p>
      <w:pPr>
        <w:overflowPunct w:val="0"/>
        <w:rPr>
          <w:rFonts w:ascii="Times New Roman" w:hAnsi="Times New Roman"/>
        </w:rPr>
      </w:pPr>
    </w:p>
    <w:p>
      <w:pPr>
        <w:pStyle w:val="2"/>
        <w:overflowPunct w:val="0"/>
        <w:rPr>
          <w:rFonts w:ascii="Times New Roman" w:hAnsi="Times New Roman" w:cs="Times New Roman"/>
        </w:rPr>
      </w:pPr>
    </w:p>
    <w:p>
      <w:pPr>
        <w:overflowPunct w:val="0"/>
        <w:rPr>
          <w:rFonts w:ascii="Times New Roman" w:hAnsi="Times New Roman"/>
        </w:rPr>
      </w:pPr>
    </w:p>
    <w:p>
      <w:pPr>
        <w:pStyle w:val="2"/>
        <w:overflowPunct w:val="0"/>
        <w:rPr>
          <w:rFonts w:ascii="Times New Roman" w:hAnsi="Times New Roman" w:cs="Times New Roman"/>
        </w:rPr>
      </w:pPr>
    </w:p>
    <w:p>
      <w:pPr>
        <w:rPr>
          <w:rFonts w:ascii="Times New Roman" w:hAnsi="Times New Roman"/>
        </w:rPr>
      </w:pPr>
    </w:p>
    <w:p>
      <w:pPr>
        <w:pStyle w:val="2"/>
        <w:rPr>
          <w:rFonts w:ascii="Times New Roman" w:hAnsi="Times New Roman" w:cs="Times New Roman"/>
        </w:rPr>
      </w:pPr>
    </w:p>
    <w:p>
      <w:pPr>
        <w:rPr>
          <w:rFonts w:ascii="Times New Roman" w:hAnsi="Times New Roman"/>
        </w:rPr>
      </w:pPr>
    </w:p>
    <w:p>
      <w:pPr>
        <w:overflowPunct w:val="0"/>
        <w:rPr>
          <w:rFonts w:ascii="Times New Roman" w:hAnsi="Times New Roman"/>
        </w:rPr>
      </w:pPr>
    </w:p>
    <w:p>
      <w:pPr>
        <w:pStyle w:val="2"/>
        <w:overflowPunct w:val="0"/>
        <w:rPr>
          <w:rFonts w:ascii="Times New Roman" w:hAnsi="Times New Roman" w:cs="Times New Roman"/>
        </w:rPr>
      </w:pPr>
    </w:p>
    <w:p/>
    <w:p>
      <w:pPr>
        <w:pStyle w:val="2"/>
      </w:pPr>
    </w:p>
    <w:p/>
    <w:p>
      <w:pPr>
        <w:pStyle w:val="2"/>
      </w:pPr>
    </w:p>
    <w:p>
      <w:pPr>
        <w:pStyle w:val="2"/>
        <w:rPr>
          <w:rFonts w:ascii="Calibri" w:hAnsi="Calibri" w:eastAsia="宋体" w:cs="Times New Roman"/>
          <w:b w:val="0"/>
          <w:bCs w:val="0"/>
          <w:sz w:val="21"/>
          <w:szCs w:val="24"/>
        </w:rPr>
      </w:pPr>
    </w:p>
    <w:p/>
    <w:p>
      <w:pPr>
        <w:tabs>
          <w:tab w:val="left" w:pos="8670"/>
        </w:tabs>
        <w:overflowPunct w:val="0"/>
        <w:spacing w:line="560" w:lineRule="exact"/>
        <w:ind w:left="1165" w:leftChars="150" w:hanging="850" w:hangingChars="500"/>
        <w:rPr>
          <w:rFonts w:ascii="Times New Roman" w:hAnsi="Times New Roman" w:eastAsia="方正仿宋_GBK"/>
          <w:spacing w:val="-8"/>
          <w:sz w:val="28"/>
          <w:szCs w:val="28"/>
        </w:rPr>
      </w:pPr>
      <w:r>
        <w:rPr>
          <w:rFonts w:ascii="Times New Roman" w:hAnsi="Times New Roman"/>
          <w:spacing w:val="-20"/>
        </w:rPr>
        <w:pict>
          <v:line id="直接连接符 6" o:spid="_x0000_s2053" o:spt="20" style="position:absolute;left:0pt;margin-left:0pt;margin-top:1.4pt;height:0pt;width:447.95pt;mso-wrap-distance-bottom:0pt;mso-wrap-distance-left:9pt;mso-wrap-distance-right:9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">
            <v:path arrowok="t"/>
            <v:fill focussize="0,0"/>
            <v:stroke weight="1.15pt"/>
            <v:imagedata o:title=""/>
            <o:lock v:ext="edit"/>
            <w10:wrap type="square" side="right"/>
          </v:line>
        </w:pict>
      </w:r>
      <w:r>
        <w:rPr>
          <w:rFonts w:ascii="Times New Roman" w:hAnsi="Times New Roman" w:eastAsia="方正仿宋_GBK"/>
          <w:spacing w:val="-20"/>
          <w:sz w:val="28"/>
          <w:szCs w:val="28"/>
        </w:rPr>
        <w:t>抄送：县纪委监委机关，县委办公室，县人大常委会办公室，县政协办公室</w:t>
      </w:r>
      <w:r>
        <w:rPr>
          <w:rFonts w:ascii="Times New Roman" w:hAnsi="Times New Roman" w:eastAsia="方正仿宋_GBK"/>
          <w:spacing w:val="-8"/>
          <w:sz w:val="28"/>
          <w:szCs w:val="28"/>
        </w:rPr>
        <w:t>。</w:t>
      </w:r>
    </w:p>
    <w:p>
      <w:pPr>
        <w:tabs>
          <w:tab w:val="left" w:pos="8670"/>
        </w:tabs>
        <w:overflowPunct w:val="0"/>
        <w:spacing w:line="560" w:lineRule="exact"/>
        <w:ind w:firstLine="1120" w:firstLineChars="400"/>
        <w:rPr>
          <w:rFonts w:ascii="Times New Roman" w:hAnsi="Times New Roman" w:eastAsia="方正仿宋_GBK"/>
          <w:sz w:val="28"/>
          <w:szCs w:val="28"/>
        </w:rPr>
      </w:pPr>
      <w:r>
        <w:rPr>
          <w:rFonts w:ascii="Times New Roman" w:hAnsi="Times New Roman" w:eastAsia="方正仿宋_GBK"/>
          <w:sz w:val="28"/>
          <w:szCs w:val="28"/>
        </w:rPr>
        <w:t>县法院，县检察院，县人武部。</w:t>
      </w:r>
    </w:p>
    <w:p>
      <w:pPr>
        <w:tabs>
          <w:tab w:val="left" w:pos="8670"/>
        </w:tabs>
        <w:overflowPunct w:val="0"/>
        <w:spacing w:line="560" w:lineRule="exact"/>
        <w:ind w:firstLine="1120" w:firstLineChars="400"/>
        <w:rPr>
          <w:rFonts w:ascii="Times New Roman" w:hAnsi="Times New Roman" w:eastAsia="方正仿宋_GBK"/>
          <w:sz w:val="28"/>
          <w:szCs w:val="28"/>
        </w:rPr>
      </w:pPr>
      <w:r>
        <w:rPr>
          <w:rFonts w:ascii="Times New Roman" w:hAnsi="Times New Roman" w:eastAsia="方正仿宋_GBK"/>
          <w:sz w:val="28"/>
          <w:szCs w:val="28"/>
        </w:rPr>
        <w:t>县委各部委，各人民团体。</w:t>
      </w:r>
    </w:p>
    <w:p>
      <w:pPr>
        <w:overflowPunct w:val="0"/>
        <w:spacing w:line="560" w:lineRule="exact"/>
        <w:ind w:firstLine="210" w:firstLineChars="100"/>
        <w:rPr>
          <w:rFonts w:ascii="Times New Roman" w:hAnsi="Times New Roman"/>
        </w:rPr>
      </w:pPr>
      <w:r>
        <w:rPr>
          <w:rFonts w:ascii="Times New Roman" w:hAnsi="Times New Roman"/>
        </w:rPr>
        <w:pict>
          <v:line id="直接连接符 5" o:spid="_x0000_s2052" o:spt="20" style="position:absolute;left:0pt;margin-left:0pt;margin-top:38.65pt;height:0pt;width:450pt;mso-wrap-distance-bottom:0pt;mso-wrap-distance-left:9pt;mso-wrap-distance-right:9pt;mso-wrap-distance-top: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">
            <v:path arrowok="t"/>
            <v:fill focussize="0,0"/>
            <v:stroke weight="1.15pt"/>
            <v:imagedata o:title=""/>
            <o:lock v:ext="edit"/>
            <w10:wrap type="square" side="right"/>
          </v:line>
        </w:pict>
      </w:r>
      <w:r>
        <w:rPr>
          <w:rFonts w:ascii="Times New Roman" w:hAnsi="Times New Roman"/>
        </w:rPr>
        <w:pict>
          <v:line id="直接连接符 4" o:spid="_x0000_s2051" o:spt="20" style="position:absolute;left:0pt;margin-left:0pt;margin-top:7.15pt;height:0pt;width:447.95pt;mso-wrap-distance-bottom:0pt;mso-wrap-distance-left:9pt;mso-wrap-distance-right:9pt;mso-wrap-distance-top:0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">
            <v:path arrowok="t"/>
            <v:fill focussize="0,0"/>
            <v:stroke weight="1pt"/>
            <v:imagedata o:title=""/>
            <o:lock v:ext="edit"/>
            <w10:wrap type="square" side="right"/>
          </v:line>
        </w:pict>
      </w:r>
      <w:r>
        <w:rPr>
          <w:rFonts w:ascii="Times New Roman" w:hAnsi="Times New Roman" w:eastAsia="方正仿宋_GBK"/>
          <w:sz w:val="28"/>
          <w:szCs w:val="28"/>
        </w:rPr>
        <w:t>城口县人民政府办公室　　　　　         2021年4月16日印发</w:t>
      </w:r>
    </w:p>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5478236"/>
      <w:docPartObj>
        <w:docPartGallery w:val="autotext"/>
      </w:docPartObj>
    </w:sdtPr>
    <w:sdtEndPr>
      <w:rPr>
        <w:rFonts w:asciiTheme="minorEastAsia" w:hAnsiTheme="minorEastAsia" w:eastAsiaTheme="minorEastAsia"/>
        <w:sz w:val="28"/>
        <w:szCs w:val="28"/>
      </w:rPr>
    </w:sdtEndPr>
    <w:sdtContent>
      <w:p>
        <w:pPr>
          <w:pStyle w:val="16"/>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sdt>
      <w:sdtPr>
        <w:rPr>
          <w:rFonts w:asciiTheme="minorEastAsia" w:hAnsiTheme="minorEastAsia" w:eastAsiaTheme="minorEastAsia"/>
          <w:sz w:val="28"/>
          <w:szCs w:val="28"/>
        </w:rPr>
        <w:id w:val="2110617499"/>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EA96D0"/>
    <w:multiLevelType w:val="singleLevel"/>
    <w:tmpl w:val="4FEA96D0"/>
    <w:lvl w:ilvl="0" w:tentative="0">
      <w:start w:val="8"/>
      <w:numFmt w:val="chineseCounting"/>
      <w:suff w:val="space"/>
      <w:lvlText w:val="第%1篇"/>
      <w:lvlJc w:val="left"/>
      <w:pPr>
        <w:ind w:left="0" w:firstLine="0"/>
      </w:pPr>
    </w:lvl>
  </w:abstractNum>
  <w:num w:numId="1">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RiNjhjMzQxNzAzZTNhZjNlYzcwNDAxZDM4M2FiZDgifQ=="/>
  </w:docVars>
  <w:rsids>
    <w:rsidRoot w:val="004E6B69"/>
    <w:rsid w:val="00005B41"/>
    <w:rsid w:val="000064B6"/>
    <w:rsid w:val="00012EC1"/>
    <w:rsid w:val="00014FD6"/>
    <w:rsid w:val="0002127F"/>
    <w:rsid w:val="00073CC5"/>
    <w:rsid w:val="0009039F"/>
    <w:rsid w:val="00093A5D"/>
    <w:rsid w:val="000962C1"/>
    <w:rsid w:val="000B401A"/>
    <w:rsid w:val="000C2932"/>
    <w:rsid w:val="000C30A7"/>
    <w:rsid w:val="000F3454"/>
    <w:rsid w:val="001045BB"/>
    <w:rsid w:val="001063BE"/>
    <w:rsid w:val="00120ED2"/>
    <w:rsid w:val="001223DB"/>
    <w:rsid w:val="0013275F"/>
    <w:rsid w:val="00144DFB"/>
    <w:rsid w:val="001450E1"/>
    <w:rsid w:val="00163E3E"/>
    <w:rsid w:val="00175290"/>
    <w:rsid w:val="00177210"/>
    <w:rsid w:val="0018585A"/>
    <w:rsid w:val="001940E9"/>
    <w:rsid w:val="001962C6"/>
    <w:rsid w:val="00196C4C"/>
    <w:rsid w:val="001A12F7"/>
    <w:rsid w:val="001B30CB"/>
    <w:rsid w:val="00205806"/>
    <w:rsid w:val="00212C87"/>
    <w:rsid w:val="002341AB"/>
    <w:rsid w:val="00242924"/>
    <w:rsid w:val="00244B3F"/>
    <w:rsid w:val="00250E34"/>
    <w:rsid w:val="002554CC"/>
    <w:rsid w:val="00256B9D"/>
    <w:rsid w:val="00272DDF"/>
    <w:rsid w:val="00277242"/>
    <w:rsid w:val="00284857"/>
    <w:rsid w:val="0029571B"/>
    <w:rsid w:val="002C39AA"/>
    <w:rsid w:val="002E32D0"/>
    <w:rsid w:val="002E6C92"/>
    <w:rsid w:val="002F76D0"/>
    <w:rsid w:val="00304BF2"/>
    <w:rsid w:val="003058C8"/>
    <w:rsid w:val="003065F6"/>
    <w:rsid w:val="00315E3C"/>
    <w:rsid w:val="00336508"/>
    <w:rsid w:val="003408A7"/>
    <w:rsid w:val="00340B77"/>
    <w:rsid w:val="00353656"/>
    <w:rsid w:val="00355578"/>
    <w:rsid w:val="00370C6E"/>
    <w:rsid w:val="00371EE8"/>
    <w:rsid w:val="00375E6C"/>
    <w:rsid w:val="0038227F"/>
    <w:rsid w:val="00395A5F"/>
    <w:rsid w:val="003A7F3A"/>
    <w:rsid w:val="003D347C"/>
    <w:rsid w:val="003E4E79"/>
    <w:rsid w:val="00411C59"/>
    <w:rsid w:val="00415F28"/>
    <w:rsid w:val="00416CBB"/>
    <w:rsid w:val="00421F35"/>
    <w:rsid w:val="004271A1"/>
    <w:rsid w:val="00446BB7"/>
    <w:rsid w:val="004473BC"/>
    <w:rsid w:val="0045421D"/>
    <w:rsid w:val="00472312"/>
    <w:rsid w:val="00474FBB"/>
    <w:rsid w:val="0048594D"/>
    <w:rsid w:val="004B7CC9"/>
    <w:rsid w:val="004E5507"/>
    <w:rsid w:val="004E6B69"/>
    <w:rsid w:val="004F1EA9"/>
    <w:rsid w:val="004F712E"/>
    <w:rsid w:val="00505225"/>
    <w:rsid w:val="00505867"/>
    <w:rsid w:val="0050709D"/>
    <w:rsid w:val="00512B8B"/>
    <w:rsid w:val="00523AAD"/>
    <w:rsid w:val="0052577A"/>
    <w:rsid w:val="00542F77"/>
    <w:rsid w:val="00553B9D"/>
    <w:rsid w:val="0056762A"/>
    <w:rsid w:val="00587BF1"/>
    <w:rsid w:val="005925A4"/>
    <w:rsid w:val="00595972"/>
    <w:rsid w:val="005A46C3"/>
    <w:rsid w:val="005B0F49"/>
    <w:rsid w:val="005D2390"/>
    <w:rsid w:val="005D7783"/>
    <w:rsid w:val="005F0F18"/>
    <w:rsid w:val="00603663"/>
    <w:rsid w:val="00624EFF"/>
    <w:rsid w:val="00626FBD"/>
    <w:rsid w:val="00646538"/>
    <w:rsid w:val="00667C3F"/>
    <w:rsid w:val="006722AD"/>
    <w:rsid w:val="00682639"/>
    <w:rsid w:val="006965FD"/>
    <w:rsid w:val="006C0A3F"/>
    <w:rsid w:val="006D3B17"/>
    <w:rsid w:val="006D45EE"/>
    <w:rsid w:val="006D74B2"/>
    <w:rsid w:val="006E3DE8"/>
    <w:rsid w:val="006E4C3D"/>
    <w:rsid w:val="006F7A26"/>
    <w:rsid w:val="0070224B"/>
    <w:rsid w:val="00711401"/>
    <w:rsid w:val="00715217"/>
    <w:rsid w:val="00726407"/>
    <w:rsid w:val="00751C14"/>
    <w:rsid w:val="007B21A5"/>
    <w:rsid w:val="007D43D7"/>
    <w:rsid w:val="007F56C1"/>
    <w:rsid w:val="008120A2"/>
    <w:rsid w:val="00814614"/>
    <w:rsid w:val="00823F36"/>
    <w:rsid w:val="008411B0"/>
    <w:rsid w:val="008423ED"/>
    <w:rsid w:val="00846994"/>
    <w:rsid w:val="0085194E"/>
    <w:rsid w:val="00863C40"/>
    <w:rsid w:val="008671F3"/>
    <w:rsid w:val="008749CD"/>
    <w:rsid w:val="00886A59"/>
    <w:rsid w:val="00892926"/>
    <w:rsid w:val="008A2BFA"/>
    <w:rsid w:val="008B2092"/>
    <w:rsid w:val="008B4651"/>
    <w:rsid w:val="008C0630"/>
    <w:rsid w:val="008D19E0"/>
    <w:rsid w:val="008E5F73"/>
    <w:rsid w:val="009064DE"/>
    <w:rsid w:val="00922898"/>
    <w:rsid w:val="009337FA"/>
    <w:rsid w:val="00952732"/>
    <w:rsid w:val="00976840"/>
    <w:rsid w:val="00981C5B"/>
    <w:rsid w:val="00987984"/>
    <w:rsid w:val="00996662"/>
    <w:rsid w:val="009A3515"/>
    <w:rsid w:val="009A6A4D"/>
    <w:rsid w:val="009E2891"/>
    <w:rsid w:val="00A1674F"/>
    <w:rsid w:val="00A2781C"/>
    <w:rsid w:val="00A37420"/>
    <w:rsid w:val="00A37B3B"/>
    <w:rsid w:val="00A41BDB"/>
    <w:rsid w:val="00A53862"/>
    <w:rsid w:val="00A756A8"/>
    <w:rsid w:val="00A923A9"/>
    <w:rsid w:val="00AB6BC5"/>
    <w:rsid w:val="00AD50FD"/>
    <w:rsid w:val="00AE1B36"/>
    <w:rsid w:val="00B11C1C"/>
    <w:rsid w:val="00B12BA7"/>
    <w:rsid w:val="00B4485A"/>
    <w:rsid w:val="00B471CE"/>
    <w:rsid w:val="00B60277"/>
    <w:rsid w:val="00B625A9"/>
    <w:rsid w:val="00B729EA"/>
    <w:rsid w:val="00BA142C"/>
    <w:rsid w:val="00BE0663"/>
    <w:rsid w:val="00BE6F65"/>
    <w:rsid w:val="00BE701A"/>
    <w:rsid w:val="00BF0426"/>
    <w:rsid w:val="00C053E8"/>
    <w:rsid w:val="00C1730D"/>
    <w:rsid w:val="00C32720"/>
    <w:rsid w:val="00C4392F"/>
    <w:rsid w:val="00C5192A"/>
    <w:rsid w:val="00C67B41"/>
    <w:rsid w:val="00C80E6D"/>
    <w:rsid w:val="00C92C6C"/>
    <w:rsid w:val="00C97C10"/>
    <w:rsid w:val="00CA3464"/>
    <w:rsid w:val="00CB431F"/>
    <w:rsid w:val="00CB5802"/>
    <w:rsid w:val="00CC02DF"/>
    <w:rsid w:val="00CD4567"/>
    <w:rsid w:val="00CD5C74"/>
    <w:rsid w:val="00CF444F"/>
    <w:rsid w:val="00CF60B9"/>
    <w:rsid w:val="00D06483"/>
    <w:rsid w:val="00D07DAC"/>
    <w:rsid w:val="00D3178A"/>
    <w:rsid w:val="00D53FD2"/>
    <w:rsid w:val="00D63110"/>
    <w:rsid w:val="00D84569"/>
    <w:rsid w:val="00DA0FE1"/>
    <w:rsid w:val="00DC4E9C"/>
    <w:rsid w:val="00DC589E"/>
    <w:rsid w:val="00DC67A6"/>
    <w:rsid w:val="00DD54F6"/>
    <w:rsid w:val="00DE03CE"/>
    <w:rsid w:val="00DF7125"/>
    <w:rsid w:val="00E05E32"/>
    <w:rsid w:val="00E10761"/>
    <w:rsid w:val="00E222D1"/>
    <w:rsid w:val="00E2608A"/>
    <w:rsid w:val="00E67F25"/>
    <w:rsid w:val="00E743CB"/>
    <w:rsid w:val="00E87F1C"/>
    <w:rsid w:val="00EA4DEF"/>
    <w:rsid w:val="00ED0303"/>
    <w:rsid w:val="00ED3224"/>
    <w:rsid w:val="00EE6CC2"/>
    <w:rsid w:val="00EF0CB5"/>
    <w:rsid w:val="00F13EB5"/>
    <w:rsid w:val="00F16573"/>
    <w:rsid w:val="00F439BD"/>
    <w:rsid w:val="00F45AF0"/>
    <w:rsid w:val="00F7570E"/>
    <w:rsid w:val="00F84BA8"/>
    <w:rsid w:val="00F85F93"/>
    <w:rsid w:val="00F968AD"/>
    <w:rsid w:val="00FA288E"/>
    <w:rsid w:val="00FD2347"/>
    <w:rsid w:val="36AF7210"/>
    <w:rsid w:val="7E142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6"/>
    <w:qFormat/>
    <w:uiPriority w:val="0"/>
    <w:pPr>
      <w:keepNext/>
      <w:keepLines/>
      <w:spacing w:line="576" w:lineRule="auto"/>
      <w:outlineLvl w:val="0"/>
    </w:pPr>
    <w:rPr>
      <w:rFonts w:cs="宋体"/>
      <w:b/>
      <w:kern w:val="44"/>
      <w:sz w:val="44"/>
    </w:rPr>
  </w:style>
  <w:style w:type="paragraph" w:styleId="2">
    <w:name w:val="heading 2"/>
    <w:basedOn w:val="1"/>
    <w:next w:val="1"/>
    <w:link w:val="37"/>
    <w:semiHidden/>
    <w:unhideWhenUsed/>
    <w:qFormat/>
    <w:uiPriority w:val="0"/>
    <w:pPr>
      <w:keepNext/>
      <w:keepLines/>
      <w:spacing w:before="260" w:after="260" w:line="415" w:lineRule="auto"/>
      <w:outlineLvl w:val="1"/>
    </w:pPr>
    <w:rPr>
      <w:rFonts w:asciiTheme="majorHAnsi" w:hAnsiTheme="majorHAnsi" w:eastAsiaTheme="majorEastAsia" w:cstheme="majorBidi"/>
      <w:b/>
      <w:bCs/>
      <w:sz w:val="32"/>
      <w:szCs w:val="32"/>
    </w:rPr>
  </w:style>
  <w:style w:type="paragraph" w:styleId="4">
    <w:name w:val="heading 3"/>
    <w:basedOn w:val="1"/>
    <w:next w:val="1"/>
    <w:link w:val="38"/>
    <w:semiHidden/>
    <w:unhideWhenUsed/>
    <w:qFormat/>
    <w:uiPriority w:val="0"/>
    <w:pPr>
      <w:keepNext/>
      <w:keepLines/>
      <w:spacing w:before="260" w:after="260" w:line="415" w:lineRule="auto"/>
      <w:outlineLvl w:val="2"/>
    </w:pPr>
    <w:rPr>
      <w:rFonts w:cs="宋体"/>
      <w:b/>
      <w:bCs/>
      <w:sz w:val="32"/>
      <w:szCs w:val="32"/>
    </w:rPr>
  </w:style>
  <w:style w:type="paragraph" w:styleId="5">
    <w:name w:val="heading 4"/>
    <w:basedOn w:val="1"/>
    <w:next w:val="1"/>
    <w:link w:val="39"/>
    <w:semiHidden/>
    <w:unhideWhenUsed/>
    <w:qFormat/>
    <w:uiPriority w:val="0"/>
    <w:pPr>
      <w:jc w:val="left"/>
      <w:outlineLvl w:val="3"/>
    </w:pPr>
    <w:rPr>
      <w:rFonts w:eastAsia="仿宋" w:cs="宋体"/>
      <w:bCs/>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unhideWhenUsed/>
    <w:qFormat/>
    <w:uiPriority w:val="39"/>
    <w:pPr>
      <w:ind w:left="2520" w:leftChars="1200"/>
    </w:pPr>
    <w:rPr>
      <w:szCs w:val="22"/>
    </w:rPr>
  </w:style>
  <w:style w:type="paragraph" w:styleId="7">
    <w:name w:val="index 5"/>
    <w:basedOn w:val="1"/>
    <w:next w:val="1"/>
    <w:semiHidden/>
    <w:unhideWhenUsed/>
    <w:qFormat/>
    <w:uiPriority w:val="99"/>
    <w:pPr>
      <w:ind w:left="1680"/>
    </w:pPr>
    <w:rPr>
      <w:szCs w:val="22"/>
    </w:rPr>
  </w:style>
  <w:style w:type="paragraph" w:styleId="8">
    <w:name w:val="Document Map"/>
    <w:basedOn w:val="1"/>
    <w:link w:val="45"/>
    <w:semiHidden/>
    <w:unhideWhenUsed/>
    <w:qFormat/>
    <w:uiPriority w:val="99"/>
    <w:rPr>
      <w:rFonts w:ascii="宋体"/>
      <w:sz w:val="18"/>
      <w:szCs w:val="18"/>
    </w:rPr>
  </w:style>
  <w:style w:type="paragraph" w:styleId="9">
    <w:name w:val="annotation text"/>
    <w:basedOn w:val="1"/>
    <w:link w:val="40"/>
    <w:semiHidden/>
    <w:unhideWhenUsed/>
    <w:qFormat/>
    <w:uiPriority w:val="99"/>
    <w:pPr>
      <w:jc w:val="left"/>
    </w:pPr>
  </w:style>
  <w:style w:type="paragraph" w:styleId="10">
    <w:name w:val="Body Text"/>
    <w:basedOn w:val="1"/>
    <w:link w:val="41"/>
    <w:semiHidden/>
    <w:unhideWhenUsed/>
    <w:qFormat/>
    <w:uiPriority w:val="99"/>
    <w:pPr>
      <w:spacing w:after="120"/>
    </w:pPr>
  </w:style>
  <w:style w:type="paragraph" w:styleId="11">
    <w:name w:val="Body Text Indent"/>
    <w:basedOn w:val="1"/>
    <w:link w:val="42"/>
    <w:semiHidden/>
    <w:unhideWhenUsed/>
    <w:qFormat/>
    <w:uiPriority w:val="99"/>
    <w:pPr>
      <w:spacing w:after="120"/>
      <w:ind w:left="420" w:leftChars="200"/>
    </w:pPr>
  </w:style>
  <w:style w:type="paragraph" w:styleId="12">
    <w:name w:val="toc 5"/>
    <w:basedOn w:val="1"/>
    <w:next w:val="1"/>
    <w:semiHidden/>
    <w:unhideWhenUsed/>
    <w:qFormat/>
    <w:uiPriority w:val="39"/>
    <w:pPr>
      <w:ind w:left="1680" w:leftChars="800"/>
    </w:pPr>
    <w:rPr>
      <w:szCs w:val="22"/>
    </w:rPr>
  </w:style>
  <w:style w:type="paragraph" w:styleId="13">
    <w:name w:val="toc 3"/>
    <w:basedOn w:val="1"/>
    <w:next w:val="1"/>
    <w:semiHidden/>
    <w:unhideWhenUsed/>
    <w:qFormat/>
    <w:uiPriority w:val="39"/>
    <w:pPr>
      <w:ind w:left="840" w:leftChars="400"/>
    </w:pPr>
  </w:style>
  <w:style w:type="paragraph" w:styleId="14">
    <w:name w:val="toc 8"/>
    <w:basedOn w:val="1"/>
    <w:next w:val="1"/>
    <w:semiHidden/>
    <w:unhideWhenUsed/>
    <w:qFormat/>
    <w:uiPriority w:val="39"/>
    <w:pPr>
      <w:ind w:left="2940" w:leftChars="1400"/>
    </w:pPr>
    <w:rPr>
      <w:szCs w:val="22"/>
    </w:rPr>
  </w:style>
  <w:style w:type="paragraph" w:styleId="15">
    <w:name w:val="Balloon Text"/>
    <w:basedOn w:val="1"/>
    <w:link w:val="47"/>
    <w:semiHidden/>
    <w:unhideWhenUsed/>
    <w:qFormat/>
    <w:uiPriority w:val="99"/>
    <w:rPr>
      <w:sz w:val="18"/>
      <w:szCs w:val="18"/>
    </w:rPr>
  </w:style>
  <w:style w:type="paragraph" w:styleId="16">
    <w:name w:val="footer"/>
    <w:basedOn w:val="1"/>
    <w:link w:val="35"/>
    <w:unhideWhenUsed/>
    <w:qFormat/>
    <w:uiPriority w:val="99"/>
    <w:pPr>
      <w:tabs>
        <w:tab w:val="center" w:pos="4153"/>
        <w:tab w:val="right" w:pos="8306"/>
      </w:tabs>
      <w:snapToGrid w:val="0"/>
      <w:jc w:val="left"/>
    </w:pPr>
    <w:rPr>
      <w:sz w:val="18"/>
      <w:szCs w:val="18"/>
    </w:rPr>
  </w:style>
  <w:style w:type="paragraph" w:styleId="17">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unhideWhenUsed/>
    <w:qFormat/>
    <w:uiPriority w:val="39"/>
  </w:style>
  <w:style w:type="paragraph" w:styleId="19">
    <w:name w:val="toc 4"/>
    <w:basedOn w:val="1"/>
    <w:next w:val="1"/>
    <w:semiHidden/>
    <w:unhideWhenUsed/>
    <w:qFormat/>
    <w:uiPriority w:val="39"/>
    <w:pPr>
      <w:ind w:left="1260" w:leftChars="600"/>
    </w:pPr>
  </w:style>
  <w:style w:type="paragraph" w:styleId="20">
    <w:name w:val="toc 6"/>
    <w:basedOn w:val="1"/>
    <w:next w:val="1"/>
    <w:semiHidden/>
    <w:unhideWhenUsed/>
    <w:qFormat/>
    <w:uiPriority w:val="39"/>
    <w:pPr>
      <w:ind w:left="2100" w:leftChars="1000"/>
    </w:pPr>
    <w:rPr>
      <w:szCs w:val="22"/>
    </w:rPr>
  </w:style>
  <w:style w:type="paragraph" w:styleId="21">
    <w:name w:val="toc 2"/>
    <w:basedOn w:val="1"/>
    <w:next w:val="1"/>
    <w:semiHidden/>
    <w:unhideWhenUsed/>
    <w:qFormat/>
    <w:uiPriority w:val="39"/>
    <w:rPr>
      <w:rFonts w:eastAsia="楷体"/>
    </w:rPr>
  </w:style>
  <w:style w:type="paragraph" w:styleId="22">
    <w:name w:val="toc 9"/>
    <w:basedOn w:val="1"/>
    <w:next w:val="1"/>
    <w:semiHidden/>
    <w:unhideWhenUsed/>
    <w:qFormat/>
    <w:uiPriority w:val="39"/>
    <w:pPr>
      <w:ind w:left="3360" w:leftChars="1600"/>
    </w:pPr>
    <w:rPr>
      <w:szCs w:val="22"/>
    </w:rPr>
  </w:style>
  <w:style w:type="paragraph" w:styleId="23">
    <w:name w:val="Normal (Web)"/>
    <w:basedOn w:val="1"/>
    <w:semiHidden/>
    <w:unhideWhenUsed/>
    <w:qFormat/>
    <w:uiPriority w:val="99"/>
    <w:pPr>
      <w:spacing w:before="100" w:beforeAutospacing="1" w:after="100" w:afterAutospacing="1"/>
      <w:jc w:val="left"/>
    </w:pPr>
    <w:rPr>
      <w:kern w:val="0"/>
      <w:sz w:val="24"/>
    </w:rPr>
  </w:style>
  <w:style w:type="paragraph" w:styleId="24">
    <w:name w:val="annotation subject"/>
    <w:basedOn w:val="9"/>
    <w:next w:val="9"/>
    <w:link w:val="46"/>
    <w:semiHidden/>
    <w:unhideWhenUsed/>
    <w:qFormat/>
    <w:uiPriority w:val="99"/>
    <w:rPr>
      <w:b/>
      <w:bCs/>
    </w:rPr>
  </w:style>
  <w:style w:type="paragraph" w:styleId="25">
    <w:name w:val="Body Text First Indent"/>
    <w:basedOn w:val="10"/>
    <w:link w:val="43"/>
    <w:unhideWhenUsed/>
    <w:qFormat/>
    <w:uiPriority w:val="99"/>
    <w:pPr>
      <w:ind w:firstLine="420" w:firstLineChars="100"/>
    </w:pPr>
  </w:style>
  <w:style w:type="paragraph" w:styleId="26">
    <w:name w:val="Body Text First Indent 2"/>
    <w:basedOn w:val="11"/>
    <w:next w:val="25"/>
    <w:link w:val="44"/>
    <w:semiHidden/>
    <w:unhideWhenUsed/>
    <w:qFormat/>
    <w:uiPriority w:val="99"/>
    <w:pPr>
      <w:widowControl/>
      <w:ind w:left="0" w:leftChars="100" w:firstLine="420"/>
    </w:pPr>
    <w:rPr>
      <w:szCs w:val="21"/>
    </w:rPr>
  </w:style>
  <w:style w:type="table" w:styleId="28">
    <w:name w:val="Table Grid"/>
    <w:basedOn w:val="27"/>
    <w:qFormat/>
    <w:uiPriority w:val="59"/>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rPr>
      <w:b/>
    </w:rPr>
  </w:style>
  <w:style w:type="character" w:styleId="31">
    <w:name w:val="FollowedHyperlink"/>
    <w:basedOn w:val="29"/>
    <w:semiHidden/>
    <w:unhideWhenUsed/>
    <w:qFormat/>
    <w:uiPriority w:val="99"/>
    <w:rPr>
      <w:color w:val="800080" w:themeColor="followedHyperlink"/>
      <w:u w:val="single"/>
    </w:rPr>
  </w:style>
  <w:style w:type="character" w:styleId="32">
    <w:name w:val="Hyperlink"/>
    <w:basedOn w:val="29"/>
    <w:semiHidden/>
    <w:unhideWhenUsed/>
    <w:qFormat/>
    <w:uiPriority w:val="99"/>
    <w:rPr>
      <w:color w:val="0000FF"/>
      <w:u w:val="single"/>
    </w:rPr>
  </w:style>
  <w:style w:type="character" w:styleId="33">
    <w:name w:val="annotation reference"/>
    <w:basedOn w:val="29"/>
    <w:semiHidden/>
    <w:unhideWhenUsed/>
    <w:qFormat/>
    <w:uiPriority w:val="0"/>
    <w:rPr>
      <w:sz w:val="21"/>
      <w:szCs w:val="21"/>
    </w:rPr>
  </w:style>
  <w:style w:type="character" w:customStyle="1" w:styleId="34">
    <w:name w:val="页眉 字符"/>
    <w:basedOn w:val="29"/>
    <w:link w:val="17"/>
    <w:qFormat/>
    <w:uiPriority w:val="99"/>
    <w:rPr>
      <w:sz w:val="18"/>
      <w:szCs w:val="18"/>
    </w:rPr>
  </w:style>
  <w:style w:type="character" w:customStyle="1" w:styleId="35">
    <w:name w:val="页脚 字符"/>
    <w:basedOn w:val="29"/>
    <w:link w:val="16"/>
    <w:qFormat/>
    <w:uiPriority w:val="99"/>
    <w:rPr>
      <w:sz w:val="18"/>
      <w:szCs w:val="18"/>
    </w:rPr>
  </w:style>
  <w:style w:type="character" w:customStyle="1" w:styleId="36">
    <w:name w:val="标题 1 字符"/>
    <w:basedOn w:val="29"/>
    <w:link w:val="3"/>
    <w:qFormat/>
    <w:uiPriority w:val="0"/>
    <w:rPr>
      <w:rFonts w:ascii="Calibri" w:hAnsi="Calibri" w:eastAsia="宋体" w:cs="宋体"/>
      <w:b/>
      <w:kern w:val="44"/>
      <w:sz w:val="44"/>
      <w:szCs w:val="24"/>
    </w:rPr>
  </w:style>
  <w:style w:type="character" w:customStyle="1" w:styleId="37">
    <w:name w:val="标题 2 字符"/>
    <w:basedOn w:val="29"/>
    <w:link w:val="2"/>
    <w:semiHidden/>
    <w:qFormat/>
    <w:uiPriority w:val="0"/>
    <w:rPr>
      <w:rFonts w:asciiTheme="majorHAnsi" w:hAnsiTheme="majorHAnsi" w:eastAsiaTheme="majorEastAsia" w:cstheme="majorBidi"/>
      <w:b/>
      <w:bCs/>
      <w:sz w:val="32"/>
      <w:szCs w:val="32"/>
    </w:rPr>
  </w:style>
  <w:style w:type="character" w:customStyle="1" w:styleId="38">
    <w:name w:val="标题 3 字符"/>
    <w:basedOn w:val="29"/>
    <w:link w:val="4"/>
    <w:semiHidden/>
    <w:qFormat/>
    <w:uiPriority w:val="0"/>
    <w:rPr>
      <w:rFonts w:ascii="Calibri" w:hAnsi="Calibri" w:eastAsia="宋体" w:cs="宋体"/>
      <w:b/>
      <w:bCs/>
      <w:sz w:val="32"/>
      <w:szCs w:val="32"/>
    </w:rPr>
  </w:style>
  <w:style w:type="character" w:customStyle="1" w:styleId="39">
    <w:name w:val="标题 4 字符"/>
    <w:basedOn w:val="29"/>
    <w:link w:val="5"/>
    <w:semiHidden/>
    <w:qFormat/>
    <w:uiPriority w:val="0"/>
    <w:rPr>
      <w:rFonts w:ascii="Calibri" w:hAnsi="Calibri" w:eastAsia="仿宋" w:cs="宋体"/>
      <w:bCs/>
      <w:szCs w:val="28"/>
    </w:rPr>
  </w:style>
  <w:style w:type="character" w:customStyle="1" w:styleId="40">
    <w:name w:val="批注文字 字符"/>
    <w:basedOn w:val="29"/>
    <w:link w:val="9"/>
    <w:semiHidden/>
    <w:qFormat/>
    <w:uiPriority w:val="99"/>
    <w:rPr>
      <w:rFonts w:ascii="Calibri" w:hAnsi="Calibri" w:eastAsia="宋体" w:cs="Times New Roman"/>
      <w:szCs w:val="24"/>
    </w:rPr>
  </w:style>
  <w:style w:type="character" w:customStyle="1" w:styleId="41">
    <w:name w:val="正文文本 字符"/>
    <w:basedOn w:val="29"/>
    <w:link w:val="10"/>
    <w:semiHidden/>
    <w:qFormat/>
    <w:uiPriority w:val="99"/>
    <w:rPr>
      <w:rFonts w:ascii="Calibri" w:hAnsi="Calibri" w:eastAsia="宋体" w:cs="Times New Roman"/>
      <w:szCs w:val="24"/>
    </w:rPr>
  </w:style>
  <w:style w:type="character" w:customStyle="1" w:styleId="42">
    <w:name w:val="正文文本缩进 字符"/>
    <w:basedOn w:val="29"/>
    <w:link w:val="11"/>
    <w:semiHidden/>
    <w:uiPriority w:val="99"/>
    <w:rPr>
      <w:rFonts w:ascii="Calibri" w:hAnsi="Calibri" w:eastAsia="宋体" w:cs="Times New Roman"/>
      <w:szCs w:val="24"/>
    </w:rPr>
  </w:style>
  <w:style w:type="character" w:customStyle="1" w:styleId="43">
    <w:name w:val="正文文本首行缩进 字符"/>
    <w:basedOn w:val="41"/>
    <w:link w:val="25"/>
    <w:qFormat/>
    <w:uiPriority w:val="99"/>
    <w:rPr>
      <w:rFonts w:ascii="Calibri" w:hAnsi="Calibri" w:eastAsia="宋体" w:cs="Times New Roman"/>
      <w:szCs w:val="24"/>
    </w:rPr>
  </w:style>
  <w:style w:type="character" w:customStyle="1" w:styleId="44">
    <w:name w:val="正文文本首行缩进 2 字符"/>
    <w:basedOn w:val="42"/>
    <w:link w:val="26"/>
    <w:semiHidden/>
    <w:qFormat/>
    <w:uiPriority w:val="99"/>
    <w:rPr>
      <w:rFonts w:ascii="Calibri" w:hAnsi="Calibri" w:eastAsia="宋体" w:cs="Times New Roman"/>
      <w:szCs w:val="21"/>
    </w:rPr>
  </w:style>
  <w:style w:type="character" w:customStyle="1" w:styleId="45">
    <w:name w:val="文档结构图 字符"/>
    <w:basedOn w:val="29"/>
    <w:link w:val="8"/>
    <w:semiHidden/>
    <w:qFormat/>
    <w:uiPriority w:val="99"/>
    <w:rPr>
      <w:rFonts w:ascii="宋体" w:hAnsi="Calibri" w:eastAsia="宋体" w:cs="Times New Roman"/>
      <w:sz w:val="18"/>
      <w:szCs w:val="18"/>
    </w:rPr>
  </w:style>
  <w:style w:type="character" w:customStyle="1" w:styleId="46">
    <w:name w:val="批注主题 字符"/>
    <w:basedOn w:val="40"/>
    <w:link w:val="24"/>
    <w:semiHidden/>
    <w:qFormat/>
    <w:uiPriority w:val="99"/>
    <w:rPr>
      <w:rFonts w:ascii="Calibri" w:hAnsi="Calibri" w:eastAsia="宋体" w:cs="Times New Roman"/>
      <w:b/>
      <w:bCs/>
      <w:szCs w:val="24"/>
    </w:rPr>
  </w:style>
  <w:style w:type="character" w:customStyle="1" w:styleId="47">
    <w:name w:val="批注框文本 字符"/>
    <w:basedOn w:val="29"/>
    <w:link w:val="15"/>
    <w:semiHidden/>
    <w:qFormat/>
    <w:uiPriority w:val="99"/>
    <w:rPr>
      <w:rFonts w:ascii="Calibri" w:hAnsi="Calibri" w:eastAsia="宋体" w:cs="Times New Roman"/>
      <w:sz w:val="18"/>
      <w:szCs w:val="18"/>
    </w:rPr>
  </w:style>
  <w:style w:type="paragraph" w:styleId="48">
    <w:name w:val="List Paragraph"/>
    <w:basedOn w:val="1"/>
    <w:qFormat/>
    <w:uiPriority w:val="99"/>
    <w:pPr>
      <w:ind w:firstLine="420" w:firstLineChars="200"/>
    </w:pPr>
  </w:style>
  <w:style w:type="paragraph" w:customStyle="1" w:styleId="49">
    <w:name w:val="_Style 6"/>
    <w:basedOn w:val="1"/>
    <w:next w:val="1"/>
    <w:qFormat/>
    <w:uiPriority w:val="99"/>
    <w:pPr>
      <w:pBdr>
        <w:bottom w:val="single" w:color="auto" w:sz="6" w:space="1"/>
      </w:pBdr>
      <w:jc w:val="center"/>
    </w:pPr>
    <w:rPr>
      <w:rFonts w:ascii="Arial"/>
      <w:vanish/>
      <w:sz w:val="16"/>
    </w:rPr>
  </w:style>
  <w:style w:type="paragraph" w:customStyle="1" w:styleId="50">
    <w:name w:val="_Style 7"/>
    <w:basedOn w:val="1"/>
    <w:next w:val="1"/>
    <w:qFormat/>
    <w:uiPriority w:val="99"/>
    <w:pPr>
      <w:pBdr>
        <w:top w:val="single" w:color="auto" w:sz="6" w:space="1"/>
      </w:pBdr>
      <w:jc w:val="center"/>
    </w:pPr>
    <w:rPr>
      <w:rFonts w:ascii="Arial"/>
      <w:vanish/>
      <w:sz w:val="16"/>
    </w:rPr>
  </w:style>
  <w:style w:type="paragraph" w:customStyle="1" w:styleId="51">
    <w:name w:val="报告正文"/>
    <w:basedOn w:val="1"/>
    <w:qFormat/>
    <w:uiPriority w:val="99"/>
    <w:pPr>
      <w:adjustRightInd w:val="0"/>
      <w:ind w:firstLine="200" w:firstLineChars="200"/>
    </w:pPr>
    <w:rPr>
      <w:sz w:val="28"/>
      <w:szCs w:val="28"/>
    </w:rPr>
  </w:style>
  <w:style w:type="character" w:customStyle="1" w:styleId="52">
    <w:name w:val="Body text|1_"/>
    <w:basedOn w:val="29"/>
    <w:link w:val="53"/>
    <w:qFormat/>
    <w:locked/>
    <w:uiPriority w:val="0"/>
    <w:rPr>
      <w:rFonts w:ascii="宋体" w:hAnsi="宋体" w:eastAsia="宋体" w:cs="宋体"/>
      <w:sz w:val="30"/>
      <w:szCs w:val="30"/>
      <w:lang w:val="zh-TW" w:eastAsia="zh-TW" w:bidi="zh-TW"/>
    </w:rPr>
  </w:style>
  <w:style w:type="paragraph" w:customStyle="1" w:styleId="53">
    <w:name w:val="Body text|1"/>
    <w:basedOn w:val="1"/>
    <w:link w:val="52"/>
    <w:qFormat/>
    <w:uiPriority w:val="0"/>
    <w:pPr>
      <w:spacing w:line="424" w:lineRule="auto"/>
      <w:ind w:firstLine="400"/>
      <w:jc w:val="left"/>
    </w:pPr>
    <w:rPr>
      <w:rFonts w:ascii="宋体" w:hAnsi="宋体" w:cs="宋体"/>
      <w:sz w:val="30"/>
      <w:szCs w:val="30"/>
      <w:lang w:val="zh-TW" w:eastAsia="zh-TW" w:bidi="zh-TW"/>
    </w:rPr>
  </w:style>
  <w:style w:type="paragraph" w:customStyle="1" w:styleId="54">
    <w:name w:val="修订1"/>
    <w:semiHidden/>
    <w:qFormat/>
    <w:uiPriority w:val="99"/>
    <w:rPr>
      <w:rFonts w:ascii="Calibri" w:hAnsi="Calibri" w:eastAsia="宋体" w:cs="Times New Roman"/>
      <w:kern w:val="2"/>
      <w:sz w:val="21"/>
      <w:szCs w:val="24"/>
      <w:lang w:val="en-US" w:eastAsia="zh-CN" w:bidi="ar-SA"/>
    </w:rPr>
  </w:style>
  <w:style w:type="paragraph" w:customStyle="1" w:styleId="55">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56">
    <w:name w:val="p0"/>
    <w:basedOn w:val="1"/>
    <w:qFormat/>
    <w:uiPriority w:val="99"/>
    <w:pPr>
      <w:widowControl/>
    </w:pPr>
    <w:rPr>
      <w:rFonts w:cs="宋体"/>
      <w:kern w:val="0"/>
      <w:szCs w:val="21"/>
    </w:rPr>
  </w:style>
  <w:style w:type="paragraph" w:customStyle="1" w:styleId="57">
    <w:name w:val="修订2"/>
    <w:semiHidden/>
    <w:qFormat/>
    <w:uiPriority w:val="99"/>
    <w:rPr>
      <w:rFonts w:ascii="Calibri" w:hAnsi="Calibri" w:eastAsia="宋体" w:cs="Times New Roman"/>
      <w:kern w:val="2"/>
      <w:sz w:val="21"/>
      <w:szCs w:val="24"/>
      <w:lang w:val="en-US" w:eastAsia="zh-CN" w:bidi="ar-SA"/>
    </w:rPr>
  </w:style>
  <w:style w:type="character" w:customStyle="1" w:styleId="58">
    <w:name w:val="NormalCharacter"/>
    <w:semiHidden/>
    <w:qFormat/>
    <w:uiPriority w:val="0"/>
  </w:style>
  <w:style w:type="character" w:customStyle="1" w:styleId="59">
    <w:name w:val="fontstyle01"/>
    <w:qFormat/>
    <w:uiPriority w:val="0"/>
    <w:rPr>
      <w:rFonts w:hint="eastAsia" w:ascii="方正仿宋_GBK" w:eastAsia="方正仿宋_GBK"/>
      <w:color w:val="000000"/>
      <w:sz w:val="32"/>
      <w:szCs w:val="32"/>
    </w:rPr>
  </w:style>
  <w:style w:type="table" w:customStyle="1" w:styleId="60">
    <w:name w:val="网格型2"/>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customStyle="1" w:styleId="61">
    <w:name w:val="网格型1"/>
    <w:basedOn w:val="27"/>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123</Pages>
  <Words>65704</Words>
  <Characters>66738</Characters>
  <Lines>725</Lines>
  <Paragraphs>204</Paragraphs>
  <TotalTime>6</TotalTime>
  <ScaleCrop>false</ScaleCrop>
  <LinksUpToDate>false</LinksUpToDate>
  <CharactersWithSpaces>67728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2021-06-25T09:56:00Z</dcterms:created>
  <dc:creator>薛晓晓</dc:creator>
  <cp:lastModifiedBy>妍妍</cp:lastModifiedBy>
  <cp:lastPrinted>2021-06-25T10:03:00Z</cp:lastPrinted>
  <dcterms:modified xsi:type="dcterms:W3CDTF">2023-11-22T07:55:22Z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91289463D5AD4BC0AFCCDA470CDBAB81_12</vt:lpwstr>
  </property>
</Properties>
</file>