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both"/>
        <w:rPr>
          <w:rFonts w:ascii="方正仿宋_GBK" w:cs="Times New Roman"/>
        </w:rPr>
      </w:pPr>
    </w:p>
    <w:p>
      <w:pPr>
        <w:spacing w:line="579" w:lineRule="exact"/>
        <w:jc w:val="both"/>
        <w:rPr>
          <w:rFonts w:ascii="方正仿宋_GBK" w:cs="Times New Roman"/>
        </w:rPr>
      </w:pPr>
    </w:p>
    <w:p>
      <w:pPr>
        <w:spacing w:line="579" w:lineRule="exact"/>
        <w:jc w:val="both"/>
        <w:rPr>
          <w:rFonts w:ascii="方正仿宋_GBK" w:cs="Times New Roman"/>
        </w:rPr>
      </w:pPr>
    </w:p>
    <w:p>
      <w:pPr>
        <w:spacing w:line="579" w:lineRule="exact"/>
        <w:jc w:val="center"/>
        <w:rPr>
          <w:rFonts w:cs="Times New Roman"/>
        </w:rPr>
      </w:pPr>
    </w:p>
    <w:p>
      <w:pPr>
        <w:spacing w:line="579" w:lineRule="exact"/>
        <w:jc w:val="center"/>
        <w:rPr>
          <w:rFonts w:eastAsia="方正楷体_GBK" w:cs="Times New Roman"/>
          <w:kern w:val="0"/>
        </w:rPr>
      </w:pPr>
      <w:r>
        <w:rPr>
          <w:rFonts w:hint="eastAsia" w:cs="Times New Roman"/>
          <w:kern w:val="0"/>
        </w:rPr>
        <w:t>城农发〔2024〕</w:t>
      </w:r>
      <w:r>
        <w:rPr>
          <w:rFonts w:hint="eastAsia" w:cs="Times New Roman"/>
          <w:kern w:val="0"/>
          <w:lang w:val="en-US" w:eastAsia="zh-CN"/>
        </w:rPr>
        <w:t>2</w:t>
      </w:r>
      <w:r>
        <w:rPr>
          <w:rFonts w:hint="eastAsia" w:cs="Times New Roman"/>
          <w:kern w:val="0"/>
        </w:rPr>
        <w:t>号</w:t>
      </w:r>
    </w:p>
    <w:p>
      <w:pPr>
        <w:spacing w:line="579" w:lineRule="exact"/>
        <w:jc w:val="center"/>
      </w:pPr>
    </w:p>
    <w:tbl>
      <w:tblPr>
        <w:tblStyle w:val="1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pStyle w:val="16"/>
            </w:pPr>
            <w:r>
              <w:rPr>
                <w:rFonts w:hint="eastAsia"/>
              </w:rPr>
              <w:t>城口县农业农村委员会</w:t>
            </w:r>
          </w:p>
        </w:tc>
      </w:tr>
    </w:tbl>
    <w:p>
      <w:pPr>
        <w:pStyle w:val="16"/>
        <w:rPr>
          <w:rFonts w:hint="eastAsia"/>
        </w:rPr>
      </w:pPr>
      <w:r>
        <w:rPr>
          <w:rFonts w:hint="eastAsia"/>
        </w:rPr>
        <w:t>关于印发《城口县2024年农业产业贷款贴息</w:t>
      </w:r>
    </w:p>
    <w:p>
      <w:pPr>
        <w:pStyle w:val="16"/>
      </w:pPr>
      <w:r>
        <w:rPr>
          <w:rFonts w:hint="eastAsia"/>
        </w:rPr>
        <w:t>实施方案》的通知</w:t>
      </w:r>
    </w:p>
    <w:p/>
    <w:p>
      <w:pPr>
        <w:rPr>
          <w:rFonts w:ascii="方正楷体_GBK" w:hAnsi="方正楷体_GBK" w:eastAsia="方正楷体_GBK" w:cs="方正楷体_GBK"/>
        </w:rPr>
      </w:pPr>
      <w:r>
        <w:rPr>
          <w:rFonts w:hint="eastAsia" w:ascii="方正楷体_GBK" w:hAnsi="方正楷体_GBK" w:eastAsia="方正楷体_GBK" w:cs="方正楷体_GBK"/>
        </w:rPr>
        <w:t>各乡镇人民政府、街道办事处：</w:t>
      </w:r>
    </w:p>
    <w:p>
      <w:pPr>
        <w:ind w:firstLine="632" w:firstLineChars="200"/>
        <w:rPr>
          <w:rFonts w:eastAsia="方正楷体_GBK" w:cs="Times New Roman"/>
        </w:rPr>
      </w:pPr>
      <w:r>
        <w:rPr>
          <w:rFonts w:eastAsia="方正楷体_GBK" w:cs="Times New Roman"/>
        </w:rPr>
        <w:t>根据《中共城口县委农村工作暨实施乡村振兴战略领导小组办公室关于印发〈城口县2024－2025年优势特色产业培育行动扶持政策〉的通知》（城委农办〔2023〕80号）文件要求，现将《城口县2024年农业产业贷款贴息实施方案》印发给你们，请结合工作实际抓好落实。</w:t>
      </w:r>
    </w:p>
    <w:p>
      <w:pPr>
        <w:wordWrap w:val="0"/>
        <w:ind w:firstLine="632" w:firstLineChars="200"/>
        <w:jc w:val="right"/>
        <w:rPr>
          <w:rFonts w:hint="default" w:eastAsia="方正楷体_GBK" w:cs="Times New Roman"/>
          <w:lang w:val="en-US" w:eastAsia="zh-CN"/>
        </w:rPr>
      </w:pPr>
      <w:r>
        <w:rPr>
          <w:rFonts w:hint="eastAsia" w:eastAsia="方正楷体_GBK" w:cs="Times New Roman"/>
        </w:rPr>
        <w:t>城口县农业农村委员会</w:t>
      </w:r>
      <w:r>
        <w:rPr>
          <w:rFonts w:hint="eastAsia" w:eastAsia="方正楷体_GBK" w:cs="Times New Roman"/>
          <w:lang w:val="en-US" w:eastAsia="zh-CN"/>
        </w:rPr>
        <w:t xml:space="preserve">      </w:t>
      </w:r>
    </w:p>
    <w:p>
      <w:pPr>
        <w:wordWrap w:val="0"/>
        <w:ind w:firstLine="632" w:firstLineChars="200"/>
        <w:jc w:val="right"/>
        <w:rPr>
          <w:rFonts w:hint="default" w:eastAsia="方正楷体_GBK" w:cs="Times New Roman"/>
          <w:lang w:val="en-US" w:eastAsia="zh-CN"/>
        </w:rPr>
      </w:pPr>
      <w:r>
        <w:rPr>
          <w:rFonts w:hint="eastAsia" w:eastAsia="方正楷体_GBK" w:cs="Times New Roman"/>
        </w:rPr>
        <w:t>2024年1月2日</w:t>
      </w:r>
      <w:r>
        <w:rPr>
          <w:rFonts w:hint="eastAsia" w:eastAsia="方正楷体_GBK" w:cs="Times New Roman"/>
          <w:lang w:val="en-US" w:eastAsia="zh-CN"/>
        </w:rPr>
        <w:t xml:space="preserve">         </w:t>
      </w:r>
    </w:p>
    <w:p>
      <w:pPr>
        <w:pStyle w:val="2"/>
      </w:pPr>
    </w:p>
    <w:p>
      <w:pPr>
        <w:pStyle w:val="16"/>
        <w:jc w:val="both"/>
      </w:pPr>
    </w:p>
    <w:p>
      <w:pPr>
        <w:pStyle w:val="15"/>
      </w:pPr>
    </w:p>
    <w:p>
      <w:pPr>
        <w:pStyle w:val="15"/>
      </w:pPr>
    </w:p>
    <w:p>
      <w:pPr>
        <w:pStyle w:val="16"/>
      </w:pPr>
      <w:r>
        <w:rPr>
          <w:rFonts w:hint="eastAsia"/>
        </w:rPr>
        <w:t>城口县2024年农业产业贷款贴息实施方案</w:t>
      </w:r>
    </w:p>
    <w:p/>
    <w:p>
      <w:pPr>
        <w:pStyle w:val="15"/>
      </w:pPr>
      <w:r>
        <w:rPr>
          <w:rFonts w:hint="eastAsia"/>
        </w:rPr>
        <w:t>为有效发挥财政资金在产业振兴中的撬动作用，减轻新型农业经营主体利息负担，提高市场主体围绕县域内“一主两辅多支撑”优势特色产业发展的带动积极性，根据《重庆市农业农村委员会重庆市财政局关于印发〈2023年重庆市食品及农产品加工贴息项目实施方案〉的通知》（渝农发〔2023〕133号）、《重庆市农业农村委员会办公室关于开展2023年度金融支农创新试点项目申报工作的通知》（渝农办发〔2023〕110号）、《城口县人民政府办公室关于印发〈城口县支持食品及农产品加工产业高质量发展八条政策〉的通知》（城府办发〔2023〕80 号）、《中共城口县委农村工作暨实施乡村振兴战略领导小组办公室关于印发〈城口县2024－2025年优势特色产业培育行动扶持政策〉的通知》（城委农办〔2023〕80号）等文件精神，结合我县实际，特制定本贴息实施方案。</w:t>
      </w:r>
    </w:p>
    <w:p>
      <w:pPr>
        <w:pStyle w:val="17"/>
      </w:pPr>
      <w:r>
        <w:rPr>
          <w:rFonts w:hint="eastAsia"/>
        </w:rPr>
        <w:t>一、贴息对象</w:t>
      </w:r>
    </w:p>
    <w:p>
      <w:pPr>
        <w:pStyle w:val="15"/>
      </w:pPr>
      <w:r>
        <w:rPr>
          <w:rFonts w:hint="eastAsia"/>
        </w:rPr>
        <w:t>县内发展乡村特色产业且财务管理健全，账务处理规范的农业企业、农民合作社、家庭农场等新型农业经营主体和个人。</w:t>
      </w:r>
    </w:p>
    <w:p>
      <w:pPr>
        <w:pStyle w:val="17"/>
      </w:pPr>
      <w:r>
        <w:rPr>
          <w:rFonts w:hint="eastAsia"/>
        </w:rPr>
        <w:t>二、贴息标准及范围</w:t>
      </w:r>
    </w:p>
    <w:p>
      <w:pPr>
        <w:pStyle w:val="15"/>
      </w:pPr>
      <w:r>
        <w:rPr>
          <w:rStyle w:val="22"/>
          <w:rFonts w:hint="eastAsia"/>
        </w:rPr>
        <w:t>（一）贴息标准。</w:t>
      </w:r>
      <w:r>
        <w:rPr>
          <w:rFonts w:hint="eastAsia"/>
        </w:rPr>
        <w:t>对发展城口老腊肉、城口山地鸡、食用菌、中蜂、茶叶、草食牲畜、冷水鱼等“一主两辅多支撑”优势特色产业、食品及农产品加工、农文旅融合等农业产业的新型农业经营主体和个人，按照银行同期贷款市场报价利率LPR的50%进行贴息。对市级农产品加工业100家领军企业、100家成长性企业和县级从事食品及农产品加工的20家重点企业、20家成长型企业贷款，按照银行同期贷款市场报价利率LPR的60%进行贴息。</w:t>
      </w:r>
    </w:p>
    <w:p>
      <w:pPr>
        <w:pStyle w:val="15"/>
        <w:rPr>
          <w:color w:val="000000" w:themeColor="text1"/>
          <w14:textFill>
            <w14:solidFill>
              <w14:schemeClr w14:val="tx1"/>
            </w14:solidFill>
          </w14:textFill>
        </w:rPr>
      </w:pPr>
      <w:r>
        <w:rPr>
          <w:rStyle w:val="22"/>
          <w:rFonts w:hint="eastAsia"/>
          <w:color w:val="000000" w:themeColor="text1"/>
          <w14:textFill>
            <w14:solidFill>
              <w14:schemeClr w14:val="tx1"/>
            </w14:solidFill>
          </w14:textFill>
        </w:rPr>
        <w:t>（二）贴息范围。</w:t>
      </w:r>
      <w:r>
        <w:rPr>
          <w:rFonts w:hint="eastAsia"/>
          <w:color w:val="000000" w:themeColor="text1"/>
          <w14:textFill>
            <w14:solidFill>
              <w14:schemeClr w14:val="tx1"/>
            </w14:solidFill>
          </w14:textFill>
        </w:rPr>
        <w:t>2022年1月1日到2023年12月31日实际发生并已经支付的利息。</w:t>
      </w:r>
    </w:p>
    <w:p>
      <w:pPr>
        <w:pStyle w:val="17"/>
      </w:pPr>
      <w:r>
        <w:rPr>
          <w:rFonts w:hint="eastAsia"/>
        </w:rPr>
        <w:t>三、有关要求</w:t>
      </w:r>
    </w:p>
    <w:p>
      <w:pPr>
        <w:pStyle w:val="15"/>
      </w:pPr>
      <w:r>
        <w:rPr>
          <w:rFonts w:hint="eastAsia"/>
        </w:rPr>
        <w:t>（一）贷款由银行等金融机构发放（含重庆农担创业股权引导资金），贷款用途符合国家金融政策和县级扶持范围。</w:t>
      </w:r>
    </w:p>
    <w:p>
      <w:pPr>
        <w:pStyle w:val="15"/>
      </w:pPr>
      <w:r>
        <w:rPr>
          <w:rFonts w:hint="eastAsia"/>
        </w:rPr>
        <w:t>（二）支出凭证完善，能够充分证明贷款用于农业产业，未用于农业产业的一律不予贴息。</w:t>
      </w:r>
    </w:p>
    <w:p>
      <w:pPr>
        <w:pStyle w:val="15"/>
      </w:pPr>
      <w:r>
        <w:rPr>
          <w:rFonts w:hint="eastAsia"/>
        </w:rPr>
        <w:t>（三）贷款期限、贴息期限及额度符合规定要求。</w:t>
      </w:r>
    </w:p>
    <w:p>
      <w:pPr>
        <w:pStyle w:val="15"/>
      </w:pPr>
      <w:r>
        <w:rPr>
          <w:rFonts w:hint="eastAsia"/>
        </w:rPr>
        <w:t>（四）项目申报单位具有良好的社会形象和诚信记录。</w:t>
      </w:r>
    </w:p>
    <w:p>
      <w:pPr>
        <w:pStyle w:val="15"/>
      </w:pPr>
      <w:r>
        <w:rPr>
          <w:rFonts w:hint="eastAsia"/>
        </w:rPr>
        <w:t>（五）贷款项目对低收入群体增收和就业、农业结构调整带动作用明显。</w:t>
      </w:r>
    </w:p>
    <w:p>
      <w:pPr>
        <w:pStyle w:val="15"/>
      </w:pPr>
      <w:r>
        <w:rPr>
          <w:rFonts w:hint="eastAsia"/>
        </w:rPr>
        <w:t>（六）申报材料齐全完整、真实可靠。</w:t>
      </w:r>
    </w:p>
    <w:p>
      <w:pPr>
        <w:pStyle w:val="15"/>
        <w:rPr>
          <w:color w:val="FF0000"/>
        </w:rPr>
      </w:pPr>
      <w:r>
        <w:rPr>
          <w:rFonts w:hint="eastAsia"/>
        </w:rPr>
        <w:t>（七）</w:t>
      </w:r>
      <w:r>
        <w:rPr>
          <w:rFonts w:hint="eastAsia"/>
          <w:color w:val="000000" w:themeColor="text1"/>
          <w14:textFill>
            <w14:solidFill>
              <w14:schemeClr w14:val="tx1"/>
            </w14:solidFill>
          </w14:textFill>
        </w:rPr>
        <w:t>已申报2022和2023年两个年度其他财政资金贴息项目的，不在此次申报范围。</w:t>
      </w:r>
    </w:p>
    <w:p>
      <w:pPr>
        <w:pStyle w:val="17"/>
      </w:pPr>
      <w:r>
        <w:rPr>
          <w:rFonts w:hint="eastAsia"/>
        </w:rPr>
        <w:t>四、申报流程及资料要求</w:t>
      </w:r>
    </w:p>
    <w:p>
      <w:pPr>
        <w:pStyle w:val="15"/>
      </w:pPr>
      <w:r>
        <w:rPr>
          <w:rFonts w:hint="eastAsia"/>
        </w:rPr>
        <w:t>（一）申报主体法人营业执照和法人身份证复印件。</w:t>
      </w:r>
    </w:p>
    <w:p>
      <w:pPr>
        <w:pStyle w:val="15"/>
      </w:pPr>
      <w:r>
        <w:rPr>
          <w:rFonts w:hint="eastAsia"/>
        </w:rPr>
        <w:t>（二）申报贴息贷款的贷款合同（与银行或金融机构签订）和贷款到位凭证。</w:t>
      </w:r>
    </w:p>
    <w:p>
      <w:pPr>
        <w:pStyle w:val="15"/>
      </w:pPr>
      <w:r>
        <w:rPr>
          <w:rFonts w:hint="eastAsia"/>
        </w:rPr>
        <w:t>（三）贷款银行出具的利息结算清单（重庆农担创业股权引导资金提供缴纳门槛收益利息发票），多笔贷款的需逐笔贷款对应装订；</w:t>
      </w:r>
    </w:p>
    <w:p>
      <w:pPr>
        <w:pStyle w:val="15"/>
      </w:pPr>
      <w:r>
        <w:rPr>
          <w:rFonts w:hint="eastAsia"/>
        </w:rPr>
        <w:t>（四）贷款主体最近两年的征信报告。</w:t>
      </w:r>
    </w:p>
    <w:p>
      <w:pPr>
        <w:pStyle w:val="15"/>
      </w:pPr>
      <w:r>
        <w:rPr>
          <w:rFonts w:hint="eastAsia"/>
        </w:rPr>
        <w:t>（五）申报主体贷款使用的相关佐证资料。贷款资金必须用于农业产业发展相关支出，贷款后直接用于归还原银行贷款的，需提供原贷款用途的佐证资料。具体资料可参考《注意事项》（附件3）。</w:t>
      </w:r>
    </w:p>
    <w:p>
      <w:pPr>
        <w:pStyle w:val="15"/>
      </w:pPr>
      <w:r>
        <w:rPr>
          <w:rFonts w:hint="eastAsia"/>
        </w:rPr>
        <w:t>（六）联农带农相关佐证资料。</w:t>
      </w:r>
    </w:p>
    <w:p>
      <w:pPr>
        <w:pStyle w:val="15"/>
      </w:pPr>
      <w:r>
        <w:rPr>
          <w:rFonts w:hint="eastAsia"/>
        </w:rPr>
        <w:t>（七）符合条件的贷款主体填写《城口县2024年农业产业贷款贴息资金申请表》（附件1）和《城口县农业产业贷款情况审核表》（附件2），分贷款银行、贷款年度填报（同一银行多笔贷款的只填报一份），提供纸质件和电子档。</w:t>
      </w:r>
    </w:p>
    <w:p>
      <w:pPr>
        <w:pStyle w:val="15"/>
      </w:pPr>
      <w:r>
        <w:rPr>
          <w:rFonts w:hint="eastAsia"/>
        </w:rPr>
        <w:t>（八）申报单位资料准备齐全后，整理成册交县农业农村委，县农业农村委将聘请有资质的中介机构对申报主体的资料进行审核，审核通过后拨付贴息资金。</w:t>
      </w:r>
    </w:p>
    <w:p>
      <w:pPr>
        <w:pStyle w:val="17"/>
      </w:pPr>
      <w:r>
        <w:rPr>
          <w:rFonts w:hint="eastAsia"/>
        </w:rPr>
        <w:t>五、工作要求</w:t>
      </w:r>
    </w:p>
    <w:p>
      <w:pPr>
        <w:pStyle w:val="15"/>
      </w:pPr>
      <w:r>
        <w:rPr>
          <w:rFonts w:hint="eastAsia" w:ascii="方正楷体_GBK" w:eastAsia="方正楷体_GBK"/>
        </w:rPr>
        <w:t>（一）县农业农村委。</w:t>
      </w:r>
      <w:r>
        <w:rPr>
          <w:rFonts w:hint="eastAsia"/>
        </w:rPr>
        <w:t>加大农业贴息政策宣传，认真做好贷款对象的条件审核及贷款贴息审核。负责对贷款贴息标准、贴息方式、数量及贴息花名册进行公示（不少于7个工作日），接受群众监督。</w:t>
      </w:r>
    </w:p>
    <w:p>
      <w:pPr>
        <w:pStyle w:val="15"/>
      </w:pPr>
      <w:r>
        <w:rPr>
          <w:rFonts w:hint="eastAsia" w:ascii="方正楷体_GBK" w:eastAsia="方正楷体_GBK"/>
        </w:rPr>
        <w:t>（二）乡镇（街道）。</w:t>
      </w:r>
      <w:r>
        <w:rPr>
          <w:rFonts w:hint="eastAsia"/>
        </w:rPr>
        <w:t>配合县农业农村委加大对贷款贴息政策进行宣传，通知辖区符合条件的家庭农场、农民合作社和农业企业积极申报。确认申报主体是否在辖区内从事农业产业发展，是否联农带农。</w:t>
      </w:r>
    </w:p>
    <w:p>
      <w:pPr>
        <w:pStyle w:val="15"/>
      </w:pPr>
      <w:r>
        <w:rPr>
          <w:rFonts w:hint="eastAsia" w:ascii="方正楷体_GBK" w:eastAsia="方正楷体_GBK"/>
        </w:rPr>
        <w:t>（三）申报单位。</w:t>
      </w:r>
      <w:r>
        <w:rPr>
          <w:rFonts w:hint="eastAsia"/>
        </w:rPr>
        <w:t>申报单位应树立诚信意识，主动按规定到主办银行办理贷款手续和按期偿还贷款本息；不按期偿还贷款的，不享受贴息。同时对申报资料的真实性、准确性负责，一旦发现造假，取消贴息资格，3年内不得享受同等类型政策。</w:t>
      </w:r>
    </w:p>
    <w:p>
      <w:pPr>
        <w:pStyle w:val="15"/>
        <w:rPr>
          <w:rFonts w:ascii="方正黑体_GBK" w:eastAsia="方正黑体_GBK"/>
        </w:rPr>
      </w:pPr>
      <w:r>
        <w:rPr>
          <w:rFonts w:hint="eastAsia" w:ascii="方正黑体_GBK" w:eastAsia="方正黑体_GBK"/>
        </w:rPr>
        <w:t>六、资料提交</w:t>
      </w:r>
    </w:p>
    <w:p>
      <w:pPr>
        <w:pStyle w:val="15"/>
        <w:rPr>
          <w:color w:val="FF0000"/>
        </w:rPr>
      </w:pPr>
      <w:r>
        <w:rPr>
          <w:rFonts w:hint="eastAsia" w:ascii="方正仿宋_GBK"/>
        </w:rPr>
        <w:t>时  间：</w:t>
      </w:r>
      <w:r>
        <w:rPr>
          <w:rFonts w:hint="eastAsia"/>
        </w:rPr>
        <w:t>2024年1月2日－2024年2月2日。</w:t>
      </w:r>
    </w:p>
    <w:p>
      <w:pPr>
        <w:pStyle w:val="15"/>
      </w:pPr>
      <w:r>
        <w:rPr>
          <w:rFonts w:hint="eastAsia"/>
        </w:rPr>
        <w:t>联系人：朱鑫，联系电话：15826319741，地址：北大街47号禹田花园办公楼406计财科，邮箱：1713664136@qq.com。</w:t>
      </w:r>
    </w:p>
    <w:p/>
    <w:p>
      <w:pPr>
        <w:pStyle w:val="2"/>
        <w:ind w:firstLine="632" w:firstLineChars="200"/>
      </w:pPr>
      <w:r>
        <w:rPr>
          <w:rFonts w:hint="eastAsia"/>
        </w:rPr>
        <w:t>附件：1.城口县2024年农业产业贷款贴息资金申请表</w:t>
      </w:r>
    </w:p>
    <w:p>
      <w:pPr>
        <w:pStyle w:val="2"/>
        <w:ind w:firstLine="1580" w:firstLineChars="500"/>
      </w:pPr>
      <w:r>
        <w:rPr>
          <w:rFonts w:hint="eastAsia"/>
        </w:rPr>
        <w:t>2.城口县农业产业贷款情况审核表</w:t>
      </w:r>
    </w:p>
    <w:p>
      <w:pPr>
        <w:pStyle w:val="2"/>
        <w:ind w:firstLine="1580" w:firstLineChars="500"/>
      </w:pPr>
      <w:r>
        <w:rPr>
          <w:rFonts w:hint="eastAsia"/>
        </w:rPr>
        <w:t>3.贷款贴息注意事项</w:t>
      </w:r>
    </w:p>
    <w:p>
      <w:pPr>
        <w:pStyle w:val="2"/>
        <w:keepNext w:val="0"/>
        <w:keepLines w:val="0"/>
        <w:pageBreakBefore w:val="0"/>
        <w:widowControl w:val="0"/>
        <w:kinsoku/>
        <w:wordWrap/>
        <w:overflowPunct/>
        <w:topLinePunct w:val="0"/>
        <w:autoSpaceDE/>
        <w:autoSpaceDN/>
        <w:bidi w:val="0"/>
        <w:adjustRightInd/>
        <w:snapToGrid/>
        <w:spacing w:line="579"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579"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579"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579"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579"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579" w:lineRule="exact"/>
        <w:textAlignment w:val="auto"/>
      </w:pPr>
    </w:p>
    <w:p>
      <w:pPr>
        <w:spacing w:line="579" w:lineRule="exact"/>
        <w:jc w:val="both"/>
        <w:rPr>
          <w:rFonts w:cs="Times New Roman"/>
          <w:szCs w:val="24"/>
        </w:rPr>
      </w:pPr>
      <w:bookmarkStart w:id="0" w:name="_GoBack"/>
      <w:bookmarkEnd w:id="0"/>
    </w:p>
    <w:sectPr>
      <w:footerReference r:id="rId5" w:type="default"/>
      <w:pgSz w:w="11906" w:h="16838"/>
      <w:pgMar w:top="2098" w:right="1474" w:bottom="1984" w:left="1587" w:header="851" w:footer="1361" w:gutter="0"/>
      <w:cols w:space="0" w:num="1"/>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20" w:right="32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left="320" w:right="320"/>
                          </w:pPr>
                          <w:r>
                            <w:t xml:space="preserve">— </w:t>
                          </w:r>
                          <w:r>
                            <w:fldChar w:fldCharType="begin"/>
                          </w:r>
                          <w:r>
                            <w:instrText xml:space="preserve"> PAGE  \* MERGEFORMAT </w:instrText>
                          </w:r>
                          <w:r>
                            <w:fldChar w:fldCharType="separate"/>
                          </w:r>
                          <w:r>
                            <w:t>5</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ind w:left="320" w:right="320"/>
                    </w:pPr>
                    <w:r>
                      <w:t xml:space="preserve">— </w:t>
                    </w:r>
                    <w:r>
                      <w:fldChar w:fldCharType="begin"/>
                    </w:r>
                    <w:r>
                      <w:instrText xml:space="preserve"> PAGE  \* MERGEFORMAT </w:instrText>
                    </w:r>
                    <w:r>
                      <w:fldChar w:fldCharType="separate"/>
                    </w:r>
                    <w:r>
                      <w:t>5</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kZGNhOTA0NzQ3MTBiMTViNjA2YTRlYzI1NTA3YmMifQ=="/>
  </w:docVars>
  <w:rsids>
    <w:rsidRoot w:val="0CEA5722"/>
    <w:rsid w:val="000530F0"/>
    <w:rsid w:val="00071FBC"/>
    <w:rsid w:val="000A4833"/>
    <w:rsid w:val="000D6C98"/>
    <w:rsid w:val="00113CE0"/>
    <w:rsid w:val="001464C4"/>
    <w:rsid w:val="001905D3"/>
    <w:rsid w:val="001E593E"/>
    <w:rsid w:val="00220565"/>
    <w:rsid w:val="0028113E"/>
    <w:rsid w:val="002A3003"/>
    <w:rsid w:val="00300466"/>
    <w:rsid w:val="00314877"/>
    <w:rsid w:val="004C724C"/>
    <w:rsid w:val="004E7865"/>
    <w:rsid w:val="0050098E"/>
    <w:rsid w:val="00522625"/>
    <w:rsid w:val="0061254F"/>
    <w:rsid w:val="00732417"/>
    <w:rsid w:val="00776DBC"/>
    <w:rsid w:val="007C403E"/>
    <w:rsid w:val="007D2BFA"/>
    <w:rsid w:val="0080725E"/>
    <w:rsid w:val="00855EEA"/>
    <w:rsid w:val="00894DE9"/>
    <w:rsid w:val="00907326"/>
    <w:rsid w:val="00A16683"/>
    <w:rsid w:val="00B95521"/>
    <w:rsid w:val="00C068FC"/>
    <w:rsid w:val="00CF73E9"/>
    <w:rsid w:val="00D36537"/>
    <w:rsid w:val="00DB5E2A"/>
    <w:rsid w:val="00DF1922"/>
    <w:rsid w:val="00EC5D09"/>
    <w:rsid w:val="00F02E23"/>
    <w:rsid w:val="00F431B4"/>
    <w:rsid w:val="00F61A08"/>
    <w:rsid w:val="00F908AF"/>
    <w:rsid w:val="032660EA"/>
    <w:rsid w:val="03AC051B"/>
    <w:rsid w:val="04456FC9"/>
    <w:rsid w:val="08EB026E"/>
    <w:rsid w:val="0A391F8F"/>
    <w:rsid w:val="0B945A55"/>
    <w:rsid w:val="0C874708"/>
    <w:rsid w:val="0CEA5722"/>
    <w:rsid w:val="104C51CD"/>
    <w:rsid w:val="14967868"/>
    <w:rsid w:val="158953AB"/>
    <w:rsid w:val="15A47644"/>
    <w:rsid w:val="1709270C"/>
    <w:rsid w:val="189D56A3"/>
    <w:rsid w:val="198A5985"/>
    <w:rsid w:val="1A3372DE"/>
    <w:rsid w:val="1A760935"/>
    <w:rsid w:val="1B303147"/>
    <w:rsid w:val="1EB71B6E"/>
    <w:rsid w:val="1EC12977"/>
    <w:rsid w:val="1EE9565E"/>
    <w:rsid w:val="21CE6BFA"/>
    <w:rsid w:val="2A3C26FA"/>
    <w:rsid w:val="2AAB487D"/>
    <w:rsid w:val="2D777631"/>
    <w:rsid w:val="2E7307D1"/>
    <w:rsid w:val="2F8825E1"/>
    <w:rsid w:val="308F5E84"/>
    <w:rsid w:val="31E11C11"/>
    <w:rsid w:val="322C0575"/>
    <w:rsid w:val="32380B50"/>
    <w:rsid w:val="324127AF"/>
    <w:rsid w:val="334665C6"/>
    <w:rsid w:val="335F21B9"/>
    <w:rsid w:val="33704071"/>
    <w:rsid w:val="35831E6E"/>
    <w:rsid w:val="39960D47"/>
    <w:rsid w:val="3A021941"/>
    <w:rsid w:val="3BDC3818"/>
    <w:rsid w:val="3C3C1D3A"/>
    <w:rsid w:val="3CC26FCF"/>
    <w:rsid w:val="40B1256D"/>
    <w:rsid w:val="414A5EE4"/>
    <w:rsid w:val="41AC096A"/>
    <w:rsid w:val="43E65C18"/>
    <w:rsid w:val="44413E86"/>
    <w:rsid w:val="45515588"/>
    <w:rsid w:val="45996DA3"/>
    <w:rsid w:val="46E34063"/>
    <w:rsid w:val="4B093949"/>
    <w:rsid w:val="4B1A04D1"/>
    <w:rsid w:val="4F45052E"/>
    <w:rsid w:val="4FB92CBB"/>
    <w:rsid w:val="502E74EE"/>
    <w:rsid w:val="517270B7"/>
    <w:rsid w:val="5559525C"/>
    <w:rsid w:val="56332FB1"/>
    <w:rsid w:val="585C63DE"/>
    <w:rsid w:val="59C7413C"/>
    <w:rsid w:val="5A953307"/>
    <w:rsid w:val="5B284129"/>
    <w:rsid w:val="5B5531EB"/>
    <w:rsid w:val="5CAB2A21"/>
    <w:rsid w:val="5D3E2B6B"/>
    <w:rsid w:val="5E050339"/>
    <w:rsid w:val="5E2B2DC0"/>
    <w:rsid w:val="61825751"/>
    <w:rsid w:val="62F04C73"/>
    <w:rsid w:val="635E5901"/>
    <w:rsid w:val="648C7C5B"/>
    <w:rsid w:val="65956D31"/>
    <w:rsid w:val="6869718B"/>
    <w:rsid w:val="68D16C3C"/>
    <w:rsid w:val="6B0074AE"/>
    <w:rsid w:val="6B7A7AE3"/>
    <w:rsid w:val="6BB2443E"/>
    <w:rsid w:val="6C7D1EB2"/>
    <w:rsid w:val="6CF01415"/>
    <w:rsid w:val="6CF413E2"/>
    <w:rsid w:val="6D31488D"/>
    <w:rsid w:val="6D836242"/>
    <w:rsid w:val="6F4B22C7"/>
    <w:rsid w:val="701B242D"/>
    <w:rsid w:val="70BB4870"/>
    <w:rsid w:val="70EC09C2"/>
    <w:rsid w:val="71247F29"/>
    <w:rsid w:val="72265528"/>
    <w:rsid w:val="724E11E9"/>
    <w:rsid w:val="72D439DC"/>
    <w:rsid w:val="73CF3701"/>
    <w:rsid w:val="73E265A6"/>
    <w:rsid w:val="76B274DC"/>
    <w:rsid w:val="76B85D14"/>
    <w:rsid w:val="795D6D23"/>
    <w:rsid w:val="7B377ABB"/>
    <w:rsid w:val="7C26563F"/>
    <w:rsid w:val="7DC7277A"/>
    <w:rsid w:val="7E9957F7"/>
    <w:rsid w:val="7FAB1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560" w:lineRule="exact"/>
    </w:pPr>
    <w:rPr>
      <w:rFonts w:ascii="Times New Roman" w:hAnsi="Times New Roman" w:eastAsia="方正仿宋_GBK" w:cs="方正仿宋_GBK"/>
      <w:kern w:val="2"/>
      <w:sz w:val="32"/>
      <w:szCs w:val="32"/>
      <w:lang w:val="en-US" w:eastAsia="zh-CN" w:bidi="ar-SA"/>
    </w:rPr>
  </w:style>
  <w:style w:type="paragraph" w:styleId="3">
    <w:name w:val="heading 1"/>
    <w:basedOn w:val="1"/>
    <w:next w:val="1"/>
    <w:autoRedefine/>
    <w:qFormat/>
    <w:uiPriority w:val="0"/>
    <w:pPr>
      <w:keepNext/>
      <w:keepLines/>
      <w:ind w:firstLine="872" w:firstLineChars="200"/>
      <w:outlineLvl w:val="0"/>
    </w:pPr>
    <w:rPr>
      <w:rFonts w:eastAsia="方正黑体_GBK"/>
      <w:kern w:val="44"/>
    </w:rPr>
  </w:style>
  <w:style w:type="paragraph" w:styleId="4">
    <w:name w:val="heading 2"/>
    <w:basedOn w:val="1"/>
    <w:next w:val="1"/>
    <w:semiHidden/>
    <w:unhideWhenUsed/>
    <w:qFormat/>
    <w:uiPriority w:val="0"/>
    <w:pPr>
      <w:keepNext/>
      <w:keepLines/>
      <w:outlineLvl w:val="1"/>
    </w:pPr>
    <w:rPr>
      <w:rFonts w:ascii="Arial" w:hAnsi="Arial" w:eastAsia="方正楷体_GBK"/>
    </w:rPr>
  </w:style>
  <w:style w:type="paragraph" w:styleId="5">
    <w:name w:val="heading 3"/>
    <w:basedOn w:val="1"/>
    <w:next w:val="1"/>
    <w:semiHidden/>
    <w:unhideWhenUsed/>
    <w:qFormat/>
    <w:uiPriority w:val="0"/>
    <w:pPr>
      <w:keepNext/>
      <w:keepLines/>
      <w:ind w:firstLine="872" w:firstLineChars="200"/>
      <w:outlineLvl w:val="2"/>
    </w:pPr>
  </w:style>
  <w:style w:type="character" w:default="1" w:styleId="11">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6">
    <w:name w:val="Balloon Text"/>
    <w:basedOn w:val="1"/>
    <w:link w:val="23"/>
    <w:autoRedefine/>
    <w:qFormat/>
    <w:uiPriority w:val="0"/>
    <w:pPr>
      <w:spacing w:line="240" w:lineRule="auto"/>
    </w:pPr>
    <w:rPr>
      <w:sz w:val="18"/>
      <w:szCs w:val="18"/>
    </w:rPr>
  </w:style>
  <w:style w:type="paragraph" w:styleId="7">
    <w:name w:val="footer"/>
    <w:basedOn w:val="1"/>
    <w:autoRedefine/>
    <w:qFormat/>
    <w:uiPriority w:val="0"/>
    <w:pPr>
      <w:tabs>
        <w:tab w:val="center" w:pos="4153"/>
        <w:tab w:val="right" w:pos="8306"/>
      </w:tabs>
      <w:snapToGrid w:val="0"/>
      <w:ind w:left="316" w:leftChars="100" w:right="316" w:rightChars="100"/>
      <w:jc w:val="right"/>
    </w:pPr>
    <w:rPr>
      <w:rFonts w:ascii="宋体" w:hAnsi="宋体" w:eastAsia="宋体"/>
      <w:sz w:val="2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autoRedefine/>
    <w:qFormat/>
    <w:uiPriority w:val="0"/>
    <w:rPr>
      <w:color w:val="0563C1" w:themeColor="hyperlink"/>
      <w:u w:val="single"/>
      <w14:textFill>
        <w14:solidFill>
          <w14:schemeClr w14:val="hlink"/>
        </w14:solidFill>
      </w14:textFill>
    </w:rPr>
  </w:style>
  <w:style w:type="paragraph" w:customStyle="1" w:styleId="13">
    <w:name w:val="左页脚"/>
    <w:basedOn w:val="7"/>
    <w:autoRedefine/>
    <w:qFormat/>
    <w:uiPriority w:val="0"/>
    <w:pPr>
      <w:jc w:val="left"/>
    </w:pPr>
  </w:style>
  <w:style w:type="paragraph" w:customStyle="1" w:styleId="14">
    <w:name w:val="右页脚"/>
    <w:basedOn w:val="13"/>
    <w:autoRedefine/>
    <w:qFormat/>
    <w:uiPriority w:val="0"/>
  </w:style>
  <w:style w:type="paragraph" w:customStyle="1" w:styleId="15">
    <w:name w:val="公文正文"/>
    <w:basedOn w:val="1"/>
    <w:autoRedefine/>
    <w:qFormat/>
    <w:uiPriority w:val="0"/>
    <w:pPr>
      <w:spacing w:line="579" w:lineRule="exact"/>
      <w:ind w:firstLine="632" w:firstLineChars="200"/>
      <w:jc w:val="both"/>
    </w:pPr>
  </w:style>
  <w:style w:type="paragraph" w:customStyle="1" w:styleId="16">
    <w:name w:val="公文标题"/>
    <w:basedOn w:val="15"/>
    <w:next w:val="15"/>
    <w:autoRedefine/>
    <w:qFormat/>
    <w:uiPriority w:val="0"/>
    <w:pPr>
      <w:ind w:firstLine="0" w:firstLineChars="0"/>
      <w:jc w:val="center"/>
    </w:pPr>
    <w:rPr>
      <w:rFonts w:eastAsia="方正小标宋_GBK"/>
      <w:sz w:val="44"/>
      <w:szCs w:val="44"/>
    </w:rPr>
  </w:style>
  <w:style w:type="paragraph" w:customStyle="1" w:styleId="17">
    <w:name w:val="公文一级标题"/>
    <w:basedOn w:val="15"/>
    <w:next w:val="15"/>
    <w:link w:val="20"/>
    <w:autoRedefine/>
    <w:qFormat/>
    <w:uiPriority w:val="0"/>
    <w:rPr>
      <w:rFonts w:eastAsia="方正黑体_GBK"/>
    </w:rPr>
  </w:style>
  <w:style w:type="paragraph" w:customStyle="1" w:styleId="18">
    <w:name w:val="公文二级标题"/>
    <w:basedOn w:val="15"/>
    <w:next w:val="15"/>
    <w:link w:val="22"/>
    <w:autoRedefine/>
    <w:qFormat/>
    <w:uiPriority w:val="0"/>
    <w:rPr>
      <w:rFonts w:eastAsia="方正楷体_GBK"/>
    </w:rPr>
  </w:style>
  <w:style w:type="paragraph" w:customStyle="1" w:styleId="19">
    <w:name w:val="公文三级标题"/>
    <w:basedOn w:val="15"/>
    <w:next w:val="15"/>
    <w:link w:val="21"/>
    <w:autoRedefine/>
    <w:qFormat/>
    <w:uiPriority w:val="0"/>
    <w:rPr>
      <w:b/>
      <w:bCs/>
    </w:rPr>
  </w:style>
  <w:style w:type="character" w:customStyle="1" w:styleId="20">
    <w:name w:val="公文一级标题 Char"/>
    <w:link w:val="17"/>
    <w:autoRedefine/>
    <w:qFormat/>
    <w:uiPriority w:val="0"/>
    <w:rPr>
      <w:rFonts w:ascii="Times New Roman" w:hAnsi="Times New Roman" w:eastAsia="方正黑体_GBK"/>
    </w:rPr>
  </w:style>
  <w:style w:type="character" w:customStyle="1" w:styleId="21">
    <w:name w:val="公文三级标题 Char"/>
    <w:link w:val="19"/>
    <w:autoRedefine/>
    <w:qFormat/>
    <w:uiPriority w:val="0"/>
    <w:rPr>
      <w:rFonts w:ascii="Times New Roman" w:hAnsi="Times New Roman" w:eastAsia="方正仿宋_GBK" w:cs="Times New Roman"/>
      <w:b/>
      <w:bCs/>
    </w:rPr>
  </w:style>
  <w:style w:type="character" w:customStyle="1" w:styleId="22">
    <w:name w:val="公文二级标题 Char"/>
    <w:link w:val="18"/>
    <w:autoRedefine/>
    <w:qFormat/>
    <w:uiPriority w:val="0"/>
    <w:rPr>
      <w:rFonts w:ascii="Times New Roman" w:hAnsi="Times New Roman" w:eastAsia="方正楷体_GBK"/>
    </w:rPr>
  </w:style>
  <w:style w:type="character" w:customStyle="1" w:styleId="23">
    <w:name w:val="批注框文本 Char"/>
    <w:basedOn w:val="11"/>
    <w:link w:val="6"/>
    <w:autoRedefine/>
    <w:qFormat/>
    <w:uiPriority w:val="0"/>
    <w:rPr>
      <w:rFonts w:ascii="Times New Roman" w:hAnsi="Times New Roman" w:eastAsia="方正仿宋_GBK" w:cs="方正仿宋_GBK"/>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城口县农业农村委员会</Company>
  <Pages>1</Pages>
  <Words>319</Words>
  <Characters>1821</Characters>
  <Lines>15</Lines>
  <Paragraphs>4</Paragraphs>
  <TotalTime>6</TotalTime>
  <ScaleCrop>false</ScaleCrop>
  <LinksUpToDate>false</LinksUpToDate>
  <CharactersWithSpaces>2136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2022-06-22T03:15:00Z</dcterms:created>
  <dc:creator>zauspher</dc:creator>
  <cp:lastModifiedBy>Administrator</cp:lastModifiedBy>
  <cp:lastPrinted>2024-01-02T08:42:00Z</cp:lastPrinted>
  <dcterms:modified xsi:type="dcterms:W3CDTF">2024-01-03T03:25:30Z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E5B024061CD7488E93B5F5DD5EB6EE3D_13</vt:lpwstr>
  </property>
</Properties>
</file>