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A1933">
      <w:pPr>
        <w:spacing w:line="579" w:lineRule="exact"/>
        <w:ind w:firstLine="0" w:firstLineChars="0"/>
        <w:rPr>
          <w:rFonts w:ascii="方正仿宋_GBK" w:hAnsi="Times New Roman" w:eastAsia="方正仿宋_GBK" w:cs="Times New Roman"/>
          <w:kern w:val="2"/>
          <w:sz w:val="32"/>
          <w:szCs w:val="32"/>
        </w:rPr>
      </w:pPr>
    </w:p>
    <w:p w14:paraId="5356AFA3">
      <w:pPr>
        <w:spacing w:line="579" w:lineRule="exact"/>
        <w:ind w:firstLine="0" w:firstLineChars="0"/>
        <w:rPr>
          <w:rFonts w:ascii="方正仿宋_GBK" w:hAnsi="Times New Roman" w:eastAsia="方正仿宋_GBK" w:cs="Times New Roman"/>
          <w:kern w:val="2"/>
          <w:sz w:val="32"/>
          <w:szCs w:val="32"/>
        </w:rPr>
      </w:pPr>
    </w:p>
    <w:p w14:paraId="54542945">
      <w:pPr>
        <w:spacing w:line="579" w:lineRule="exact"/>
        <w:ind w:firstLine="0" w:firstLineChars="0"/>
        <w:rPr>
          <w:rFonts w:ascii="方正仿宋_GBK" w:hAnsi="Times New Roman" w:eastAsia="方正仿宋_GBK" w:cs="Times New Roman"/>
          <w:kern w:val="2"/>
          <w:sz w:val="32"/>
          <w:szCs w:val="32"/>
        </w:rPr>
      </w:pPr>
    </w:p>
    <w:p w14:paraId="50C6C0F1">
      <w:pPr>
        <w:spacing w:line="1600" w:lineRule="exact"/>
        <w:ind w:firstLine="0" w:firstLineChars="0"/>
        <w:jc w:val="distribute"/>
        <w:rPr>
          <w:rFonts w:ascii="Times New Roman" w:hAnsi="Times New Roman" w:eastAsia="方正小标宋_GBK" w:cs="Times New Roman"/>
          <w:b/>
          <w:bCs/>
          <w:color w:val="FF0000"/>
          <w:w w:val="60"/>
          <w:kern w:val="0"/>
          <w:sz w:val="110"/>
          <w:szCs w:val="32"/>
        </w:rPr>
      </w:pPr>
      <w:r>
        <w:rPr>
          <w:rFonts w:hint="eastAsia" w:ascii="Times New Roman" w:hAnsi="Times New Roman" w:eastAsia="方正小标宋_GBK" w:cs="Times New Roman"/>
          <w:b/>
          <w:bCs/>
          <w:color w:val="FF0000"/>
          <w:w w:val="60"/>
          <w:kern w:val="0"/>
          <w:sz w:val="110"/>
          <w:szCs w:val="32"/>
        </w:rPr>
        <w:t>城口县农业农村委员会文件</w:t>
      </w:r>
    </w:p>
    <w:p w14:paraId="685FFC8D">
      <w:pPr>
        <w:keepNext w:val="0"/>
        <w:keepLines w:val="0"/>
        <w:pageBreakBefore w:val="0"/>
        <w:widowControl w:val="0"/>
        <w:kinsoku/>
        <w:wordWrap/>
        <w:overflowPunct/>
        <w:topLinePunct w:val="0"/>
        <w:autoSpaceDE/>
        <w:autoSpaceDN/>
        <w:bidi w:val="0"/>
        <w:adjustRightInd/>
        <w:snapToGrid/>
        <w:spacing w:line="552" w:lineRule="exact"/>
        <w:ind w:firstLine="0" w:firstLineChars="0"/>
        <w:jc w:val="center"/>
        <w:textAlignment w:val="auto"/>
        <w:rPr>
          <w:rFonts w:ascii="Times New Roman" w:hAnsi="Times New Roman" w:eastAsia="方正仿宋_GBK" w:cs="Times New Roman"/>
          <w:kern w:val="2"/>
          <w:sz w:val="32"/>
          <w:szCs w:val="32"/>
        </w:rPr>
      </w:pPr>
    </w:p>
    <w:p w14:paraId="5501B4A9">
      <w:pPr>
        <w:keepNext w:val="0"/>
        <w:keepLines w:val="0"/>
        <w:pageBreakBefore w:val="0"/>
        <w:widowControl w:val="0"/>
        <w:kinsoku/>
        <w:wordWrap/>
        <w:overflowPunct/>
        <w:topLinePunct w:val="0"/>
        <w:autoSpaceDE/>
        <w:autoSpaceDN/>
        <w:bidi w:val="0"/>
        <w:adjustRightInd/>
        <w:snapToGrid/>
        <w:spacing w:line="552" w:lineRule="exact"/>
        <w:ind w:firstLine="0" w:firstLineChars="0"/>
        <w:jc w:val="center"/>
        <w:textAlignment w:val="auto"/>
        <w:rPr>
          <w:rFonts w:ascii="Times New Roman" w:hAnsi="Times New Roman" w:eastAsia="方正楷体_GBK" w:cs="Times New Roman"/>
          <w:kern w:val="0"/>
          <w:sz w:val="32"/>
          <w:szCs w:val="32"/>
        </w:rPr>
      </w:pPr>
      <w:r>
        <w:rPr>
          <w:rFonts w:hint="eastAsia" w:ascii="Times New Roman" w:hAnsi="Times New Roman" w:eastAsia="方正仿宋_GBK" w:cs="Times New Roman"/>
          <w:kern w:val="0"/>
          <w:sz w:val="32"/>
          <w:szCs w:val="32"/>
        </w:rPr>
        <w:t>城农发〔</w:t>
      </w:r>
      <w:r>
        <w:rPr>
          <w:rFonts w:hint="eastAsia" w:ascii="Times New Roman" w:hAnsi="Times New Roman" w:eastAsia="方正仿宋_GBK" w:cs="Times New Roman"/>
          <w:kern w:val="0"/>
          <w:sz w:val="32"/>
          <w:szCs w:val="32"/>
          <w:lang w:val="en-US" w:eastAsia="zh-CN"/>
        </w:rPr>
        <w:t>2025</w:t>
      </w:r>
      <w:r>
        <w:rPr>
          <w:rFonts w:hint="eastAsia" w:ascii="Times New Roman" w:hAnsi="Times New Roman" w:eastAsia="方正仿宋_GBK" w:cs="Times New Roman"/>
          <w:kern w:val="0"/>
          <w:sz w:val="32"/>
          <w:szCs w:val="32"/>
        </w:rPr>
        <w:t>〕</w:t>
      </w:r>
      <w:r>
        <w:rPr>
          <w:rFonts w:hint="eastAsia" w:ascii="Times New Roman" w:hAnsi="Times New Roman" w:cs="Times New Roman"/>
          <w:kern w:val="0"/>
          <w:sz w:val="32"/>
          <w:szCs w:val="32"/>
          <w:lang w:val="en-US" w:eastAsia="zh-CN"/>
        </w:rPr>
        <w:t>35</w:t>
      </w:r>
      <w:r>
        <w:rPr>
          <w:rFonts w:hint="eastAsia" w:ascii="Times New Roman" w:hAnsi="Times New Roman" w:eastAsia="方正仿宋_GBK" w:cs="Times New Roman"/>
          <w:kern w:val="0"/>
          <w:sz w:val="32"/>
          <w:szCs w:val="32"/>
        </w:rPr>
        <w:t>号</w:t>
      </w:r>
    </w:p>
    <w:p w14:paraId="772D9C98">
      <w:pPr>
        <w:keepNext w:val="0"/>
        <w:keepLines w:val="0"/>
        <w:pageBreakBefore w:val="0"/>
        <w:widowControl w:val="0"/>
        <w:kinsoku/>
        <w:wordWrap/>
        <w:overflowPunct/>
        <w:topLinePunct w:val="0"/>
        <w:autoSpaceDE/>
        <w:autoSpaceDN/>
        <w:bidi w:val="0"/>
        <w:adjustRightInd/>
        <w:snapToGrid/>
        <w:spacing w:line="552" w:lineRule="exact"/>
        <w:ind w:firstLine="0" w:firstLineChars="0"/>
        <w:jc w:val="center"/>
        <w:textAlignment w:val="auto"/>
        <w:rPr>
          <w:rFonts w:hint="eastAsia" w:ascii="方正小标宋_GBK" w:hAnsi="方正小标宋_GBK" w:eastAsia="方正小标宋_GBK" w:cs="方正小标宋_GBK"/>
          <w:kern w:val="0"/>
          <w:sz w:val="44"/>
          <w:szCs w:val="44"/>
          <w:lang w:val="en-US" w:eastAsia="zh-CN"/>
        </w:rPr>
      </w:pPr>
      <w:r>
        <w:rPr>
          <w:rFonts w:ascii="Times New Roman" w:hAnsi="Times New Roman" w:eastAsia="方正仿宋_GBK" w:cs="Times New Roman"/>
          <w:kern w:val="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101600</wp:posOffset>
                </wp:positionV>
                <wp:extent cx="5624830" cy="0"/>
                <wp:effectExtent l="0" t="13970" r="13970" b="24130"/>
                <wp:wrapNone/>
                <wp:docPr id="3" name="直接连接符 3"/>
                <wp:cNvGraphicFramePr/>
                <a:graphic xmlns:a="http://schemas.openxmlformats.org/drawingml/2006/main">
                  <a:graphicData uri="http://schemas.microsoft.com/office/word/2010/wordprocessingShape">
                    <wps:wsp>
                      <wps:cNvCnPr/>
                      <wps:spPr>
                        <a:xfrm>
                          <a:off x="0" y="0"/>
                          <a:ext cx="562483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8pt;height:0pt;width:442.9pt;z-index:251660288;mso-width-relative:page;mso-height-relative:page;" filled="f" stroked="t" coordsize="21600,21600" o:gfxdata="UEsDBAoAAAAAAIdO4kAAAAAAAAAAAAAAAAAEAAAAZHJzL1BLAwQUAAAACACHTuJA2/Z35tMAAAAG&#10;AQAADwAAAGRycy9kb3ducmV2LnhtbE2PQUvDQBCF74L/YRnBm920YAkxm6KiN0GM1V6n2TEbmp0N&#10;2W2a/ntHPOhpmPeGN98rN7Pv1URj7AIbWC4yUMRNsB23Brbvzzc5qJiQLfaBycCZImyqy4sSCxtO&#10;/EZTnVolIRwLNOBSGgqtY+PIY1yEgVi8rzB6TLKOrbYjniTc93qVZWvtsWP54HCgR0fNoT56A/Nn&#10;fu92L+nhKXy8usO8q/20OhtzfbXM7kAlmtPfMfzgCzpUwrQPR7ZR9QakSBJ1LVPcPL+VIvtfQVel&#10;/o9ffQNQSwMEFAAAAAgAh07iQN4nUfP9AQAA8wMAAA4AAABkcnMvZTJvRG9jLnhtbK1TS44TMRDd&#10;I3EHy3vS+ZAhaqUziwlhg2Ak4AAV291tyT+5nHRyCS6AxA5WLNlzG4ZjUO7OhGHYZEEv3GVX1at6&#10;z+Xl9cEatlcRtXcVn4zGnCknvNSuqfiH95tnC84wgZNgvFMVPyrk16unT5ZdKNXUt95IFRmBOCy7&#10;UPE2pVAWBYpWWcCRD8qRs/bRQqJtbAoZoSN0a4rpeHxVdD7KEL1QiHS6Hpz8hBgvAfR1rYVae7Gz&#10;yqUBNSoDiShhqwPyVd9tXSuR3tY1qsRMxYlp6lcqQvY2r8VqCWUTIbRanFqAS1p4xMmCdlT0DLWG&#10;BGwX9T9QVovo0ddpJLwtBiK9IsRiMn6kzbsWguq5kNQYzqLj/4MVb/a3kWlZ8RlnDixd+N2n7z8/&#10;fvn14zOtd9++slkWqQtYUuyNu42nHYbbmBkf6mjzn7iwQy/s8SysOiQm6HB+NX2+mJHm4t5X/EkM&#10;EdMr5S3LRsWNdpkzlLB/jYmKUeh9SD42jnUVny7mL+aEBzSBNd08mTYQC3RNn4zeaLnRxuQUjM32&#10;xkS2B5qCzWZMX+ZEwH+F5SprwHaI613DfLQK5EsnWToG0sfRs+C5B6skZ0bRK8oWAUKZQJtLIqm0&#10;cTlB9TN6IppFHmTN1tbLI93NLkTdtCTMpO85e2gW+u5Pc5uH7eGe7IdvdfU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2/Z35tMAAAAGAQAADwAAAAAAAAABACAAAAAiAAAAZHJzL2Rvd25yZXYueG1s&#10;UEsBAhQAFAAAAAgAh07iQN4nUfP9AQAA8wMAAA4AAAAAAAAAAQAgAAAAIgEAAGRycy9lMm9Eb2Mu&#10;eG1sUEsFBgAAAAAGAAYAWQEAAJEFAAAAAA==&#10;">
                <v:fill on="f" focussize="0,0"/>
                <v:stroke weight="2.25pt" color="#FF0000" joinstyle="round"/>
                <v:imagedata o:title=""/>
                <o:lock v:ext="edit" aspectratio="f"/>
              </v:line>
            </w:pict>
          </mc:Fallback>
        </mc:AlternateContent>
      </w:r>
    </w:p>
    <w:p w14:paraId="6B9D9DD0">
      <w:pPr>
        <w:pStyle w:val="14"/>
        <w:bidi w:val="0"/>
        <w:rPr>
          <w:rFonts w:hint="eastAsia"/>
        </w:rPr>
      </w:pPr>
      <w:r>
        <w:rPr>
          <w:rFonts w:hint="eastAsia"/>
        </w:rPr>
        <w:t>城口县农业农村委员会</w:t>
      </w:r>
    </w:p>
    <w:p w14:paraId="3A5B16E5">
      <w:pPr>
        <w:pStyle w:val="14"/>
        <w:bidi w:val="0"/>
        <w:rPr>
          <w:rFonts w:hint="eastAsia"/>
        </w:rPr>
      </w:pPr>
      <w:r>
        <w:rPr>
          <w:rFonts w:hint="eastAsia"/>
        </w:rPr>
        <w:t>关于印发《城口县农业产业化县级龙头企业</w:t>
      </w:r>
    </w:p>
    <w:p w14:paraId="471C7232">
      <w:pPr>
        <w:pStyle w:val="14"/>
        <w:bidi w:val="0"/>
        <w:rPr>
          <w:rFonts w:hint="eastAsia"/>
        </w:rPr>
      </w:pPr>
      <w:r>
        <w:rPr>
          <w:rFonts w:hint="eastAsia"/>
        </w:rPr>
        <w:t>认定和运行监测管理办法》的通知</w:t>
      </w:r>
    </w:p>
    <w:p w14:paraId="058AE346">
      <w:pPr>
        <w:rPr>
          <w:rFonts w:hint="eastAsia"/>
        </w:rPr>
      </w:pPr>
    </w:p>
    <w:p w14:paraId="6FEADF9F">
      <w:pPr>
        <w:ind w:left="0" w:leftChars="0" w:firstLine="0" w:firstLineChars="0"/>
        <w:rPr>
          <w:rFonts w:hint="eastAsia"/>
        </w:rPr>
      </w:pPr>
      <w:r>
        <w:rPr>
          <w:rFonts w:hint="eastAsia"/>
        </w:rPr>
        <w:t>各乡镇人民政府、街道办事处：</w:t>
      </w:r>
    </w:p>
    <w:p w14:paraId="10CBFE96">
      <w:pPr>
        <w:rPr>
          <w:rFonts w:hint="eastAsia"/>
        </w:rPr>
      </w:pPr>
      <w:r>
        <w:rPr>
          <w:rFonts w:hint="eastAsia"/>
        </w:rPr>
        <w:t>《城口县农业产业化县级龙头企业认定和运行监测管理办法》已经县委农业农村工委（县农业农村委、县乡村振兴局）2025年第5次会议审议通过。现予印发，请遵照执行。</w:t>
      </w:r>
    </w:p>
    <w:p w14:paraId="537D9139">
      <w:pPr>
        <w:rPr>
          <w:rFonts w:hint="eastAsia"/>
        </w:rPr>
      </w:pPr>
    </w:p>
    <w:p w14:paraId="6C45E036">
      <w:pPr>
        <w:rPr>
          <w:rFonts w:hint="eastAsia"/>
        </w:rPr>
      </w:pPr>
      <w:r>
        <w:rPr>
          <w:rFonts w:hint="eastAsia"/>
        </w:rPr>
        <w:t xml:space="preserve">                        城口县农业农村委员会</w:t>
      </w:r>
    </w:p>
    <w:p w14:paraId="4C251368">
      <w:pPr>
        <w:rPr>
          <w:rFonts w:hint="eastAsia"/>
        </w:rPr>
      </w:pPr>
      <w:r>
        <w:rPr>
          <w:rFonts w:hint="eastAsia"/>
        </w:rPr>
        <w:t xml:space="preserve">                          2025年4月</w:t>
      </w:r>
      <w:r>
        <w:rPr>
          <w:rFonts w:hint="eastAsia"/>
          <w:lang w:val="en-US" w:eastAsia="zh-CN"/>
        </w:rPr>
        <w:t>30</w:t>
      </w:r>
      <w:r>
        <w:rPr>
          <w:rFonts w:hint="eastAsia"/>
        </w:rPr>
        <w:t>日</w:t>
      </w:r>
    </w:p>
    <w:p w14:paraId="452BD922">
      <w:pPr>
        <w:rPr>
          <w:rFonts w:hint="eastAsia"/>
        </w:rPr>
      </w:pPr>
    </w:p>
    <w:p w14:paraId="3EA87848">
      <w:pPr>
        <w:rPr>
          <w:rFonts w:hint="eastAsia"/>
        </w:rPr>
        <w:sectPr>
          <w:footerReference r:id="rId5" w:type="default"/>
          <w:pgSz w:w="11910" w:h="16840"/>
          <w:pgMar w:top="2098" w:right="1474" w:bottom="1984" w:left="1587" w:header="850" w:footer="1361" w:gutter="0"/>
          <w:pgNumType w:fmt="decimal"/>
          <w:cols w:space="0" w:num="1"/>
          <w:rtlGutter w:val="0"/>
          <w:docGrid w:linePitch="579" w:charSpace="0"/>
        </w:sectPr>
      </w:pPr>
    </w:p>
    <w:p w14:paraId="0E7EECE7">
      <w:pPr>
        <w:pStyle w:val="14"/>
        <w:bidi w:val="0"/>
        <w:rPr>
          <w:rFonts w:hint="eastAsia"/>
        </w:rPr>
      </w:pPr>
    </w:p>
    <w:p w14:paraId="397D7781">
      <w:pPr>
        <w:pStyle w:val="14"/>
        <w:bidi w:val="0"/>
        <w:rPr>
          <w:rFonts w:hint="eastAsia"/>
        </w:rPr>
      </w:pPr>
      <w:r>
        <w:rPr>
          <w:rFonts w:hint="eastAsia"/>
        </w:rPr>
        <w:t>城口县农业产业化县级龙头企业</w:t>
      </w:r>
    </w:p>
    <w:p w14:paraId="3AEE5862">
      <w:pPr>
        <w:pStyle w:val="14"/>
        <w:bidi w:val="0"/>
        <w:rPr>
          <w:rFonts w:hint="eastAsia"/>
        </w:rPr>
      </w:pPr>
      <w:r>
        <w:rPr>
          <w:rFonts w:hint="eastAsia"/>
        </w:rPr>
        <w:t>认定和运行监测管理办法</w:t>
      </w:r>
    </w:p>
    <w:p w14:paraId="552351AD">
      <w:pPr>
        <w:rPr>
          <w:rFonts w:hint="eastAsia"/>
        </w:rPr>
      </w:pPr>
    </w:p>
    <w:p w14:paraId="1B8E4566">
      <w:pPr>
        <w:pStyle w:val="20"/>
        <w:bidi w:val="0"/>
        <w:rPr>
          <w:rFonts w:hint="eastAsia" w:ascii="方正黑体_GBK" w:hAnsi="方正黑体_GBK" w:eastAsia="方正黑体_GBK" w:cs="方正黑体_GBK"/>
        </w:rPr>
      </w:pPr>
      <w:r>
        <w:rPr>
          <w:rFonts w:hint="eastAsia" w:ascii="方正黑体_GBK" w:hAnsi="方正黑体_GBK" w:eastAsia="方正黑体_GBK" w:cs="方正黑体_GBK"/>
        </w:rPr>
        <w:t>第一章</w:t>
      </w:r>
      <w:r>
        <w:rPr>
          <w:rFonts w:hint="eastAsia" w:ascii="方正黑体_GBK" w:hAnsi="方正黑体_GBK" w:eastAsia="方正黑体_GBK" w:cs="方正黑体_GBK"/>
          <w:lang w:val="en-US" w:eastAsia="zh-CN"/>
        </w:rPr>
        <w:t xml:space="preserve"> </w:t>
      </w:r>
      <w:r>
        <w:rPr>
          <w:rFonts w:hint="eastAsia" w:ascii="方正黑体_GBK" w:hAnsi="方正黑体_GBK" w:eastAsia="方正黑体_GBK" w:cs="方正黑体_GBK"/>
        </w:rPr>
        <w:t xml:space="preserve"> 总  则</w:t>
      </w:r>
    </w:p>
    <w:p w14:paraId="37F21E66">
      <w:pPr>
        <w:rPr>
          <w:rFonts w:hint="eastAsia"/>
        </w:rPr>
      </w:pPr>
      <w:r>
        <w:rPr>
          <w:rStyle w:val="18"/>
          <w:rFonts w:hint="eastAsia"/>
        </w:rPr>
        <w:t>第一条</w:t>
      </w:r>
      <w:r>
        <w:rPr>
          <w:rFonts w:hint="eastAsia"/>
        </w:rPr>
        <w:t xml:space="preserve">  为进一步规范农业产业化县级龙头企业（以下简称“县级龙头企业”）的认定和运行监测工作，促进农业龙头企业高质量发展，根据农业农村部等8部委印发的《农业产业化国家重点龙头企业认定和运行监测管理办法》（农经发〔2018〕1号）和重庆市农业农村委员会印发的《重庆市农业产业化市级龙头企业认定和运行监测管理办法》（渝农发〔2019〕159号），结合我县实际，制定本办法。</w:t>
      </w:r>
    </w:p>
    <w:p w14:paraId="25E0A243">
      <w:pPr>
        <w:rPr>
          <w:rFonts w:hint="eastAsia"/>
        </w:rPr>
      </w:pPr>
      <w:r>
        <w:rPr>
          <w:rStyle w:val="18"/>
          <w:rFonts w:hint="eastAsia"/>
        </w:rPr>
        <w:t>第二条</w:t>
      </w:r>
      <w:r>
        <w:rPr>
          <w:rFonts w:hint="eastAsia"/>
        </w:rPr>
        <w:t xml:space="preserve">  本办法所指城口县农业产业化龙头企业，是指在我县行政区域范围内依法设立、具有独立法人资格，以农产品生产、加工或流通为主业，通过合同、合作、股份合作等利益联结方式直接与农户紧密联系，使农产品生产、加工、销售有机结合、相互促进，在规模和经营指标上达到规定标准并经县农业农村委认定的农业企业。</w:t>
      </w:r>
    </w:p>
    <w:p w14:paraId="27D28B73">
      <w:pPr>
        <w:rPr>
          <w:rFonts w:hint="eastAsia"/>
        </w:rPr>
      </w:pPr>
      <w:r>
        <w:rPr>
          <w:rStyle w:val="18"/>
          <w:rFonts w:hint="eastAsia"/>
        </w:rPr>
        <w:t>第三条</w:t>
      </w:r>
      <w:r>
        <w:rPr>
          <w:rFonts w:hint="eastAsia"/>
        </w:rPr>
        <w:t xml:space="preserve">  县农业农村委是农业产业化工作主管部门，负责全县龙头企业的认定和运行监测管理工作。</w:t>
      </w:r>
    </w:p>
    <w:p w14:paraId="695D90BF">
      <w:pPr>
        <w:rPr>
          <w:rFonts w:hint="eastAsia"/>
        </w:rPr>
      </w:pPr>
      <w:r>
        <w:rPr>
          <w:rStyle w:val="18"/>
          <w:rFonts w:hint="eastAsia"/>
        </w:rPr>
        <w:t>第四条</w:t>
      </w:r>
      <w:r>
        <w:rPr>
          <w:rFonts w:hint="eastAsia"/>
        </w:rPr>
        <w:t xml:space="preserve">  县级龙头企业的认定和运行监测遵循市场经济规律，引进竞争淘汰机制，发挥中介组织、产业协会和专家的作用，坚持公开、公平、公正原则，不干预企业经营自主权。</w:t>
      </w:r>
    </w:p>
    <w:p w14:paraId="261D9169">
      <w:pPr>
        <w:rPr>
          <w:rFonts w:hint="eastAsia"/>
        </w:rPr>
      </w:pPr>
      <w:r>
        <w:rPr>
          <w:rStyle w:val="18"/>
          <w:rFonts w:hint="eastAsia"/>
        </w:rPr>
        <w:t>第五条</w:t>
      </w:r>
      <w:r>
        <w:rPr>
          <w:rFonts w:hint="eastAsia"/>
        </w:rPr>
        <w:t xml:space="preserve">  凡申报或已获批成为县级龙头企业，适用本办法。</w:t>
      </w:r>
    </w:p>
    <w:p w14:paraId="2E74C36E">
      <w:pPr>
        <w:pStyle w:val="20"/>
        <w:bidi w:val="0"/>
        <w:rPr>
          <w:rFonts w:hint="eastAsia" w:ascii="方正黑体_GBK" w:hAnsi="方正黑体_GBK" w:eastAsia="方正黑体_GBK" w:cs="方正黑体_GBK"/>
        </w:rPr>
      </w:pPr>
      <w:r>
        <w:rPr>
          <w:rFonts w:hint="eastAsia" w:ascii="方正黑体_GBK" w:hAnsi="方正黑体_GBK" w:eastAsia="方正黑体_GBK" w:cs="方正黑体_GBK"/>
        </w:rPr>
        <w:t xml:space="preserve">第二章 </w:t>
      </w:r>
      <w:r>
        <w:rPr>
          <w:rFonts w:hint="eastAsia" w:ascii="方正黑体_GBK" w:hAnsi="方正黑体_GBK" w:eastAsia="方正黑体_GBK" w:cs="方正黑体_GBK"/>
          <w:lang w:val="en-US" w:eastAsia="zh-CN"/>
        </w:rPr>
        <w:t xml:space="preserve"> </w:t>
      </w:r>
      <w:r>
        <w:rPr>
          <w:rFonts w:hint="eastAsia" w:ascii="方正黑体_GBK" w:hAnsi="方正黑体_GBK" w:eastAsia="方正黑体_GBK" w:cs="方正黑体_GBK"/>
        </w:rPr>
        <w:t>申  报</w:t>
      </w:r>
    </w:p>
    <w:p w14:paraId="088E2E6F">
      <w:pPr>
        <w:rPr>
          <w:rFonts w:hint="eastAsia"/>
        </w:rPr>
      </w:pPr>
      <w:r>
        <w:rPr>
          <w:rStyle w:val="18"/>
          <w:rFonts w:hint="eastAsia"/>
        </w:rPr>
        <w:t>第六条</w:t>
      </w:r>
      <w:r>
        <w:rPr>
          <w:rFonts w:hint="eastAsia"/>
        </w:rPr>
        <w:t xml:space="preserve">  申报企业应符合以下基本标准：</w:t>
      </w:r>
    </w:p>
    <w:p w14:paraId="3404F389">
      <w:pPr>
        <w:rPr>
          <w:rFonts w:hint="eastAsia"/>
        </w:rPr>
      </w:pPr>
      <w:r>
        <w:rPr>
          <w:rFonts w:hint="eastAsia"/>
        </w:rPr>
        <w:t>1.企业组织形式。在城口辖区内登记注册1年以上，有固定的生产经营场所，具有独立法人资格，并以农产品生产、加工和流通等农业产业化生产经营活动的独立核算企业。</w:t>
      </w:r>
    </w:p>
    <w:p w14:paraId="31683E20">
      <w:pPr>
        <w:rPr>
          <w:rFonts w:hint="eastAsia"/>
        </w:rPr>
      </w:pPr>
      <w:r>
        <w:rPr>
          <w:rFonts w:hint="eastAsia"/>
        </w:rPr>
        <w:t>2.生产、加工、流通企业规模。总资产规模达到1000万元以上；固定资产规模达到500万元以上；年销售收入达到1000万元以上。</w:t>
      </w:r>
    </w:p>
    <w:p w14:paraId="67973B15">
      <w:pPr>
        <w:rPr>
          <w:rFonts w:hint="eastAsia"/>
        </w:rPr>
      </w:pPr>
      <w:r>
        <w:rPr>
          <w:rFonts w:hint="eastAsia"/>
        </w:rPr>
        <w:t>3.企业效益。企业的总资产报酬率应高于现行一年期银行贷款基准利率；企业诚信守法经营，应按时发放工资、按时缴纳社会保险、按月计提固定资产折旧，无重大涉税违法行为。</w:t>
      </w:r>
    </w:p>
    <w:p w14:paraId="61C46C69">
      <w:pPr>
        <w:rPr>
          <w:rFonts w:hint="eastAsia"/>
        </w:rPr>
      </w:pPr>
      <w:r>
        <w:rPr>
          <w:rFonts w:hint="eastAsia"/>
        </w:rPr>
        <w:t>4.企业负债与信用。企业资产负债率一般应低于60%；有银行贷款的企业，近2年内不得有不良信用记录。</w:t>
      </w:r>
    </w:p>
    <w:p w14:paraId="3745B46F">
      <w:pPr>
        <w:rPr>
          <w:rFonts w:hint="eastAsia"/>
        </w:rPr>
      </w:pPr>
      <w:r>
        <w:rPr>
          <w:rFonts w:hint="eastAsia"/>
        </w:rPr>
        <w:t>5.企业带动能力。鼓励龙头企业通过农民专业合作社、家庭农场等新型农业经营主体直接带动农户。通过建立合同、合作、股份合作等利益联结方式带动农户的数量一般应达到50户以上。</w:t>
      </w:r>
    </w:p>
    <w:p w14:paraId="208C321C">
      <w:pPr>
        <w:rPr>
          <w:rFonts w:hint="eastAsia"/>
        </w:rPr>
      </w:pPr>
      <w:r>
        <w:rPr>
          <w:rFonts w:hint="eastAsia"/>
        </w:rPr>
        <w:t>6.企业产品竞争力。在本县内同行业中企业的产品质量、产品科技含量、新产品开发能力处于领先水平，企业有注册商标和品牌。产品符合国家产业政策、环保政策和绿色发展要求，并获得相关质量管理标准体系认证，近2年内没有发生产品质量安全事件。</w:t>
      </w:r>
    </w:p>
    <w:p w14:paraId="78484283">
      <w:pPr>
        <w:rPr>
          <w:rFonts w:hint="eastAsia"/>
        </w:rPr>
      </w:pPr>
      <w:r>
        <w:rPr>
          <w:rFonts w:hint="eastAsia"/>
        </w:rPr>
        <w:t>县级龙头企业认定标准以百分制计分（具体指标见附件），综合得分75分及以上的为候选企业。</w:t>
      </w:r>
    </w:p>
    <w:p w14:paraId="58D46812">
      <w:pPr>
        <w:rPr>
          <w:rFonts w:hint="eastAsia"/>
        </w:rPr>
      </w:pPr>
      <w:r>
        <w:rPr>
          <w:rStyle w:val="18"/>
          <w:rFonts w:hint="eastAsia"/>
        </w:rPr>
        <w:t>第七条</w:t>
      </w:r>
      <w:r>
        <w:rPr>
          <w:rFonts w:hint="eastAsia"/>
        </w:rPr>
        <w:t xml:space="preserve">  符合本办法第六条要求的生产、加工、流通企业可以申报作为县级龙头企业。</w:t>
      </w:r>
    </w:p>
    <w:p w14:paraId="231F13FA">
      <w:pPr>
        <w:rPr>
          <w:rFonts w:hint="eastAsia"/>
        </w:rPr>
      </w:pPr>
      <w:r>
        <w:rPr>
          <w:rFonts w:hint="eastAsia"/>
        </w:rPr>
        <w:t>鼓励具有自主知识产权、科技创新能力强、资源优势明显、产业增值效益大、自觉履行社会责任并紧密带动农户的农业企业申报县级龙头企业。鼓励促进农村一二三产业融合发展、推进农业供给侧结构性改革、参与乡村振兴以及发展农业产业化联合体、创建农业产业化示范基地的农业企业申报县级龙头企业。对申报前2年销售收入增长都不低于30%，以及与农户建立稳定劳务关系、农产品产销关系或者其他帮扶关系的农业企业优先支持申报。获得绿色食品和有机食品生产证书的企业，农产品出口创汇企业，可适当放宽标准。</w:t>
      </w:r>
    </w:p>
    <w:p w14:paraId="7C4EB928">
      <w:pPr>
        <w:rPr>
          <w:rFonts w:hint="eastAsia"/>
        </w:rPr>
      </w:pPr>
      <w:r>
        <w:rPr>
          <w:rStyle w:val="18"/>
          <w:rFonts w:hint="eastAsia"/>
        </w:rPr>
        <w:t>第八条</w:t>
      </w:r>
      <w:r>
        <w:rPr>
          <w:rFonts w:hint="eastAsia"/>
        </w:rPr>
        <w:t xml:space="preserve">  申报材料。申报企业应提供企业的基本情况并按照本办法第六条要求提供有关申报材料。</w:t>
      </w:r>
    </w:p>
    <w:p w14:paraId="621E96C0">
      <w:pPr>
        <w:rPr>
          <w:rFonts w:hint="eastAsia"/>
        </w:rPr>
      </w:pPr>
      <w:r>
        <w:rPr>
          <w:rFonts w:hint="eastAsia"/>
        </w:rPr>
        <w:t>1.企业申请书（包括企业生产情况介绍），附《城口县全领域信用承诺书》；</w:t>
      </w:r>
    </w:p>
    <w:p w14:paraId="1CA30EB7">
      <w:pPr>
        <w:rPr>
          <w:rFonts w:hint="eastAsia"/>
        </w:rPr>
      </w:pPr>
      <w:r>
        <w:rPr>
          <w:rFonts w:hint="eastAsia"/>
        </w:rPr>
        <w:t>2.企业资信情况证明；</w:t>
      </w:r>
    </w:p>
    <w:p w14:paraId="0F8E38F7">
      <w:pPr>
        <w:rPr>
          <w:rFonts w:hint="eastAsia"/>
        </w:rPr>
      </w:pPr>
      <w:r>
        <w:rPr>
          <w:rFonts w:hint="eastAsia"/>
        </w:rPr>
        <w:t>3.企业带动能力、带动方式和利益联结关系情况须由乡镇（街道）政府提供说明；</w:t>
      </w:r>
    </w:p>
    <w:p w14:paraId="024AD94D">
      <w:pPr>
        <w:rPr>
          <w:rFonts w:hint="eastAsia"/>
        </w:rPr>
      </w:pPr>
      <w:r>
        <w:rPr>
          <w:rFonts w:hint="eastAsia"/>
        </w:rPr>
        <w:t>4.企业的纳税情况须由税务部门出具企业近1年内纳税情况证明；</w:t>
      </w:r>
    </w:p>
    <w:p w14:paraId="5D1485F8">
      <w:pPr>
        <w:rPr>
          <w:rFonts w:hint="eastAsia"/>
        </w:rPr>
      </w:pPr>
      <w:r>
        <w:rPr>
          <w:rFonts w:hint="eastAsia"/>
        </w:rPr>
        <w:t>5.出具上年度企业年度资产负债表和损益表；</w:t>
      </w:r>
    </w:p>
    <w:p w14:paraId="2291531C">
      <w:pPr>
        <w:rPr>
          <w:rFonts w:hint="eastAsia"/>
        </w:rPr>
      </w:pPr>
      <w:r>
        <w:rPr>
          <w:rFonts w:hint="eastAsia"/>
        </w:rPr>
        <w:t>6.企业产品质量安全情况须由县农业农村委或其他法定监管部门提供书面证明。</w:t>
      </w:r>
    </w:p>
    <w:p w14:paraId="6BC2D40E">
      <w:pPr>
        <w:rPr>
          <w:rFonts w:hint="eastAsia"/>
        </w:rPr>
      </w:pPr>
      <w:r>
        <w:rPr>
          <w:rStyle w:val="18"/>
          <w:rFonts w:hint="eastAsia"/>
        </w:rPr>
        <w:t>第九条</w:t>
      </w:r>
      <w:r>
        <w:rPr>
          <w:rFonts w:hint="eastAsia"/>
        </w:rPr>
        <w:t xml:space="preserve">  申报程序。</w:t>
      </w:r>
    </w:p>
    <w:p w14:paraId="51423915">
      <w:pPr>
        <w:rPr>
          <w:rFonts w:hint="eastAsia"/>
        </w:rPr>
      </w:pPr>
      <w:r>
        <w:rPr>
          <w:rFonts w:hint="eastAsia"/>
        </w:rPr>
        <w:t>1.申报企业直接向县农业农村委提出申请，并按县级龙头企业的基本条件要求提供相关证明材料及相关事项说明，承诺对所提交材料的真实性负责，并接受社会监督和失信惩戒。</w:t>
      </w:r>
    </w:p>
    <w:p w14:paraId="1E21B9AA">
      <w:pPr>
        <w:rPr>
          <w:rFonts w:hint="eastAsia"/>
        </w:rPr>
      </w:pPr>
      <w:r>
        <w:rPr>
          <w:rFonts w:hint="eastAsia"/>
        </w:rPr>
        <w:t>2.县农业农村委按照县级龙头企业的标准对企业所报材料的真实性进行审核。</w:t>
      </w:r>
    </w:p>
    <w:p w14:paraId="1E8298D1">
      <w:pPr>
        <w:pStyle w:val="20"/>
        <w:bidi w:val="0"/>
        <w:rPr>
          <w:rFonts w:hint="eastAsia" w:ascii="方正黑体_GBK" w:hAnsi="方正黑体_GBK" w:eastAsia="方正黑体_GBK" w:cs="方正黑体_GBK"/>
        </w:rPr>
      </w:pPr>
      <w:r>
        <w:rPr>
          <w:rFonts w:hint="eastAsia" w:ascii="方正黑体_GBK" w:hAnsi="方正黑体_GBK" w:eastAsia="方正黑体_GBK" w:cs="方正黑体_GBK"/>
        </w:rPr>
        <w:t>第三章  认  定</w:t>
      </w:r>
    </w:p>
    <w:p w14:paraId="68834373">
      <w:pPr>
        <w:rPr>
          <w:rFonts w:hint="eastAsia"/>
        </w:rPr>
      </w:pPr>
      <w:r>
        <w:rPr>
          <w:rStyle w:val="18"/>
          <w:rFonts w:hint="eastAsia"/>
        </w:rPr>
        <w:t>第十条</w:t>
      </w:r>
      <w:r>
        <w:rPr>
          <w:rFonts w:hint="eastAsia"/>
        </w:rPr>
        <w:t xml:space="preserve">  县农业农村委组织人员对申报企业进行资料评审和实地复核；</w:t>
      </w:r>
    </w:p>
    <w:p w14:paraId="434E0878">
      <w:pPr>
        <w:rPr>
          <w:rFonts w:hint="eastAsia"/>
        </w:rPr>
      </w:pPr>
      <w:r>
        <w:rPr>
          <w:rStyle w:val="18"/>
          <w:rFonts w:hint="eastAsia"/>
        </w:rPr>
        <w:t>第十一条</w:t>
      </w:r>
      <w:r>
        <w:rPr>
          <w:rFonts w:hint="eastAsia"/>
        </w:rPr>
        <w:t xml:space="preserve">  县农业农村委根据评审意见，征求县发展改革、经信、财政、人力资源社会保障、自然资源、生态环境、商务、市场监管、税务、供销社以及人民银行重庆市城口县分行等单位意见；</w:t>
      </w:r>
    </w:p>
    <w:p w14:paraId="0F19DAC4">
      <w:pPr>
        <w:rPr>
          <w:rFonts w:hint="eastAsia"/>
        </w:rPr>
      </w:pPr>
      <w:r>
        <w:rPr>
          <w:rStyle w:val="18"/>
          <w:rFonts w:hint="eastAsia"/>
        </w:rPr>
        <w:t>第十二条</w:t>
      </w:r>
      <w:r>
        <w:rPr>
          <w:rFonts w:hint="eastAsia"/>
        </w:rPr>
        <w:t xml:space="preserve"> </w:t>
      </w:r>
      <w:r>
        <w:rPr>
          <w:rFonts w:hint="eastAsia"/>
          <w:lang w:val="en-US" w:eastAsia="zh-CN"/>
        </w:rPr>
        <w:t xml:space="preserve"> </w:t>
      </w:r>
      <w:r>
        <w:rPr>
          <w:rFonts w:hint="eastAsia"/>
        </w:rPr>
        <w:t>县农业农村委根据评审意见和征求意见情况，提交县委农业农村工委会议审议，确定拟认定的县级龙头企业候选企业名单，并在城口县人民政府门户网站城口县农业农村委频道向社会公示7个工作日。如公示有异议，由县农业农村委进一步调查核实并作出处理；公示期满无异议的，由县农业农村委认定。</w:t>
      </w:r>
    </w:p>
    <w:p w14:paraId="45683BCE">
      <w:pPr>
        <w:rPr>
          <w:rFonts w:hint="eastAsia"/>
        </w:rPr>
      </w:pPr>
      <w:r>
        <w:rPr>
          <w:rStyle w:val="18"/>
          <w:rFonts w:hint="eastAsia"/>
        </w:rPr>
        <w:t>第十三条</w:t>
      </w:r>
      <w:r>
        <w:rPr>
          <w:rFonts w:hint="eastAsia"/>
          <w:lang w:val="en-US" w:eastAsia="zh-CN"/>
        </w:rPr>
        <w:t xml:space="preserve"> </w:t>
      </w:r>
      <w:r>
        <w:rPr>
          <w:rFonts w:hint="eastAsia"/>
        </w:rPr>
        <w:t xml:space="preserve"> 经县农业农村委批准认定的县级龙头企业，由县农业农村委向社会公布并以城口县农业农村委名义授予“县级龙头企业”牌匾。</w:t>
      </w:r>
    </w:p>
    <w:p w14:paraId="0AA98248">
      <w:pPr>
        <w:rPr>
          <w:rFonts w:hint="eastAsia"/>
        </w:rPr>
      </w:pPr>
      <w:r>
        <w:rPr>
          <w:rStyle w:val="18"/>
          <w:rFonts w:hint="eastAsia"/>
        </w:rPr>
        <w:t xml:space="preserve">第十四条 </w:t>
      </w:r>
      <w:r>
        <w:rPr>
          <w:rFonts w:hint="eastAsia"/>
        </w:rPr>
        <w:t xml:space="preserve"> 县农业农村委原则上每一年组织认定一次。</w:t>
      </w:r>
    </w:p>
    <w:p w14:paraId="397F0E5A">
      <w:pPr>
        <w:pStyle w:val="20"/>
        <w:bidi w:val="0"/>
        <w:rPr>
          <w:rFonts w:hint="eastAsia" w:ascii="方正黑体_GBK" w:hAnsi="方正黑体_GBK" w:eastAsia="方正黑体_GBK" w:cs="方正黑体_GBK"/>
        </w:rPr>
      </w:pPr>
      <w:r>
        <w:rPr>
          <w:rFonts w:hint="eastAsia" w:ascii="方正黑体_GBK" w:hAnsi="方正黑体_GBK" w:eastAsia="方正黑体_GBK" w:cs="方正黑体_GBK"/>
        </w:rPr>
        <w:t>第四章  运行监测</w:t>
      </w:r>
    </w:p>
    <w:p w14:paraId="42AD17A7">
      <w:pPr>
        <w:rPr>
          <w:rFonts w:hint="eastAsia"/>
        </w:rPr>
      </w:pPr>
      <w:r>
        <w:rPr>
          <w:rStyle w:val="18"/>
          <w:rFonts w:hint="eastAsia"/>
        </w:rPr>
        <w:t>第十五条</w:t>
      </w:r>
      <w:r>
        <w:rPr>
          <w:rFonts w:hint="eastAsia"/>
        </w:rPr>
        <w:t xml:space="preserve">  对县级龙头企业实行动态管理，建立竞争淘汰机制，做到有出有进。</w:t>
      </w:r>
    </w:p>
    <w:p w14:paraId="5780E3BB">
      <w:pPr>
        <w:rPr>
          <w:rFonts w:hint="eastAsia"/>
        </w:rPr>
      </w:pPr>
      <w:r>
        <w:rPr>
          <w:rStyle w:val="18"/>
          <w:rFonts w:hint="eastAsia"/>
        </w:rPr>
        <w:t>第十六条</w:t>
      </w:r>
      <w:r>
        <w:rPr>
          <w:rFonts w:hint="eastAsia"/>
        </w:rPr>
        <w:t xml:space="preserve">  建立县级龙头企业动态监测管理制度，每两年进行一次监测评估。监测标准和程序原则上参照新申报认定的标准和程序，所需材料适当简化，监测综合得分75分及以上的为合格。对监测不合格的企业，取消其“城口县农业产业化龙头企业”称号。连续两次监测合格的，下一监测周期免予监测。</w:t>
      </w:r>
    </w:p>
    <w:p w14:paraId="54521751">
      <w:pPr>
        <w:rPr>
          <w:rFonts w:hint="eastAsia"/>
        </w:rPr>
      </w:pPr>
      <w:r>
        <w:rPr>
          <w:rStyle w:val="18"/>
          <w:rFonts w:hint="eastAsia"/>
        </w:rPr>
        <w:t>第十七条</w:t>
      </w:r>
      <w:r>
        <w:rPr>
          <w:rFonts w:hint="eastAsia"/>
        </w:rPr>
        <w:t xml:space="preserve">  各乡镇人民政府要加强对辖区内的县级龙头企业经济运行情况的跟踪调查，采取定期统计、情况调度、实地考察、随机抽查、重点督查等方式，及时了解企业基地建设、生产加工、市场销售、带农增收、质量安全等方面情况，帮助县级龙头企业解决发展中遇到的突出困难。</w:t>
      </w:r>
    </w:p>
    <w:p w14:paraId="57A17539">
      <w:pPr>
        <w:rPr>
          <w:rFonts w:hint="eastAsia"/>
        </w:rPr>
      </w:pPr>
      <w:r>
        <w:rPr>
          <w:rFonts w:hint="eastAsia"/>
        </w:rPr>
        <w:t>在日常调查中发现县级龙头企业存在违法违规或其他异常情况，要及时函告县农业农村委。</w:t>
      </w:r>
    </w:p>
    <w:p w14:paraId="7E1F09A5">
      <w:pPr>
        <w:rPr>
          <w:rFonts w:hint="eastAsia"/>
        </w:rPr>
      </w:pPr>
      <w:r>
        <w:rPr>
          <w:rStyle w:val="18"/>
          <w:rFonts w:hint="eastAsia"/>
        </w:rPr>
        <w:t>第十八条</w:t>
      </w:r>
      <w:r>
        <w:rPr>
          <w:rFonts w:hint="eastAsia"/>
        </w:rPr>
        <w:t xml:space="preserve">  监测合格的县级龙头企业，继续保留资格；监测不合格的，取消其县级龙头企业资格。</w:t>
      </w:r>
    </w:p>
    <w:p w14:paraId="34646300">
      <w:pPr>
        <w:pStyle w:val="20"/>
        <w:bidi w:val="0"/>
        <w:rPr>
          <w:rFonts w:hint="eastAsia" w:ascii="方正黑体_GBK" w:hAnsi="方正黑体_GBK" w:eastAsia="方正黑体_GBK" w:cs="方正黑体_GBK"/>
        </w:rPr>
      </w:pPr>
      <w:r>
        <w:rPr>
          <w:rFonts w:hint="eastAsia" w:ascii="方正黑体_GBK" w:hAnsi="方正黑体_GBK" w:eastAsia="方正黑体_GBK" w:cs="方正黑体_GBK"/>
        </w:rPr>
        <w:t>第五章  违法违规情况处理</w:t>
      </w:r>
    </w:p>
    <w:p w14:paraId="5B90A90F">
      <w:pPr>
        <w:rPr>
          <w:rFonts w:hint="eastAsia"/>
        </w:rPr>
      </w:pPr>
      <w:r>
        <w:rPr>
          <w:rStyle w:val="18"/>
          <w:rFonts w:hint="eastAsia"/>
        </w:rPr>
        <w:t>第十九条</w:t>
      </w:r>
      <w:r>
        <w:rPr>
          <w:rFonts w:hint="eastAsia"/>
          <w:lang w:val="en-US" w:eastAsia="zh-CN"/>
        </w:rPr>
        <w:t xml:space="preserve">  </w:t>
      </w:r>
      <w:r>
        <w:rPr>
          <w:rFonts w:hint="eastAsia"/>
        </w:rPr>
        <w:t>有下列行为之一的企业，不得评为县级龙头企业，已被评为县级龙头企业的取消其资格。</w:t>
      </w:r>
    </w:p>
    <w:p w14:paraId="423195A1">
      <w:pPr>
        <w:rPr>
          <w:rFonts w:hint="eastAsia"/>
        </w:rPr>
      </w:pPr>
      <w:r>
        <w:rPr>
          <w:rFonts w:hint="eastAsia"/>
        </w:rPr>
        <w:t>（一）被税务部门查实，有逃避缴纳税款、逃避追缴欠税、骗取、抗税、虚开发票等违法行为的；</w:t>
      </w:r>
    </w:p>
    <w:p w14:paraId="210F37FF">
      <w:pPr>
        <w:rPr>
          <w:rFonts w:hint="eastAsia"/>
        </w:rPr>
      </w:pPr>
      <w:r>
        <w:rPr>
          <w:rFonts w:hint="eastAsia"/>
        </w:rPr>
        <w:t>（二）由于防范措施不力或防范不当，致使发生重大安全事故，造成生命和财产重大损失的；</w:t>
      </w:r>
    </w:p>
    <w:p w14:paraId="3882662D">
      <w:pPr>
        <w:rPr>
          <w:rFonts w:hint="eastAsia"/>
        </w:rPr>
      </w:pPr>
      <w:r>
        <w:rPr>
          <w:rFonts w:hint="eastAsia"/>
        </w:rPr>
        <w:t>（三）生产假冒伪劣产品，经市场监管等部门查实并予以较重处罚的；</w:t>
      </w:r>
    </w:p>
    <w:p w14:paraId="5DC7CB72">
      <w:pPr>
        <w:rPr>
          <w:rFonts w:hint="eastAsia"/>
        </w:rPr>
      </w:pPr>
      <w:r>
        <w:rPr>
          <w:rFonts w:hint="eastAsia"/>
        </w:rPr>
        <w:t>（四）环保不达标，经生态环境部门查实并予以处罚且经整改仍不达标的；</w:t>
      </w:r>
    </w:p>
    <w:p w14:paraId="4EBADEC5">
      <w:pPr>
        <w:rPr>
          <w:rFonts w:hint="eastAsia"/>
        </w:rPr>
      </w:pPr>
      <w:r>
        <w:rPr>
          <w:rFonts w:hint="eastAsia"/>
        </w:rPr>
        <w:t>（五）经查实存在舞弊行为，提供虚假材料的；</w:t>
      </w:r>
    </w:p>
    <w:p w14:paraId="10A58473">
      <w:pPr>
        <w:rPr>
          <w:rFonts w:hint="eastAsia"/>
        </w:rPr>
      </w:pPr>
      <w:r>
        <w:rPr>
          <w:rFonts w:hint="eastAsia"/>
        </w:rPr>
        <w:t>（六）拒绝接受监测或者不按规定要求提供监测材料的；</w:t>
      </w:r>
    </w:p>
    <w:p w14:paraId="03810196">
      <w:pPr>
        <w:rPr>
          <w:rFonts w:hint="eastAsia"/>
        </w:rPr>
      </w:pPr>
      <w:r>
        <w:rPr>
          <w:rFonts w:hint="eastAsia"/>
        </w:rPr>
        <w:t>（七）主营业务转出城口或向非农产业转移，造成在城口无实际生产经营行为或生产经营行为持续萎靡的；</w:t>
      </w:r>
    </w:p>
    <w:p w14:paraId="3225A6BB">
      <w:pPr>
        <w:rPr>
          <w:rFonts w:hint="eastAsia"/>
        </w:rPr>
      </w:pPr>
      <w:r>
        <w:rPr>
          <w:rFonts w:hint="eastAsia"/>
        </w:rPr>
        <w:t>（八）被市场监管部门列入异常经营名录、市场监督管理严重违法失信企业名单的；</w:t>
      </w:r>
    </w:p>
    <w:p w14:paraId="095E0423">
      <w:pPr>
        <w:rPr>
          <w:rFonts w:hint="eastAsia"/>
        </w:rPr>
      </w:pPr>
      <w:r>
        <w:rPr>
          <w:rFonts w:hint="eastAsia"/>
        </w:rPr>
        <w:t>（九）被纪委监委查实存在骗取扶贫财政补贴行为的；</w:t>
      </w:r>
    </w:p>
    <w:p w14:paraId="5874D4D8">
      <w:pPr>
        <w:rPr>
          <w:rFonts w:hint="eastAsia"/>
        </w:rPr>
      </w:pPr>
      <w:r>
        <w:rPr>
          <w:rFonts w:hint="eastAsia"/>
        </w:rPr>
        <w:t>（十）其他违反法律法规或损害公共利益的。</w:t>
      </w:r>
    </w:p>
    <w:p w14:paraId="0A8552B1">
      <w:pPr>
        <w:rPr>
          <w:rFonts w:hint="eastAsia"/>
        </w:rPr>
      </w:pPr>
      <w:r>
        <w:rPr>
          <w:rFonts w:hint="eastAsia"/>
        </w:rPr>
        <w:t>有上述第（五）项行为的，自查实之日起4年内不得申报县级龙头企业。</w:t>
      </w:r>
    </w:p>
    <w:p w14:paraId="11A4759C">
      <w:pPr>
        <w:pStyle w:val="20"/>
        <w:bidi w:val="0"/>
        <w:rPr>
          <w:rFonts w:hint="eastAsia" w:ascii="方正黑体_GBK" w:hAnsi="方正黑体_GBK" w:eastAsia="方正黑体_GBK" w:cs="方正黑体_GBK"/>
        </w:rPr>
      </w:pPr>
      <w:r>
        <w:rPr>
          <w:rFonts w:hint="eastAsia" w:ascii="方正黑体_GBK" w:hAnsi="方正黑体_GBK" w:eastAsia="方正黑体_GBK" w:cs="方正黑体_GBK"/>
        </w:rPr>
        <w:t>第六章  附  则</w:t>
      </w:r>
    </w:p>
    <w:p w14:paraId="2761936A">
      <w:pPr>
        <w:rPr>
          <w:rFonts w:hint="eastAsia"/>
        </w:rPr>
      </w:pPr>
      <w:r>
        <w:rPr>
          <w:rStyle w:val="18"/>
          <w:rFonts w:hint="eastAsia"/>
        </w:rPr>
        <w:t>第二十条</w:t>
      </w:r>
      <w:r>
        <w:rPr>
          <w:rFonts w:hint="eastAsia"/>
        </w:rPr>
        <w:t xml:space="preserve">  县级龙头企业变更企业名称等重要信息的，应当向县农业农村委提交相关变更材料，由县农业农村委审核确认后向社会公布。在信息变更不影响县级龙头企业认定要素的前提下，企业继续享有县级龙头企业资格。</w:t>
      </w:r>
    </w:p>
    <w:p w14:paraId="382A6C6A">
      <w:pPr>
        <w:rPr>
          <w:rFonts w:hint="eastAsia"/>
        </w:rPr>
      </w:pPr>
      <w:r>
        <w:rPr>
          <w:rStyle w:val="18"/>
          <w:rFonts w:hint="eastAsia"/>
        </w:rPr>
        <w:t>第二十一条</w:t>
      </w:r>
      <w:r>
        <w:rPr>
          <w:rFonts w:hint="eastAsia"/>
          <w:lang w:val="en-US" w:eastAsia="zh-CN"/>
        </w:rPr>
        <w:t xml:space="preserve"> </w:t>
      </w:r>
      <w:r>
        <w:rPr>
          <w:rFonts w:hint="eastAsia"/>
        </w:rPr>
        <w:t xml:space="preserve"> 县农业农村委要优化工作流程，完善工作机制，合理压缩审查、审核等环节所需时间，提高申报认定和监测工作效率。</w:t>
      </w:r>
    </w:p>
    <w:p w14:paraId="0B9AFB9C">
      <w:pPr>
        <w:rPr>
          <w:rFonts w:hint="eastAsia"/>
        </w:rPr>
      </w:pPr>
      <w:r>
        <w:rPr>
          <w:rStyle w:val="18"/>
          <w:rFonts w:hint="eastAsia"/>
        </w:rPr>
        <w:t>第二十二条</w:t>
      </w:r>
      <w:r>
        <w:rPr>
          <w:rFonts w:hint="eastAsia"/>
          <w:lang w:val="en-US" w:eastAsia="zh-CN"/>
        </w:rPr>
        <w:t xml:space="preserve">  </w:t>
      </w:r>
      <w:r>
        <w:rPr>
          <w:rFonts w:hint="eastAsia"/>
        </w:rPr>
        <w:t>除特别注明外，本办法所称“以上”包括本数，“以下”不包括本数。</w:t>
      </w:r>
    </w:p>
    <w:p w14:paraId="75962D19">
      <w:pPr>
        <w:rPr>
          <w:rFonts w:hint="eastAsia"/>
        </w:rPr>
      </w:pPr>
      <w:r>
        <w:rPr>
          <w:rStyle w:val="18"/>
          <w:rFonts w:hint="eastAsia"/>
        </w:rPr>
        <w:t>第二十三条</w:t>
      </w:r>
      <w:r>
        <w:rPr>
          <w:rFonts w:hint="eastAsia"/>
        </w:rPr>
        <w:t xml:space="preserve">  本办法由县农业农村委负责解释。</w:t>
      </w:r>
    </w:p>
    <w:p w14:paraId="2687CC8B">
      <w:pPr>
        <w:rPr>
          <w:rFonts w:hint="eastAsia"/>
        </w:rPr>
      </w:pPr>
      <w:r>
        <w:rPr>
          <w:rStyle w:val="18"/>
          <w:rFonts w:hint="eastAsia"/>
        </w:rPr>
        <w:t>第二十四条</w:t>
      </w:r>
      <w:r>
        <w:rPr>
          <w:rFonts w:hint="eastAsia"/>
        </w:rPr>
        <w:t xml:space="preserve">  本办法自印发之日起施行。原城口县农业农村委印发的《城口县农业龙头企业认定与监测办法》（城农发〔2020〕43号）同时废止。</w:t>
      </w:r>
    </w:p>
    <w:p w14:paraId="7EBAF65B">
      <w:pPr>
        <w:rPr>
          <w:rFonts w:hint="eastAsia"/>
        </w:rPr>
      </w:pPr>
    </w:p>
    <w:p w14:paraId="1D6214ED">
      <w:pPr>
        <w:rPr>
          <w:rFonts w:hint="eastAsia"/>
        </w:rPr>
      </w:pPr>
      <w:r>
        <w:rPr>
          <w:rFonts w:hint="eastAsia"/>
        </w:rPr>
        <w:t>附件：城口县农业产业化县级龙头企业评分细则</w:t>
      </w:r>
    </w:p>
    <w:p w14:paraId="5C31B151">
      <w:pPr>
        <w:rPr>
          <w:rFonts w:hint="eastAsia"/>
        </w:rPr>
      </w:pPr>
    </w:p>
    <w:p w14:paraId="5FF55544">
      <w:pPr>
        <w:rPr>
          <w:rFonts w:hint="eastAsia"/>
        </w:rPr>
      </w:pPr>
    </w:p>
    <w:p w14:paraId="27D6BF11">
      <w:pPr>
        <w:rPr>
          <w:rFonts w:hint="eastAsia"/>
        </w:rPr>
      </w:pPr>
    </w:p>
    <w:p w14:paraId="474F0FCE">
      <w:pPr>
        <w:rPr>
          <w:rFonts w:hint="eastAsia"/>
        </w:rPr>
      </w:pPr>
    </w:p>
    <w:p w14:paraId="213092D6">
      <w:pPr>
        <w:rPr>
          <w:rFonts w:hint="eastAsia"/>
        </w:rPr>
      </w:pPr>
    </w:p>
    <w:p w14:paraId="1B5C4005">
      <w:pPr>
        <w:pStyle w:val="5"/>
        <w:keepNext w:val="0"/>
        <w:keepLines w:val="0"/>
        <w:pageBreakBefore w:val="0"/>
        <w:widowControl w:val="0"/>
        <w:kinsoku/>
        <w:wordWrap/>
        <w:overflowPunct/>
        <w:topLinePunct w:val="0"/>
        <w:autoSpaceDE/>
        <w:autoSpaceDN/>
        <w:bidi w:val="0"/>
        <w:adjustRightInd/>
        <w:snapToGrid/>
        <w:spacing w:line="500" w:lineRule="exact"/>
        <w:ind w:hanging="640" w:hangingChars="200"/>
        <w:textAlignment w:val="auto"/>
      </w:pPr>
      <w:bookmarkStart w:id="0" w:name="_GoBack"/>
      <w:bookmarkEnd w:id="0"/>
    </w:p>
    <w:p w14:paraId="2506266F">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ascii="Calibri" w:hAnsi="Calibri" w:cs="Times New Roman"/>
        </w:rPr>
      </w:pPr>
    </w:p>
    <w:p w14:paraId="4C075623">
      <w:pPr>
        <w:spacing w:line="560" w:lineRule="exact"/>
        <w:ind w:firstLine="280" w:firstLineChars="100"/>
        <w:jc w:val="both"/>
        <w:rPr>
          <w:rFonts w:hint="eastAsia"/>
        </w:rPr>
      </w:pPr>
      <w:r>
        <w:rPr>
          <w:rFonts w:ascii="Times New Roman" w:hAnsi="Times New Roman" w:eastAsia="方正仿宋_GBK" w:cs="Times New Roman"/>
          <w:kern w:val="2"/>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16510</wp:posOffset>
                </wp:positionV>
                <wp:extent cx="5615940" cy="0"/>
                <wp:effectExtent l="0" t="6985" r="0" b="7620"/>
                <wp:wrapNone/>
                <wp:docPr id="6" name="直接连接符 6"/>
                <wp:cNvGraphicFramePr/>
                <a:graphic xmlns:a="http://schemas.openxmlformats.org/drawingml/2006/main">
                  <a:graphicData uri="http://schemas.microsoft.com/office/word/2010/wordprocessingShape">
                    <wps:wsp>
                      <wps:cNvCnPr/>
                      <wps:spPr>
                        <a:xfrm>
                          <a:off x="0" y="0"/>
                          <a:ext cx="5615940" cy="0"/>
                        </a:xfrm>
                        <a:prstGeom prst="line">
                          <a:avLst/>
                        </a:prstGeom>
                        <a:ln w="1460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3pt;height:0pt;width:442.2pt;z-index:251662336;mso-width-relative:page;mso-height-relative:page;" filled="f" stroked="t" coordsize="21600,21600" o:gfxdata="UEsDBAoAAAAAAIdO4kAAAAAAAAAAAAAAAAAEAAAAZHJzL1BLAwQUAAAACACHTuJAW+n0rtQAAAAE&#10;AQAADwAAAGRycy9kb3ducmV2LnhtbE2PzU7DMBCE70i8g7VIXBC1U0VpFOL0EKkSN0TLob1t4iWJ&#10;iNchdn/g6XG5wHE0o5lvyvXFjuJEsx8ca0gWCgRx68zAnYa33eYxB+EDssHRMWn4Ig/r6vamxMK4&#10;M7/SaRs6EUvYF6ihD2EqpPRtTxb9wk3E0Xt3s8UQ5dxJM+M5lttRLpXKpMWB40KPE9U9tR/bo9VQ&#10;J418ecjSevOtzP5z5Z+7Azqt7+8S9QQi0CX8heGKH9GhikyNO7LxYtQQjwQNywxENPM8TUE0v1pW&#10;pfwPX/0AUEsDBBQAAAAIAIdO4kD01UwP+gEAAPMDAAAOAAAAZHJzL2Uyb0RvYy54bWytU72OEzEQ&#10;7pF4B8s92eR0iWCVzRUXjgbBScADTGzvriX/yeNkk5fgBZDooKKk5204HoOxNxeOo0nBFt6xZ+ab&#10;+T6Pl1d7a9hORdTeNXw2mXKmnPBSu67hH97fPHvOGSZwEox3quEHhfxq9fTJcgi1uvC9N1JFRiAO&#10;6yE0vE8p1FWFolcWcOKDcuRsfbSQaBu7SkYYCN2a6mI6XVSDjzJELxQina5HJz8ixnMAfdtqodZe&#10;bK1yaUSNykAiStjrgHxVum1bJdLbtkWVmGk4MU1lpSJkb/JarZZQdxFCr8WxBTinhUecLGhHRU9Q&#10;a0jAtlH/A2W1iB59mybC22okUhQhFrPpI23e9RBU4UJSYziJjv8PVrzZ3UamZcMXnDmwdOF3n77/&#10;/Pjl14/PtN59+8oWWaQhYE2x1+42HncYbmNmvG+jzX/iwvZF2MNJWLVPTNDhfDGbv7gkzcW9r/qT&#10;GCKmV8pblo2GG+0yZ6hh9xoTFaPQ+5B8bBwbaG4vF9M54QFNYEs3T6YNxAJdV5LRGy1vtDE5BWO3&#10;uTaR7SBPQfkyJwL+KyxXWQP2Y1xxjfPRK5AvnWTpEEgfR8+C5x6skpwZRa8oWwQIdQJtzomk0sbl&#10;BFVm9Eg0izzKmq2Nlwe6m22IuutJmFnpOXtoFkr3x7nNw/ZwT/bDt7r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vp9K7UAAAABAEAAA8AAAAAAAAAAQAgAAAAIgAAAGRycy9kb3ducmV2LnhtbFBL&#10;AQIUABQAAAAIAIdO4kD01UwP+gEAAPMDAAAOAAAAAAAAAAEAIAAAACMBAABkcnMvZTJvRG9jLnht&#10;bFBLBQYAAAAABgAGAFkBAACPBQAAAAA=&#10;">
                <v:fill on="f" focussize="0,0"/>
                <v:stroke weight="1.15pt" color="#000000" joinstyle="round"/>
                <v:imagedata o:title=""/>
                <o:lock v:ext="edit" aspectratio="f"/>
              </v:line>
            </w:pict>
          </mc:Fallback>
        </mc:AlternateContent>
      </w:r>
      <w:r>
        <w:rPr>
          <w:rFonts w:ascii="Times New Roman" w:hAnsi="Times New Roman" w:eastAsia="方正仿宋_GBK" w:cs="Times New Roman"/>
          <w:kern w:val="2"/>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356235</wp:posOffset>
                </wp:positionV>
                <wp:extent cx="5615940" cy="0"/>
                <wp:effectExtent l="0" t="6985" r="0" b="7620"/>
                <wp:wrapNone/>
                <wp:docPr id="8" name="直接连接符 8"/>
                <wp:cNvGraphicFramePr/>
                <a:graphic xmlns:a="http://schemas.openxmlformats.org/drawingml/2006/main">
                  <a:graphicData uri="http://schemas.microsoft.com/office/word/2010/wordprocessingShape">
                    <wps:wsp>
                      <wps:cNvCnPr/>
                      <wps:spPr>
                        <a:xfrm>
                          <a:off x="0" y="0"/>
                          <a:ext cx="5615940" cy="0"/>
                        </a:xfrm>
                        <a:prstGeom prst="line">
                          <a:avLst/>
                        </a:prstGeom>
                        <a:ln w="1460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8.05pt;height:0pt;width:442.2pt;z-index:251661312;mso-width-relative:page;mso-height-relative:page;" filled="f" stroked="t" coordsize="21600,21600" o:gfxdata="UEsDBAoAAAAAAIdO4kAAAAAAAAAAAAAAAAAEAAAAZHJzL1BLAwQUAAAACACHTuJAD61wINUAAAAG&#10;AQAADwAAAGRycy9kb3ducmV2LnhtbE2PzU7DMBCE70h9B2uRuCBqB4UQhTg9RKrEDbX0ALdNvCQR&#10;8TqN3R94+hpxgOPOjGa+LVdnO4ojzX5wrCFZKhDErTMDdxp2r+u7HIQPyAZHx6ThizysqsVViYVx&#10;J97QcRs6EUvYF6ihD2EqpPRtTxb90k3E0ftws8UQz7mTZsZTLLejvFcqkxYHjgs9TlT31H5uD1ZD&#10;nTTy5TZL6/W3Mm/7R//cvaPT+uY6UU8gAp3DXxh+8CM6VJGpcQc2Xowa4iNBw0OWgIhunqcpiOZX&#10;kFUp/+NXF1BLAwQUAAAACACHTuJAsFxNGfsBAADzAwAADgAAAGRycy9lMm9Eb2MueG1srVPNjtMw&#10;EL4j8Q6W7zTtalstUdM9bFkuCCoBDzB1nMSS/+Rxm/YleAEkbnDiyJ23YfcxGDvZsiyXHsjBGXtm&#10;vpnv83h5fTCa7WVA5WzFZ5MpZ9IKVyvbVvzjh9sXV5xhBFuDdlZW/CiRX6+eP1v2vpQXrnO6loER&#10;iMWy9xXvYvRlUaDopAGcOC8tORsXDETahraoA/SEbnRxMZ0uit6F2gcnJCKdrgcnHxHDOYCuaZSQ&#10;ayd2Rto4oAapIRIl7JRHvsrdNo0U8V3ToIxMV5yYxrxSEbK3aS1WSyjbAL5TYmwBzmnhCScDylLR&#10;E9QaIrBdUP9AGSWCQ9fEiXCmGIhkRYjFbPpEm/cdeJm5kNToT6Lj/4MVb/ebwFRdcbp2C4Yu/O7z&#10;j1+fvt7//ELr3fdv7CqJ1HssKfbGbsK4Q78JifGhCSb9iQs7ZGGPJ2HlITJBh/PFbP7ykjQXD77i&#10;T6IPGF9LZ1gyKq6VTZyhhP0bjFSMQh9C0rG2rKe5vVxM54QHNIEN3TyZxhMLtG1ORqdVfau0TikY&#10;2u2NDmwPaQrylzgR8F9hqcoasBvismuYj05C/crWLB496WPpWfDUg5E1Z1rSK0oWAUIZQelzIqm0&#10;tilB5hkdiSaRB1mTtXX1ke5m54NqOxJmlntOHpqF3P04t2nYHu/JfvxWV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D61wINUAAAAGAQAADwAAAAAAAAABACAAAAAiAAAAZHJzL2Rvd25yZXYueG1s&#10;UEsBAhQAFAAAAAgAh07iQLBcTRn7AQAA8wMAAA4AAAAAAAAAAQAgAAAAJAEAAGRycy9lMm9Eb2Mu&#10;eG1sUEsFBgAAAAAGAAYAWQEAAJEFAAAAAA==&#10;">
                <v:fill on="f" focussize="0,0"/>
                <v:stroke weight="1.15pt" color="#000000" joinstyle="round"/>
                <v:imagedata o:title=""/>
                <o:lock v:ext="edit" aspectratio="f"/>
              </v:line>
            </w:pict>
          </mc:Fallback>
        </mc:AlternateContent>
      </w:r>
      <w:r>
        <w:rPr>
          <w:rFonts w:ascii="Times New Roman" w:hAnsi="Times New Roman" w:eastAsia="方正仿宋_GBK" w:cs="Times New Roman"/>
          <w:kern w:val="2"/>
          <w:sz w:val="28"/>
          <w:szCs w:val="28"/>
        </w:rPr>
        <w:t>城口县农业</w:t>
      </w:r>
      <w:r>
        <w:rPr>
          <w:rFonts w:hint="eastAsia" w:ascii="Times New Roman" w:hAnsi="Times New Roman" w:eastAsia="方正仿宋_GBK" w:cs="Times New Roman"/>
          <w:kern w:val="2"/>
          <w:sz w:val="28"/>
          <w:szCs w:val="28"/>
        </w:rPr>
        <w:t>农村</w:t>
      </w:r>
      <w:r>
        <w:rPr>
          <w:rFonts w:ascii="Times New Roman" w:hAnsi="Times New Roman" w:eastAsia="方正仿宋_GBK" w:cs="Times New Roman"/>
          <w:kern w:val="2"/>
          <w:sz w:val="28"/>
          <w:szCs w:val="28"/>
        </w:rPr>
        <w:t>委员会</w:t>
      </w:r>
      <w:r>
        <w:rPr>
          <w:rFonts w:hint="eastAsia" w:ascii="Times New Roman" w:hAnsi="Times New Roman" w:eastAsia="宋体" w:cs="Times New Roman"/>
          <w:kern w:val="2"/>
          <w:sz w:val="28"/>
          <w:szCs w:val="28"/>
          <w:lang w:val="en-US" w:eastAsia="zh-CN"/>
        </w:rPr>
        <w:t xml:space="preserve">      </w:t>
      </w:r>
      <w:r>
        <w:rPr>
          <w:rFonts w:ascii="Times New Roman" w:hAnsi="Times New Roman" w:eastAsia="方正仿宋_GBK" w:cs="Times New Roman"/>
          <w:kern w:val="2"/>
          <w:sz w:val="28"/>
          <w:szCs w:val="28"/>
        </w:rPr>
        <w:t xml:space="preserve">     </w:t>
      </w:r>
      <w:r>
        <w:rPr>
          <w:rFonts w:hint="eastAsia" w:ascii="Times New Roman" w:hAnsi="Times New Roman" w:eastAsia="方正仿宋_GBK" w:cs="Times New Roman"/>
          <w:kern w:val="2"/>
          <w:sz w:val="28"/>
          <w:szCs w:val="28"/>
        </w:rPr>
        <w:t xml:space="preserve">   </w:t>
      </w:r>
      <w:r>
        <w:rPr>
          <w:rFonts w:ascii="Times New Roman" w:hAnsi="Times New Roman" w:eastAsia="方正仿宋_GBK" w:cs="Times New Roman"/>
          <w:kern w:val="2"/>
          <w:sz w:val="28"/>
          <w:szCs w:val="28"/>
        </w:rPr>
        <w:t xml:space="preserve"> </w:t>
      </w:r>
      <w:r>
        <w:rPr>
          <w:rFonts w:hint="eastAsia" w:ascii="Times New Roman" w:hAnsi="Times New Roman" w:eastAsia="方正仿宋_GBK" w:cs="Times New Roman"/>
          <w:kern w:val="2"/>
          <w:sz w:val="28"/>
          <w:szCs w:val="28"/>
          <w:lang w:val="en-US" w:eastAsia="zh-CN"/>
        </w:rPr>
        <w:t xml:space="preserve">  </w:t>
      </w:r>
      <w:r>
        <w:rPr>
          <w:rFonts w:ascii="Times New Roman" w:hAnsi="Times New Roman" w:eastAsia="方正仿宋_GBK" w:cs="Times New Roman"/>
          <w:kern w:val="2"/>
          <w:sz w:val="28"/>
          <w:szCs w:val="28"/>
        </w:rPr>
        <w:t xml:space="preserve"> </w:t>
      </w:r>
      <w:r>
        <w:rPr>
          <w:rFonts w:hint="eastAsia" w:ascii="Times New Roman" w:hAnsi="Times New Roman" w:eastAsia="方正仿宋_GBK" w:cs="Times New Roman"/>
          <w:kern w:val="2"/>
          <w:sz w:val="28"/>
          <w:szCs w:val="28"/>
          <w:lang w:val="en-US" w:eastAsia="zh-CN"/>
        </w:rPr>
        <w:t xml:space="preserve">  </w:t>
      </w:r>
      <w:r>
        <w:rPr>
          <w:rFonts w:hint="default" w:ascii="Times New Roman" w:hAnsi="Times New Roman" w:eastAsia="方正仿宋_GBK" w:cs="Times New Roman"/>
          <w:kern w:val="2"/>
          <w:sz w:val="28"/>
          <w:szCs w:val="28"/>
          <w:lang w:eastAsia="zh-CN"/>
        </w:rPr>
        <w:t>202</w:t>
      </w:r>
      <w:r>
        <w:rPr>
          <w:rFonts w:hint="eastAsia" w:ascii="Times New Roman" w:hAnsi="Times New Roman" w:eastAsia="宋体" w:cs="Times New Roman"/>
          <w:kern w:val="2"/>
          <w:sz w:val="28"/>
          <w:szCs w:val="28"/>
          <w:lang w:val="en-US" w:eastAsia="zh-CN"/>
        </w:rPr>
        <w:t>5</w:t>
      </w:r>
      <w:r>
        <w:rPr>
          <w:rFonts w:hint="default" w:ascii="Times New Roman" w:hAnsi="Times New Roman" w:eastAsia="方正仿宋_GBK" w:cs="Times New Roman"/>
          <w:kern w:val="2"/>
          <w:sz w:val="28"/>
          <w:szCs w:val="28"/>
          <w:lang w:eastAsia="zh-CN"/>
        </w:rPr>
        <w:t>年</w:t>
      </w:r>
      <w:r>
        <w:rPr>
          <w:rFonts w:hint="eastAsia" w:ascii="Times New Roman" w:hAnsi="Times New Roman" w:eastAsia="宋体" w:cs="Times New Roman"/>
          <w:kern w:val="2"/>
          <w:sz w:val="28"/>
          <w:szCs w:val="28"/>
          <w:lang w:val="en-US" w:eastAsia="zh-CN"/>
        </w:rPr>
        <w:t>4</w:t>
      </w:r>
      <w:r>
        <w:rPr>
          <w:rFonts w:hint="default" w:ascii="Times New Roman" w:hAnsi="Times New Roman" w:eastAsia="方正仿宋_GBK" w:cs="Times New Roman"/>
          <w:kern w:val="2"/>
          <w:sz w:val="28"/>
          <w:szCs w:val="28"/>
          <w:lang w:eastAsia="zh-CN"/>
        </w:rPr>
        <w:t>月</w:t>
      </w:r>
      <w:r>
        <w:rPr>
          <w:rFonts w:hint="eastAsia" w:ascii="Times New Roman" w:hAnsi="Times New Roman" w:eastAsia="宋体" w:cs="Times New Roman"/>
          <w:kern w:val="2"/>
          <w:sz w:val="28"/>
          <w:szCs w:val="28"/>
          <w:lang w:val="en-US" w:eastAsia="zh-CN"/>
        </w:rPr>
        <w:t>30</w:t>
      </w:r>
      <w:r>
        <w:rPr>
          <w:rFonts w:hint="default" w:ascii="Times New Roman" w:hAnsi="Times New Roman" w:eastAsia="方正仿宋_GBK" w:cs="Times New Roman"/>
          <w:kern w:val="2"/>
          <w:sz w:val="28"/>
          <w:szCs w:val="28"/>
          <w:lang w:eastAsia="zh-CN"/>
        </w:rPr>
        <w:t>日</w:t>
      </w:r>
      <w:r>
        <w:rPr>
          <w:rFonts w:hint="default" w:ascii="Times New Roman" w:hAnsi="Times New Roman" w:eastAsia="方正仿宋_GBK" w:cs="Times New Roman"/>
          <w:kern w:val="2"/>
          <w:sz w:val="28"/>
          <w:szCs w:val="28"/>
        </w:rPr>
        <w:t>印发</w:t>
      </w:r>
    </w:p>
    <w:sectPr>
      <w:pgSz w:w="11910" w:h="16840"/>
      <w:pgMar w:top="2098" w:right="1474" w:bottom="1984" w:left="1587" w:header="850" w:footer="1361" w:gutter="0"/>
      <w:pgNumType w:fmt="decimal"/>
      <w:cols w:space="0" w:num="1"/>
      <w:rtlGutter w:val="0"/>
      <w:docGrid w:linePitch="57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E6446">
    <w:pPr>
      <w:pStyle w:val="7"/>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18B4BD">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18B4BD">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9574DF"/>
    <w:rsid w:val="007C403E"/>
    <w:rsid w:val="03AC051B"/>
    <w:rsid w:val="04456FC9"/>
    <w:rsid w:val="06E17920"/>
    <w:rsid w:val="08EB026E"/>
    <w:rsid w:val="0A391F8F"/>
    <w:rsid w:val="0A4A4705"/>
    <w:rsid w:val="0B945A55"/>
    <w:rsid w:val="0C874708"/>
    <w:rsid w:val="104C51CD"/>
    <w:rsid w:val="14967868"/>
    <w:rsid w:val="158953AB"/>
    <w:rsid w:val="15A47644"/>
    <w:rsid w:val="1709270C"/>
    <w:rsid w:val="189D56A3"/>
    <w:rsid w:val="198A5985"/>
    <w:rsid w:val="1A3372DE"/>
    <w:rsid w:val="1A760935"/>
    <w:rsid w:val="1B303147"/>
    <w:rsid w:val="1EB71B6E"/>
    <w:rsid w:val="1EC12977"/>
    <w:rsid w:val="1EE9565E"/>
    <w:rsid w:val="21CE6BFA"/>
    <w:rsid w:val="2A3C26FA"/>
    <w:rsid w:val="2AAB487D"/>
    <w:rsid w:val="2CDC5C20"/>
    <w:rsid w:val="2D777631"/>
    <w:rsid w:val="308F5E84"/>
    <w:rsid w:val="31B92761"/>
    <w:rsid w:val="31E11C11"/>
    <w:rsid w:val="322C0575"/>
    <w:rsid w:val="32380B50"/>
    <w:rsid w:val="324127AF"/>
    <w:rsid w:val="335F21B9"/>
    <w:rsid w:val="351E098B"/>
    <w:rsid w:val="35831E6E"/>
    <w:rsid w:val="39960D47"/>
    <w:rsid w:val="3A021941"/>
    <w:rsid w:val="3BDC3818"/>
    <w:rsid w:val="3CC26FCF"/>
    <w:rsid w:val="3CE01CCA"/>
    <w:rsid w:val="414A5EE4"/>
    <w:rsid w:val="43A0343B"/>
    <w:rsid w:val="43E65C18"/>
    <w:rsid w:val="44413E86"/>
    <w:rsid w:val="459574DF"/>
    <w:rsid w:val="45996DA3"/>
    <w:rsid w:val="46E34063"/>
    <w:rsid w:val="46F44661"/>
    <w:rsid w:val="4B093949"/>
    <w:rsid w:val="4B1A04D1"/>
    <w:rsid w:val="4F45052E"/>
    <w:rsid w:val="502E74EE"/>
    <w:rsid w:val="517270B7"/>
    <w:rsid w:val="5559525C"/>
    <w:rsid w:val="5A953307"/>
    <w:rsid w:val="5B284129"/>
    <w:rsid w:val="5B5531EB"/>
    <w:rsid w:val="5D3E2B6B"/>
    <w:rsid w:val="5E050339"/>
    <w:rsid w:val="61825751"/>
    <w:rsid w:val="62F04C73"/>
    <w:rsid w:val="635E5901"/>
    <w:rsid w:val="648C7C5B"/>
    <w:rsid w:val="65956D31"/>
    <w:rsid w:val="6869718B"/>
    <w:rsid w:val="68D16C3C"/>
    <w:rsid w:val="6BB2443E"/>
    <w:rsid w:val="6C7D1EB2"/>
    <w:rsid w:val="6CF01415"/>
    <w:rsid w:val="6CF413E2"/>
    <w:rsid w:val="6D31488D"/>
    <w:rsid w:val="6D836242"/>
    <w:rsid w:val="6F4B22C7"/>
    <w:rsid w:val="701B242D"/>
    <w:rsid w:val="70BB4870"/>
    <w:rsid w:val="70EC09C2"/>
    <w:rsid w:val="71247F29"/>
    <w:rsid w:val="72265528"/>
    <w:rsid w:val="72D439DC"/>
    <w:rsid w:val="73CF3701"/>
    <w:rsid w:val="73E265A6"/>
    <w:rsid w:val="76B274DC"/>
    <w:rsid w:val="76B85D14"/>
    <w:rsid w:val="795D6D23"/>
    <w:rsid w:val="7A4E176C"/>
    <w:rsid w:val="7B377ABB"/>
    <w:rsid w:val="7DC7277A"/>
    <w:rsid w:val="7DE464FE"/>
    <w:rsid w:val="7FAB1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9" w:lineRule="exact"/>
      <w:ind w:firstLine="872" w:firstLineChars="200"/>
      <w:jc w:val="both"/>
    </w:pPr>
    <w:rPr>
      <w:rFonts w:ascii="Times New Roman" w:hAnsi="Times New Roman" w:eastAsia="方正仿宋_GBK" w:cstheme="minorBidi"/>
      <w:kern w:val="2"/>
      <w:sz w:val="32"/>
      <w:szCs w:val="32"/>
      <w:lang w:val="en-US" w:eastAsia="zh-CN" w:bidi="ar-SA"/>
    </w:rPr>
  </w:style>
  <w:style w:type="paragraph" w:styleId="2">
    <w:name w:val="heading 1"/>
    <w:basedOn w:val="1"/>
    <w:next w:val="1"/>
    <w:qFormat/>
    <w:uiPriority w:val="0"/>
    <w:pPr>
      <w:keepNext/>
      <w:keepLines/>
      <w:spacing w:beforeLines="0" w:beforeAutospacing="0" w:afterAutospacing="0" w:line="560" w:lineRule="exact"/>
      <w:ind w:firstLine="872" w:firstLineChars="200"/>
      <w:jc w:val="left"/>
      <w:outlineLvl w:val="0"/>
    </w:pPr>
    <w:rPr>
      <w:rFonts w:ascii="Times New Roman" w:hAnsi="Times New Roman" w:eastAsia="方正黑体_GBK"/>
      <w:kern w:val="44"/>
      <w:sz w:val="32"/>
    </w:rPr>
  </w:style>
  <w:style w:type="paragraph" w:styleId="3">
    <w:name w:val="heading 2"/>
    <w:basedOn w:val="1"/>
    <w:next w:val="1"/>
    <w:semiHidden/>
    <w:unhideWhenUsed/>
    <w:qFormat/>
    <w:uiPriority w:val="0"/>
    <w:pPr>
      <w:keepNext/>
      <w:keepLines/>
      <w:spacing w:beforeLines="0" w:beforeAutospacing="0" w:afterLines="0" w:afterAutospacing="0" w:line="560" w:lineRule="exact"/>
      <w:outlineLvl w:val="1"/>
    </w:pPr>
    <w:rPr>
      <w:rFonts w:ascii="Arial" w:hAnsi="Arial" w:eastAsia="方正楷体_GBK"/>
    </w:rPr>
  </w:style>
  <w:style w:type="paragraph" w:styleId="4">
    <w:name w:val="heading 3"/>
    <w:basedOn w:val="1"/>
    <w:next w:val="1"/>
    <w:semiHidden/>
    <w:unhideWhenUsed/>
    <w:qFormat/>
    <w:uiPriority w:val="0"/>
    <w:pPr>
      <w:keepNext/>
      <w:keepLines/>
      <w:spacing w:beforeLines="0" w:beforeAutospacing="0" w:afterLines="0" w:afterAutospacing="0" w:line="560" w:lineRule="exact"/>
      <w:ind w:firstLine="872" w:firstLineChars="200"/>
      <w:jc w:val="left"/>
      <w:outlineLvl w:val="2"/>
    </w:pPr>
    <w:rPr>
      <w:rFonts w:ascii="Times New Roman" w:hAnsi="Times New Roman" w:eastAsia="方正仿宋_GBK"/>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next w:val="1"/>
    <w:qFormat/>
    <w:uiPriority w:val="99"/>
    <w:pPr>
      <w:widowControl w:val="0"/>
      <w:spacing w:line="540" w:lineRule="exact"/>
      <w:ind w:firstLine="200" w:firstLineChars="200"/>
      <w:jc w:val="left"/>
    </w:pPr>
    <w:rPr>
      <w:rFonts w:ascii="Times New Roman" w:hAnsi="Times New Roman" w:eastAsia="仿宋_GB2312" w:cs="Times New Roman"/>
      <w:kern w:val="2"/>
      <w:sz w:val="32"/>
      <w:szCs w:val="32"/>
      <w:lang w:val="en-US" w:eastAsia="zh-CN" w:bidi="ar-SA"/>
    </w:rPr>
  </w:style>
  <w:style w:type="paragraph" w:styleId="6">
    <w:name w:val="Body Text"/>
    <w:basedOn w:val="1"/>
    <w:qFormat/>
    <w:uiPriority w:val="0"/>
    <w:pPr>
      <w:spacing w:afterLines="0" w:afterAutospacing="0"/>
      <w:jc w:val="both"/>
    </w:pPr>
    <w:rPr>
      <w:rFonts w:ascii="Times New Roman" w:hAnsi="Times New Roman"/>
    </w:rPr>
  </w:style>
  <w:style w:type="paragraph" w:styleId="7">
    <w:name w:val="footer"/>
    <w:basedOn w:val="1"/>
    <w:qFormat/>
    <w:uiPriority w:val="0"/>
    <w:pPr>
      <w:tabs>
        <w:tab w:val="center" w:pos="4153"/>
        <w:tab w:val="right" w:pos="8306"/>
      </w:tabs>
      <w:snapToGrid w:val="0"/>
      <w:ind w:left="316" w:leftChars="100" w:right="316" w:rightChars="100" w:firstLine="0" w:firstLineChars="0"/>
      <w:jc w:val="right"/>
    </w:pPr>
    <w:rPr>
      <w:rFonts w:ascii="宋体" w:hAnsi="宋体" w:eastAsia="宋体"/>
      <w:sz w:val="2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左页脚"/>
    <w:basedOn w:val="7"/>
    <w:qFormat/>
    <w:uiPriority w:val="0"/>
    <w:pPr>
      <w:ind w:left="316" w:leftChars="100" w:right="316" w:rightChars="100"/>
      <w:jc w:val="left"/>
    </w:pPr>
  </w:style>
  <w:style w:type="paragraph" w:customStyle="1" w:styleId="12">
    <w:name w:val="右页脚"/>
    <w:basedOn w:val="11"/>
    <w:qFormat/>
    <w:uiPriority w:val="0"/>
    <w:pPr>
      <w:ind w:left="316" w:leftChars="100" w:right="316" w:rightChars="100"/>
    </w:pPr>
    <w:rPr>
      <w:rFonts w:ascii="宋体" w:hAnsi="宋体" w:eastAsia="宋体"/>
    </w:rPr>
  </w:style>
  <w:style w:type="paragraph" w:customStyle="1" w:styleId="13">
    <w:name w:val="公文正文"/>
    <w:basedOn w:val="1"/>
    <w:qFormat/>
    <w:uiPriority w:val="0"/>
    <w:pPr>
      <w:spacing w:line="579" w:lineRule="exact"/>
      <w:ind w:firstLine="632" w:firstLineChars="200"/>
      <w:jc w:val="both"/>
    </w:pPr>
    <w:rPr>
      <w:rFonts w:ascii="Times New Roman" w:hAnsi="Times New Roman"/>
    </w:rPr>
  </w:style>
  <w:style w:type="paragraph" w:customStyle="1" w:styleId="14">
    <w:name w:val="公文标题"/>
    <w:basedOn w:val="13"/>
    <w:next w:val="13"/>
    <w:qFormat/>
    <w:uiPriority w:val="0"/>
    <w:pPr>
      <w:ind w:firstLine="0" w:firstLineChars="0"/>
      <w:jc w:val="center"/>
    </w:pPr>
    <w:rPr>
      <w:rFonts w:ascii="Times New Roman" w:hAnsi="Times New Roman" w:eastAsia="方正小标宋_GBK"/>
      <w:sz w:val="44"/>
      <w:szCs w:val="44"/>
    </w:rPr>
  </w:style>
  <w:style w:type="paragraph" w:customStyle="1" w:styleId="15">
    <w:name w:val="公文一级标题"/>
    <w:basedOn w:val="13"/>
    <w:next w:val="13"/>
    <w:link w:val="18"/>
    <w:qFormat/>
    <w:uiPriority w:val="0"/>
    <w:pPr>
      <w:jc w:val="both"/>
      <w:outlineLvl w:val="9"/>
    </w:pPr>
    <w:rPr>
      <w:rFonts w:ascii="Times New Roman" w:hAnsi="Times New Roman" w:eastAsia="方正黑体_GBK"/>
    </w:rPr>
  </w:style>
  <w:style w:type="paragraph" w:customStyle="1" w:styleId="16">
    <w:name w:val="公文二级标题"/>
    <w:basedOn w:val="13"/>
    <w:next w:val="13"/>
    <w:qFormat/>
    <w:uiPriority w:val="0"/>
    <w:pPr>
      <w:outlineLvl w:val="9"/>
    </w:pPr>
    <w:rPr>
      <w:rFonts w:ascii="Times New Roman" w:hAnsi="Times New Roman" w:eastAsia="方正楷体_GBK"/>
    </w:rPr>
  </w:style>
  <w:style w:type="paragraph" w:customStyle="1" w:styleId="17">
    <w:name w:val="公文三级标题"/>
    <w:basedOn w:val="13"/>
    <w:next w:val="13"/>
    <w:link w:val="19"/>
    <w:autoRedefine/>
    <w:qFormat/>
    <w:uiPriority w:val="0"/>
    <w:pPr>
      <w:ind w:left="0"/>
      <w:outlineLvl w:val="9"/>
    </w:pPr>
    <w:rPr>
      <w:rFonts w:ascii="Times New Roman" w:hAnsi="Times New Roman"/>
      <w:b/>
      <w:bCs/>
    </w:rPr>
  </w:style>
  <w:style w:type="character" w:customStyle="1" w:styleId="18">
    <w:name w:val="公文一级标题 Char"/>
    <w:link w:val="15"/>
    <w:autoRedefine/>
    <w:qFormat/>
    <w:uiPriority w:val="0"/>
    <w:rPr>
      <w:rFonts w:ascii="Times New Roman" w:hAnsi="Times New Roman" w:eastAsia="方正黑体_GBK"/>
    </w:rPr>
  </w:style>
  <w:style w:type="character" w:customStyle="1" w:styleId="19">
    <w:name w:val="公文三级标题 Char"/>
    <w:link w:val="17"/>
    <w:autoRedefine/>
    <w:qFormat/>
    <w:uiPriority w:val="0"/>
    <w:rPr>
      <w:rFonts w:ascii="Times New Roman" w:hAnsi="Times New Roman" w:eastAsia="方正仿宋_GBK" w:cs="Times New Roman"/>
      <w:b/>
      <w:bCs/>
    </w:rPr>
  </w:style>
  <w:style w:type="paragraph" w:customStyle="1" w:styleId="20">
    <w:name w:val="公文副标题"/>
    <w:basedOn w:val="1"/>
    <w:autoRedefine/>
    <w:qFormat/>
    <w:uiPriority w:val="0"/>
    <w:pPr>
      <w:ind w:firstLine="0" w:firstLineChars="0"/>
      <w:jc w:val="center"/>
    </w:pPr>
    <w:rPr>
      <w:rFonts w:ascii="Times New Roman" w:hAnsi="Times New Roman" w:eastAsia="方正楷体_GBK"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3216</Words>
  <Characters>3272</Characters>
  <Lines>0</Lines>
  <Paragraphs>0</Paragraphs>
  <TotalTime>1</TotalTime>
  <ScaleCrop>false</ScaleCrop>
  <LinksUpToDate>false</LinksUpToDate>
  <CharactersWithSpaces>3410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2025-04-30T01:28:00Z</dcterms:created>
  <dc:creator>zauspher</dc:creator>
  <cp:lastModifiedBy>zauspher</cp:lastModifiedBy>
  <dcterms:modified xsi:type="dcterms:W3CDTF">2025-04-30T01:36:35Z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195B8D419AE84424A1F780C791896F58_11</vt:lpwstr>
  </property>
  <property fmtid="{D5CDD505-2E9C-101B-9397-08002B2CF9AE}" pid="4" name="KSOTemplateDocerSaveRecord">
    <vt:lpwstr>eyJoZGlkIjoiNmQ2MGE4ZDc0YzUxYzhiZDM4ZTdkZmE4MWRlOGJjNWUiLCJ1c2VySWQiOiIzOTM4MzI5MDQifQ==</vt:lpwstr>
  </property>
</Properties>
</file>