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_GBK" w:eastAsia="方正小标宋_GBK"/>
          <w:b/>
          <w:bCs/>
          <w:sz w:val="44"/>
          <w:szCs w:val="44"/>
        </w:rPr>
      </w:pPr>
      <w:r>
        <w:rPr>
          <w:rFonts w:hint="eastAsia" w:ascii="方正黑体_GBK" w:hAnsi="宋体" w:eastAsia="方正黑体_GBK" w:cs="宋体"/>
          <w:bCs/>
        </w:rPr>
        <w:t>附件</w:t>
      </w:r>
    </w:p>
    <w:p>
      <w:pPr>
        <w:spacing w:line="600" w:lineRule="exact"/>
        <w:jc w:val="center"/>
        <w:rPr>
          <w:rFonts w:ascii="方正小标宋_GBK" w:eastAsia="方正小标宋_GBK"/>
          <w:b/>
          <w:bCs/>
          <w:sz w:val="44"/>
          <w:szCs w:val="44"/>
        </w:rPr>
      </w:pPr>
      <w:bookmarkStart w:id="0" w:name="_GoBack"/>
      <w:r>
        <w:rPr>
          <w:rFonts w:ascii="方正小标宋_GBK" w:eastAsia="方正小标宋_GBK"/>
          <w:b/>
          <w:bCs/>
          <w:sz w:val="44"/>
          <w:szCs w:val="44"/>
        </w:rPr>
        <w:t>城口县责任督学工作评价指标体系</w:t>
      </w:r>
      <w:bookmarkEnd w:id="0"/>
    </w:p>
    <w:p>
      <w:pPr>
        <w:spacing w:line="600" w:lineRule="exact"/>
        <w:jc w:val="center"/>
        <w:rPr>
          <w:rFonts w:ascii="方正小标宋_GBK" w:eastAsia="方正小标宋_GBK"/>
          <w:b/>
          <w:bCs/>
          <w:sz w:val="44"/>
          <w:szCs w:val="44"/>
        </w:rPr>
      </w:pPr>
    </w:p>
    <w:tbl>
      <w:tblPr>
        <w:tblStyle w:val="3"/>
        <w:tblW w:w="13298" w:type="dxa"/>
        <w:tblInd w:w="93" w:type="dxa"/>
        <w:tblLayout w:type="fixed"/>
        <w:tblCellMar>
          <w:top w:w="0" w:type="dxa"/>
          <w:left w:w="108" w:type="dxa"/>
          <w:bottom w:w="0" w:type="dxa"/>
          <w:right w:w="108" w:type="dxa"/>
        </w:tblCellMar>
      </w:tblPr>
      <w:tblGrid>
        <w:gridCol w:w="902"/>
        <w:gridCol w:w="4710"/>
        <w:gridCol w:w="4302"/>
        <w:gridCol w:w="684"/>
        <w:gridCol w:w="1216"/>
        <w:gridCol w:w="767"/>
        <w:gridCol w:w="717"/>
      </w:tblGrid>
      <w:tr>
        <w:tblPrEx>
          <w:tblCellMar>
            <w:top w:w="0" w:type="dxa"/>
            <w:left w:w="108" w:type="dxa"/>
            <w:bottom w:w="0" w:type="dxa"/>
            <w:right w:w="108" w:type="dxa"/>
          </w:tblCellMar>
        </w:tblPrEx>
        <w:trPr>
          <w:trHeight w:val="480" w:hRule="atLeast"/>
        </w:trPr>
        <w:tc>
          <w:tcPr>
            <w:tcW w:w="90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A级</w:t>
            </w:r>
          </w:p>
          <w:p>
            <w:pPr>
              <w:widowControl/>
              <w:spacing w:line="280" w:lineRule="exact"/>
              <w:jc w:val="center"/>
              <w:textAlignment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指标</w:t>
            </w:r>
          </w:p>
        </w:tc>
        <w:tc>
          <w:tcPr>
            <w:tcW w:w="4710"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B级指标</w:t>
            </w:r>
          </w:p>
        </w:tc>
        <w:tc>
          <w:tcPr>
            <w:tcW w:w="4302"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评分办法</w:t>
            </w:r>
          </w:p>
        </w:tc>
        <w:tc>
          <w:tcPr>
            <w:tcW w:w="684"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权重分</w:t>
            </w:r>
          </w:p>
        </w:tc>
        <w:tc>
          <w:tcPr>
            <w:tcW w:w="1216"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信息来源</w:t>
            </w:r>
          </w:p>
        </w:tc>
        <w:tc>
          <w:tcPr>
            <w:tcW w:w="767"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自评得分</w:t>
            </w:r>
          </w:p>
        </w:tc>
        <w:tc>
          <w:tcPr>
            <w:tcW w:w="717"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kern w:val="0"/>
                <w:sz w:val="24"/>
                <w:szCs w:val="24"/>
              </w:rPr>
              <w:t>考核得分</w:t>
            </w:r>
          </w:p>
        </w:tc>
      </w:tr>
      <w:tr>
        <w:tblPrEx>
          <w:tblCellMar>
            <w:top w:w="0" w:type="dxa"/>
            <w:left w:w="108" w:type="dxa"/>
            <w:bottom w:w="0" w:type="dxa"/>
            <w:right w:w="108" w:type="dxa"/>
          </w:tblCellMar>
        </w:tblPrEx>
        <w:trPr>
          <w:trHeight w:val="1385" w:hRule="atLeast"/>
        </w:trPr>
        <w:tc>
          <w:tcPr>
            <w:tcW w:w="902" w:type="dxa"/>
            <w:tcBorders>
              <w:top w:val="single" w:color="auto" w:sz="4" w:space="0"/>
              <w:left w:val="single" w:color="000000" w:sz="8" w:space="0"/>
              <w:bottom w:val="single" w:color="auto" w:sz="4" w:space="0"/>
              <w:right w:val="single" w:color="000000" w:sz="8" w:space="0"/>
            </w:tcBorders>
            <w:noWrap w:val="0"/>
            <w:vAlign w:val="center"/>
          </w:tcPr>
          <w:p>
            <w:pPr>
              <w:widowControl/>
              <w:spacing w:line="280" w:lineRule="exact"/>
              <w:jc w:val="center"/>
              <w:textAlignment w:val="center"/>
              <w:rPr>
                <w:rFonts w:eastAsia="方正楷体_GBK"/>
                <w:b/>
                <w:bCs/>
                <w:kern w:val="0"/>
                <w:sz w:val="24"/>
                <w:szCs w:val="24"/>
              </w:rPr>
            </w:pPr>
            <w:r>
              <w:rPr>
                <w:rFonts w:eastAsia="方正楷体_GBK"/>
                <w:b/>
                <w:bCs/>
                <w:kern w:val="0"/>
                <w:sz w:val="24"/>
                <w:szCs w:val="24"/>
              </w:rPr>
              <w:t>A1督导工作落实（20分）</w:t>
            </w:r>
          </w:p>
        </w:tc>
        <w:tc>
          <w:tcPr>
            <w:tcW w:w="4710" w:type="dxa"/>
            <w:tcBorders>
              <w:top w:val="single" w:color="auto" w:sz="4"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B1.对照县教委对学校的考核细则、会议文件、领导批示指示等系列决策部署，主动与相关工作组（直属单位）对接工作，收集任务获取督导任务（机关工作组要将相关办理文件传送或抄送责任督学，通知责任督学参加会议，根据本工作组工作推进情况定期下达督导任务），坚持有即跟踪督导，及时书面向督导纪监工作组提交责任学校落实情况的结果报告单（没有办结前不能报告，正在办理的不能报告，只能报告完成或没完成的结果），督导纪监工作组收到督导报告单后提交任务所在工作组及分管委领导确认结果真实性。</w:t>
            </w:r>
          </w:p>
        </w:tc>
        <w:tc>
          <w:tcPr>
            <w:tcW w:w="4302"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每报1件次（按内容计算，相同内容的，所包学校只能算一件次，多项内容可同时报）得0.1分。若报完成或落实，后面发现所报情况不真实，甚至出现问题的，1件次扣3分，审核工作组扣5分，并作检查。</w:t>
            </w:r>
          </w:p>
          <w:p>
            <w:pPr>
              <w:widowControl/>
              <w:spacing w:line="280" w:lineRule="exact"/>
              <w:jc w:val="left"/>
              <w:textAlignment w:val="center"/>
              <w:rPr>
                <w:kern w:val="0"/>
                <w:sz w:val="24"/>
                <w:szCs w:val="24"/>
              </w:rPr>
            </w:pPr>
          </w:p>
        </w:tc>
        <w:tc>
          <w:tcPr>
            <w:tcW w:w="684"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20</w:t>
            </w:r>
          </w:p>
        </w:tc>
        <w:tc>
          <w:tcPr>
            <w:tcW w:w="1216"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督导纪监工作组建立登记台账</w:t>
            </w:r>
          </w:p>
        </w:tc>
        <w:tc>
          <w:tcPr>
            <w:tcW w:w="76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c>
          <w:tcPr>
            <w:tcW w:w="71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r>
      <w:tr>
        <w:tblPrEx>
          <w:tblCellMar>
            <w:top w:w="0" w:type="dxa"/>
            <w:left w:w="108" w:type="dxa"/>
            <w:bottom w:w="0" w:type="dxa"/>
            <w:right w:w="108" w:type="dxa"/>
          </w:tblCellMar>
        </w:tblPrEx>
        <w:trPr>
          <w:trHeight w:val="1156" w:hRule="atLeast"/>
        </w:trPr>
        <w:tc>
          <w:tcPr>
            <w:tcW w:w="90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eastAsia="方正楷体_GBK"/>
                <w:b/>
                <w:bCs/>
                <w:kern w:val="0"/>
                <w:sz w:val="24"/>
                <w:szCs w:val="24"/>
              </w:rPr>
            </w:pPr>
            <w:r>
              <w:rPr>
                <w:rFonts w:eastAsia="方正楷体_GBK"/>
                <w:b/>
                <w:bCs/>
                <w:kern w:val="0"/>
                <w:sz w:val="24"/>
                <w:szCs w:val="24"/>
              </w:rPr>
              <w:t>A2发现并提交问题（20分）</w:t>
            </w:r>
          </w:p>
        </w:tc>
        <w:tc>
          <w:tcPr>
            <w:tcW w:w="4710"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B2.在督导过程中能发现各种问题，及时向督导纪监工作组提交问题清单，提出整改建议并督促学校整改。</w:t>
            </w:r>
          </w:p>
          <w:p>
            <w:pPr>
              <w:widowControl/>
              <w:spacing w:line="280" w:lineRule="exact"/>
              <w:jc w:val="center"/>
              <w:textAlignment w:val="center"/>
              <w:rPr>
                <w:rFonts w:eastAsia="方正楷体_GBK"/>
                <w:b/>
                <w:bCs/>
                <w:kern w:val="0"/>
                <w:sz w:val="24"/>
                <w:szCs w:val="24"/>
              </w:rPr>
            </w:pPr>
          </w:p>
        </w:tc>
        <w:tc>
          <w:tcPr>
            <w:tcW w:w="4302"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每提交一次得0.1分（同一内容问题不得重复提交）。问题需经所在工作组及分管委领导确认方可认定为问题，针对问题要督促学校整改。对责任学校出现的问题未及时上报或隐瞒不报，导致出现不良影响或负面舆情的，1件次扣1分。</w:t>
            </w:r>
          </w:p>
        </w:tc>
        <w:tc>
          <w:tcPr>
            <w:tcW w:w="684"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20</w:t>
            </w:r>
          </w:p>
        </w:tc>
        <w:tc>
          <w:tcPr>
            <w:tcW w:w="1216"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督导纪监工作组建立台账</w:t>
            </w:r>
          </w:p>
        </w:tc>
        <w:tc>
          <w:tcPr>
            <w:tcW w:w="76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c>
          <w:tcPr>
            <w:tcW w:w="71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p/>
          <w:p>
            <w:pPr>
              <w:jc w:val="center"/>
            </w:pPr>
          </w:p>
        </w:tc>
      </w:tr>
      <w:tr>
        <w:tblPrEx>
          <w:tblCellMar>
            <w:top w:w="0" w:type="dxa"/>
            <w:left w:w="108" w:type="dxa"/>
            <w:bottom w:w="0" w:type="dxa"/>
            <w:right w:w="108" w:type="dxa"/>
          </w:tblCellMar>
        </w:tblPrEx>
        <w:trPr>
          <w:trHeight w:val="2302" w:hRule="atLeast"/>
        </w:trPr>
        <w:tc>
          <w:tcPr>
            <w:tcW w:w="90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textAlignment w:val="center"/>
              <w:rPr>
                <w:rFonts w:eastAsia="方正楷体_GBK"/>
                <w:b/>
                <w:bCs/>
                <w:kern w:val="0"/>
                <w:sz w:val="24"/>
                <w:szCs w:val="24"/>
              </w:rPr>
            </w:pPr>
            <w:r>
              <w:rPr>
                <w:rFonts w:eastAsia="方正楷体_GBK"/>
                <w:b/>
                <w:bCs/>
                <w:kern w:val="0"/>
                <w:sz w:val="24"/>
                <w:szCs w:val="24"/>
              </w:rPr>
              <w:t>A3责任学校办学质量（40分）</w:t>
            </w:r>
          </w:p>
        </w:tc>
        <w:tc>
          <w:tcPr>
            <w:tcW w:w="4710"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 xml:space="preserve"> </w:t>
            </w:r>
          </w:p>
          <w:p>
            <w:pPr>
              <w:widowControl/>
              <w:spacing w:line="280" w:lineRule="exact"/>
              <w:jc w:val="left"/>
              <w:textAlignment w:val="center"/>
              <w:rPr>
                <w:kern w:val="0"/>
                <w:sz w:val="24"/>
                <w:szCs w:val="24"/>
              </w:rPr>
            </w:pPr>
            <w:r>
              <w:rPr>
                <w:kern w:val="0"/>
                <w:sz w:val="24"/>
                <w:szCs w:val="24"/>
              </w:rPr>
              <w:t xml:space="preserve">B3.发挥责任督学优势，围绕责任学校依法治校、学校党建及党风廉政建设、学校安全稳定、师德师风、教学质量提升、校风学风建设、设施设备管理运用、“双减”政策落实等工作，认真开展经常性督导；参与责任学校教学管理指导，督促落实教学常规检查；助推学校提高管理水平，提升学校办学质量。责任督学考核与责任学校的综合督导考核绑定。 </w:t>
            </w:r>
          </w:p>
        </w:tc>
        <w:tc>
          <w:tcPr>
            <w:tcW w:w="4302"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按责任学校综合督导考核结果折算平均分，责任学校获一、二、三等奖及未获奖分别计40、35、30、20分。综合考核中，责任学校有降等的，一所减1分；有一票否决的，一所减2分。</w:t>
            </w:r>
          </w:p>
        </w:tc>
        <w:tc>
          <w:tcPr>
            <w:tcW w:w="684"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40</w:t>
            </w:r>
          </w:p>
        </w:tc>
        <w:tc>
          <w:tcPr>
            <w:tcW w:w="1216"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查综合督导考核文件。</w:t>
            </w:r>
          </w:p>
        </w:tc>
        <w:tc>
          <w:tcPr>
            <w:tcW w:w="767" w:type="dxa"/>
            <w:tcBorders>
              <w:top w:val="single" w:color="000000" w:sz="8" w:space="0"/>
              <w:left w:val="nil"/>
              <w:bottom w:val="single" w:color="000000" w:sz="8" w:space="0"/>
              <w:right w:val="single" w:color="000000" w:sz="8" w:space="0"/>
            </w:tcBorders>
            <w:noWrap w:val="0"/>
            <w:vAlign w:val="center"/>
          </w:tcPr>
          <w:p>
            <w:pPr>
              <w:widowControl/>
              <w:spacing w:line="280" w:lineRule="exact"/>
              <w:rPr>
                <w:sz w:val="24"/>
                <w:szCs w:val="24"/>
              </w:rPr>
            </w:pPr>
          </w:p>
        </w:tc>
        <w:tc>
          <w:tcPr>
            <w:tcW w:w="717" w:type="dxa"/>
            <w:tcBorders>
              <w:top w:val="single" w:color="000000" w:sz="8" w:space="0"/>
              <w:left w:val="nil"/>
              <w:bottom w:val="single" w:color="000000" w:sz="8" w:space="0"/>
              <w:right w:val="single" w:color="000000" w:sz="8" w:space="0"/>
            </w:tcBorders>
            <w:noWrap w:val="0"/>
            <w:vAlign w:val="center"/>
          </w:tcPr>
          <w:p>
            <w:pPr>
              <w:widowControl/>
              <w:spacing w:line="280" w:lineRule="exact"/>
              <w:rPr>
                <w:sz w:val="24"/>
                <w:szCs w:val="24"/>
              </w:rPr>
            </w:pPr>
          </w:p>
        </w:tc>
      </w:tr>
      <w:tr>
        <w:tblPrEx>
          <w:tblCellMar>
            <w:top w:w="0" w:type="dxa"/>
            <w:left w:w="108" w:type="dxa"/>
            <w:bottom w:w="0" w:type="dxa"/>
            <w:right w:w="108" w:type="dxa"/>
          </w:tblCellMar>
        </w:tblPrEx>
        <w:trPr>
          <w:trHeight w:val="1200" w:hRule="atLeast"/>
        </w:trPr>
        <w:tc>
          <w:tcPr>
            <w:tcW w:w="902" w:type="dxa"/>
            <w:vMerge w:val="restart"/>
            <w:tcBorders>
              <w:top w:val="single" w:color="000000" w:sz="8" w:space="0"/>
              <w:left w:val="single" w:color="000000" w:sz="8" w:space="0"/>
              <w:right w:val="single" w:color="000000" w:sz="8" w:space="0"/>
            </w:tcBorders>
            <w:noWrap w:val="0"/>
            <w:vAlign w:val="center"/>
          </w:tcPr>
          <w:p>
            <w:pPr>
              <w:widowControl/>
              <w:spacing w:line="280" w:lineRule="exact"/>
              <w:jc w:val="center"/>
              <w:textAlignment w:val="center"/>
              <w:rPr>
                <w:rFonts w:eastAsia="方正楷体_GBK"/>
                <w:b/>
                <w:bCs/>
                <w:kern w:val="0"/>
                <w:sz w:val="24"/>
                <w:szCs w:val="24"/>
              </w:rPr>
            </w:pPr>
            <w:r>
              <w:rPr>
                <w:rFonts w:eastAsia="方正楷体_GBK"/>
                <w:b/>
                <w:bCs/>
                <w:kern w:val="0"/>
                <w:sz w:val="24"/>
                <w:szCs w:val="24"/>
              </w:rPr>
              <w:t>A4提交深度咨询文章（20分）</w:t>
            </w:r>
          </w:p>
        </w:tc>
        <w:tc>
          <w:tcPr>
            <w:tcW w:w="4710"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B4.回应社会和领导关注的热点、难点问题，围绕教育安全稳定、家校共育、教育质量提升、师资建设、教育资源布局等在改革突破方面的问题，总结提炼好的做法或可操作的建议。</w:t>
            </w:r>
          </w:p>
        </w:tc>
        <w:tc>
          <w:tcPr>
            <w:tcW w:w="4302"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被县级以上领导批示或县级以上刊物采用的，一篇得1分。</w:t>
            </w:r>
          </w:p>
          <w:p>
            <w:pPr>
              <w:widowControl/>
              <w:spacing w:line="280" w:lineRule="exact"/>
              <w:jc w:val="left"/>
              <w:textAlignment w:val="center"/>
              <w:rPr>
                <w:kern w:val="0"/>
                <w:sz w:val="24"/>
                <w:szCs w:val="24"/>
              </w:rPr>
            </w:pPr>
          </w:p>
        </w:tc>
        <w:tc>
          <w:tcPr>
            <w:tcW w:w="684"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10</w:t>
            </w:r>
          </w:p>
        </w:tc>
        <w:tc>
          <w:tcPr>
            <w:tcW w:w="1216"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督导纪监工作组建立台账</w:t>
            </w:r>
          </w:p>
        </w:tc>
        <w:tc>
          <w:tcPr>
            <w:tcW w:w="76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c>
          <w:tcPr>
            <w:tcW w:w="71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r>
      <w:tr>
        <w:tblPrEx>
          <w:tblCellMar>
            <w:top w:w="0" w:type="dxa"/>
            <w:left w:w="108" w:type="dxa"/>
            <w:bottom w:w="0" w:type="dxa"/>
            <w:right w:w="108" w:type="dxa"/>
          </w:tblCellMar>
        </w:tblPrEx>
        <w:trPr>
          <w:trHeight w:val="1085" w:hRule="atLeast"/>
        </w:trPr>
        <w:tc>
          <w:tcPr>
            <w:tcW w:w="902" w:type="dxa"/>
            <w:vMerge w:val="continue"/>
            <w:tcBorders>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eastAsia="方正楷体_GBK"/>
                <w:b/>
                <w:bCs/>
                <w:kern w:val="0"/>
                <w:sz w:val="24"/>
                <w:szCs w:val="24"/>
              </w:rPr>
            </w:pPr>
          </w:p>
        </w:tc>
        <w:tc>
          <w:tcPr>
            <w:tcW w:w="4710" w:type="dxa"/>
            <w:tcBorders>
              <w:top w:val="single" w:color="000000" w:sz="8" w:space="0"/>
              <w:left w:val="nil"/>
              <w:bottom w:val="single" w:color="000000" w:sz="8"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B5.积极撰写督导案例或督导论文，在县级及以上发表或获奖。</w:t>
            </w:r>
          </w:p>
        </w:tc>
        <w:tc>
          <w:tcPr>
            <w:tcW w:w="4302" w:type="dxa"/>
            <w:tcBorders>
              <w:top w:val="single" w:color="000000" w:sz="8" w:space="0"/>
              <w:left w:val="nil"/>
              <w:bottom w:val="single" w:color="auto" w:sz="4" w:space="0"/>
              <w:right w:val="single" w:color="000000" w:sz="8" w:space="0"/>
            </w:tcBorders>
            <w:noWrap w:val="0"/>
            <w:vAlign w:val="center"/>
          </w:tcPr>
          <w:p>
            <w:pPr>
              <w:widowControl/>
              <w:spacing w:line="280" w:lineRule="exact"/>
              <w:jc w:val="left"/>
              <w:textAlignment w:val="center"/>
              <w:rPr>
                <w:kern w:val="0"/>
                <w:sz w:val="24"/>
                <w:szCs w:val="24"/>
              </w:rPr>
            </w:pPr>
            <w:r>
              <w:rPr>
                <w:kern w:val="0"/>
                <w:sz w:val="24"/>
                <w:szCs w:val="24"/>
              </w:rPr>
              <w:t xml:space="preserve">文章在全国、市、县发表或获奖分别记2分、1分、0.5分。  </w:t>
            </w:r>
          </w:p>
        </w:tc>
        <w:tc>
          <w:tcPr>
            <w:tcW w:w="684"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10</w:t>
            </w:r>
          </w:p>
        </w:tc>
        <w:tc>
          <w:tcPr>
            <w:tcW w:w="1216" w:type="dxa"/>
            <w:tcBorders>
              <w:top w:val="single" w:color="000000" w:sz="8" w:space="0"/>
              <w:left w:val="nil"/>
              <w:bottom w:val="single" w:color="000000" w:sz="8" w:space="0"/>
              <w:right w:val="single" w:color="000000" w:sz="8" w:space="0"/>
            </w:tcBorders>
            <w:noWrap w:val="0"/>
            <w:vAlign w:val="center"/>
          </w:tcPr>
          <w:p>
            <w:pPr>
              <w:widowControl/>
              <w:spacing w:line="280" w:lineRule="exact"/>
              <w:jc w:val="center"/>
              <w:textAlignment w:val="center"/>
              <w:rPr>
                <w:kern w:val="0"/>
                <w:sz w:val="24"/>
                <w:szCs w:val="24"/>
              </w:rPr>
            </w:pPr>
            <w:r>
              <w:rPr>
                <w:kern w:val="0"/>
                <w:sz w:val="24"/>
                <w:szCs w:val="24"/>
              </w:rPr>
              <w:t>查刊物复印件、获奖证书等。</w:t>
            </w:r>
          </w:p>
        </w:tc>
        <w:tc>
          <w:tcPr>
            <w:tcW w:w="76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c>
          <w:tcPr>
            <w:tcW w:w="717" w:type="dxa"/>
            <w:tcBorders>
              <w:top w:val="single" w:color="000000" w:sz="8" w:space="0"/>
              <w:left w:val="nil"/>
              <w:bottom w:val="single" w:color="000000" w:sz="8" w:space="0"/>
              <w:right w:val="single" w:color="000000" w:sz="8" w:space="0"/>
            </w:tcBorders>
            <w:noWrap w:val="0"/>
            <w:vAlign w:val="center"/>
          </w:tcPr>
          <w:p>
            <w:pPr>
              <w:widowControl/>
              <w:spacing w:line="280" w:lineRule="exact"/>
              <w:rPr>
                <w:rFonts w:eastAsia="等线"/>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3C9252CC"/>
    <w:rsid w:val="3C92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2023-03-24T03:01:00Z</dcterms:created>
  <dc:creator>風雲乞丐</dc:creator>
  <cp:lastModifiedBy>風雲乞丐</cp:lastModifiedBy>
  <dcterms:modified xsi:type="dcterms:W3CDTF">2023-03-24T03:01:45Z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AD6BBEA2F0064A66B2ED732936D325FA</vt:lpwstr>
  </property>
</Properties>
</file>