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城口县教育安管资助中心</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w:t>
      </w:r>
      <w:r>
        <w:rPr>
          <w:rFonts w:hint="default" w:ascii="Times New Roman" w:hAnsi="Times New Roman" w:eastAsia="方正小标宋_GBK" w:cs="Times New Roman"/>
          <w:color w:val="auto"/>
          <w:sz w:val="44"/>
          <w:szCs w:val="44"/>
          <w:shd w:val="clear" w:color="auto" w:fill="FFFFFF"/>
          <w:lang w:val="en-US" w:eastAsia="zh-CN"/>
        </w:rPr>
        <w:t>4</w:t>
      </w:r>
      <w:r>
        <w:rPr>
          <w:rFonts w:hint="default" w:ascii="Times New Roman" w:hAnsi="Times New Roman" w:eastAsia="方正小标宋_GBK" w:cs="Times New Roman"/>
          <w:color w:val="auto"/>
          <w:sz w:val="44"/>
          <w:szCs w:val="44"/>
          <w:shd w:val="clear" w:color="auto" w:fill="FFFFFF"/>
        </w:rPr>
        <w:t>年度决算</w:t>
      </w:r>
      <w:r>
        <w:rPr>
          <w:rFonts w:hint="eastAsia" w:ascii="Times New Roman" w:hAnsi="Times New Roman" w:eastAsia="方正小标宋_GBK" w:cs="Times New Roman"/>
          <w:color w:val="auto"/>
          <w:sz w:val="44"/>
          <w:szCs w:val="44"/>
          <w:shd w:val="clear" w:color="auto" w:fill="FFFFFF"/>
          <w:lang w:eastAsia="zh-CN"/>
        </w:rPr>
        <w:t>公开</w:t>
      </w:r>
      <w:r>
        <w:rPr>
          <w:rFonts w:hint="default" w:ascii="Times New Roman" w:hAnsi="Times New Roman" w:eastAsia="方正小标宋_GBK" w:cs="Times New Roman"/>
          <w:color w:val="auto"/>
          <w:sz w:val="44"/>
          <w:szCs w:val="44"/>
          <w:shd w:val="clear" w:color="auto" w:fill="FFFFFF"/>
        </w:rPr>
        <w:t>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Fonts w:hint="default" w:ascii="Times New Roman" w:hAnsi="Times New Roman" w:eastAsia="方正小标宋_GBK" w:cs="Times New Roman"/>
          <w:color w:val="auto"/>
          <w:sz w:val="44"/>
          <w:szCs w:val="44"/>
          <w:shd w:val="clear" w:color="auto" w:fill="FFFFFF"/>
        </w:rPr>
      </w:pP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eastAsia" w:ascii="方正黑体_GBK" w:hAnsi="方正黑体_GBK" w:eastAsia="方正黑体_GBK" w:cs="方正黑体_GBK"/>
          <w:b w:val="0"/>
          <w:bCs/>
          <w:color w:val="auto"/>
          <w:sz w:val="32"/>
          <w:szCs w:val="32"/>
          <w:shd w:val="clear" w:color="auto" w:fill="FFFFFF"/>
        </w:rPr>
      </w:pPr>
      <w:r>
        <w:rPr>
          <w:rStyle w:val="8"/>
          <w:rFonts w:hint="eastAsia" w:ascii="方正黑体_GBK" w:hAnsi="方正黑体_GBK" w:eastAsia="方正黑体_GBK" w:cs="方正黑体_GBK"/>
          <w:b w:val="0"/>
          <w:bCs/>
          <w:color w:val="auto"/>
          <w:sz w:val="32"/>
          <w:szCs w:val="32"/>
          <w:shd w:val="clear" w:color="auto" w:fill="FFFFFF"/>
        </w:rPr>
        <w:t>一、</w:t>
      </w:r>
      <w:r>
        <w:rPr>
          <w:rStyle w:val="8"/>
          <w:rFonts w:hint="eastAsia" w:ascii="方正黑体_GBK" w:hAnsi="方正黑体_GBK" w:eastAsia="方正黑体_GBK" w:cs="方正黑体_GBK"/>
          <w:b w:val="0"/>
          <w:bCs/>
          <w:color w:val="auto"/>
          <w:sz w:val="32"/>
          <w:szCs w:val="32"/>
          <w:shd w:val="clear" w:color="auto" w:fill="FFFFFF"/>
          <w:lang w:eastAsia="zh-CN"/>
        </w:rPr>
        <w:t>单位</w:t>
      </w:r>
      <w:r>
        <w:rPr>
          <w:rStyle w:val="8"/>
          <w:rFonts w:hint="eastAsia" w:ascii="方正黑体_GBK" w:hAnsi="方正黑体_GBK" w:eastAsia="方正黑体_GBK" w:cs="方正黑体_GBK"/>
          <w:b w:val="0"/>
          <w:bCs/>
          <w:color w:val="auto"/>
          <w:sz w:val="32"/>
          <w:szCs w:val="32"/>
          <w:shd w:val="clear" w:color="auto" w:fill="FFFFFF"/>
        </w:rPr>
        <w:t>基本情况</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8"/>
          <w:rFonts w:hint="eastAsia" w:ascii="方正楷体_GBK" w:hAnsi="方正楷体_GBK" w:eastAsia="方正楷体_GBK" w:cs="方正楷体_GBK"/>
          <w:b w:val="0"/>
          <w:bCs/>
          <w:color w:val="auto"/>
          <w:sz w:val="32"/>
          <w:szCs w:val="32"/>
          <w:shd w:val="clear" w:color="auto" w:fill="FFFFFF"/>
        </w:rPr>
        <w:t>（一）职能职责</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lang w:eastAsia="zh-CN"/>
        </w:rPr>
        <w:t>落实校园安全管理责任，承担全县中小学、幼儿园安全检查、业务指导和培训，受县教委的委托，承担教委机关、直属事业单位安全监管事务，落实各项安全工作预案，消除安全隐患；全面实施和推动学前教育、义务教育、中职教育、普通高中教育阶段学生资助管理，</w:t>
      </w:r>
      <w:r>
        <w:rPr>
          <w:rFonts w:hint="default" w:ascii="Times New Roman" w:hAnsi="Times New Roman" w:eastAsia="方正仿宋_GBK" w:cs="Times New Roman"/>
          <w:color w:val="auto"/>
          <w:sz w:val="32"/>
          <w:lang w:val="en-US" w:eastAsia="zh-CN"/>
        </w:rPr>
        <w:t>承担与高校做好服务西部地区、在基层单位就业和工作的大学生的学费补偿和助学贷款代偿工作，</w:t>
      </w:r>
      <w:r>
        <w:rPr>
          <w:rFonts w:hint="default" w:ascii="Times New Roman" w:hAnsi="Times New Roman" w:eastAsia="方正仿宋_GBK" w:cs="Times New Roman"/>
          <w:color w:val="auto"/>
          <w:sz w:val="32"/>
          <w:lang w:eastAsia="zh-CN"/>
        </w:rPr>
        <w:t>开展生源地大学生信用助学贷款业务和实施大学生资助管理等工作</w:t>
      </w:r>
      <w:r>
        <w:rPr>
          <w:rFonts w:hint="default" w:ascii="Times New Roman" w:hAnsi="Times New Roman" w:eastAsia="方正仿宋_GBK" w:cs="Times New Roman"/>
          <w:color w:val="auto"/>
          <w:sz w:val="32"/>
          <w:lang w:val="en-US" w:eastAsia="zh-CN"/>
        </w:rPr>
        <w:t>承担社会公益性捐资助学和学生资助工作。</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（二）机构设置</w:t>
      </w:r>
    </w:p>
    <w:p>
      <w:pPr>
        <w:pStyle w:val="10"/>
        <w:keepNext w:val="0"/>
        <w:keepLines w:val="0"/>
        <w:pageBreakBefore w:val="0"/>
        <w:widowControl w:val="0"/>
        <w:shd w:val="clear"/>
        <w:tabs>
          <w:tab w:val="center" w:pos="4153"/>
          <w:tab w:val="left" w:pos="7275"/>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lang w:eastAsia="zh-CN"/>
        </w:rPr>
        <w:t>城口县教育安管资助中心本是县教委下设</w:t>
      </w:r>
      <w:r>
        <w:rPr>
          <w:rFonts w:hint="default" w:ascii="Times New Roman" w:hAnsi="Times New Roman" w:eastAsia="方正仿宋_GBK" w:cs="Times New Roman"/>
          <w:color w:val="auto"/>
          <w:sz w:val="32"/>
        </w:rPr>
        <w:t>事业单位</w:t>
      </w:r>
      <w:r>
        <w:rPr>
          <w:rFonts w:hint="default" w:ascii="Times New Roman" w:hAnsi="Times New Roman" w:eastAsia="方正仿宋_GBK" w:cs="Times New Roman"/>
          <w:color w:val="auto"/>
          <w:sz w:val="32"/>
          <w:lang w:eastAsia="zh-CN"/>
        </w:rPr>
        <w:t>，应市财政局预决算要求现已分设为独立的事业单位，单独核算</w:t>
      </w:r>
      <w:r>
        <w:rPr>
          <w:rFonts w:hint="default" w:ascii="Times New Roman" w:hAnsi="Times New Roman" w:eastAsia="方正仿宋_GBK" w:cs="Times New Roman"/>
          <w:color w:val="auto"/>
          <w:sz w:val="32"/>
        </w:rPr>
        <w:t>。</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黑体_GBK" w:hAnsi="方正黑体_GBK" w:eastAsia="方正黑体_GBK" w:cs="方正黑体_GBK"/>
          <w:b w:val="0"/>
          <w:bCs/>
          <w:color w:val="auto"/>
          <w:sz w:val="32"/>
          <w:szCs w:val="32"/>
          <w:shd w:val="clear" w:color="auto" w:fill="FFFFFF"/>
        </w:rPr>
      </w:pPr>
      <w:r>
        <w:rPr>
          <w:rStyle w:val="8"/>
          <w:rFonts w:hint="default" w:ascii="方正黑体_GBK" w:hAnsi="方正黑体_GBK" w:eastAsia="方正黑体_GBK" w:cs="方正黑体_GBK"/>
          <w:b w:val="0"/>
          <w:bCs/>
          <w:color w:val="auto"/>
          <w:sz w:val="32"/>
          <w:szCs w:val="32"/>
          <w:shd w:val="clear" w:color="auto" w:fill="FFFFFF"/>
        </w:rPr>
        <w:t>二、</w:t>
      </w:r>
      <w:r>
        <w:rPr>
          <w:rStyle w:val="8"/>
          <w:rFonts w:hint="default" w:ascii="方正黑体_GBK" w:hAnsi="方正黑体_GBK" w:eastAsia="方正黑体_GBK" w:cs="方正黑体_GBK"/>
          <w:b w:val="0"/>
          <w:bCs/>
          <w:color w:val="auto"/>
          <w:sz w:val="32"/>
          <w:szCs w:val="32"/>
          <w:shd w:val="clear" w:color="auto" w:fill="FFFFFF"/>
          <w:lang w:eastAsia="zh-CN"/>
        </w:rPr>
        <w:t>单位</w:t>
      </w:r>
      <w:r>
        <w:rPr>
          <w:rStyle w:val="8"/>
          <w:rFonts w:hint="default" w:ascii="方正黑体_GBK" w:hAnsi="方正黑体_GBK" w:eastAsia="方正黑体_GBK" w:cs="方正黑体_GBK"/>
          <w:b w:val="0"/>
          <w:bCs/>
          <w:color w:val="auto"/>
          <w:sz w:val="32"/>
          <w:szCs w:val="32"/>
          <w:shd w:val="clear" w:color="auto" w:fill="FFFFFF"/>
        </w:rPr>
        <w:t>决算</w:t>
      </w:r>
      <w:r>
        <w:rPr>
          <w:rStyle w:val="8"/>
          <w:rFonts w:hint="default" w:ascii="方正黑体_GBK" w:hAnsi="方正黑体_GBK" w:eastAsia="方正黑体_GBK" w:cs="方正黑体_GBK"/>
          <w:b w:val="0"/>
          <w:bCs/>
          <w:color w:val="auto"/>
          <w:sz w:val="32"/>
          <w:szCs w:val="32"/>
          <w:shd w:val="clear" w:color="auto" w:fill="FFFFFF"/>
          <w:lang w:eastAsia="zh-CN"/>
        </w:rPr>
        <w:t>收支</w:t>
      </w:r>
      <w:r>
        <w:rPr>
          <w:rStyle w:val="8"/>
          <w:rFonts w:hint="default" w:ascii="方正黑体_GBK" w:hAnsi="方正黑体_GBK" w:eastAsia="方正黑体_GBK" w:cs="方正黑体_GBK"/>
          <w:b w:val="0"/>
          <w:bCs/>
          <w:color w:val="auto"/>
          <w:sz w:val="32"/>
          <w:szCs w:val="32"/>
          <w:shd w:val="clear" w:color="auto" w:fill="FFFFFF"/>
        </w:rPr>
        <w:t>情况说明</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（一）收入支出决算总体情况说明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92.86万元。收、支与2023年度相比，增加92.86万元，增长100.0%，</w:t>
      </w:r>
      <w:r>
        <w:rPr>
          <w:rFonts w:hint="eastAsia" w:ascii="Times New Roman" w:hAnsi="Times New Roman" w:eastAsia="方正仿宋_GBK" w:cs="Times New Roman"/>
          <w:color w:val="auto"/>
          <w:sz w:val="32"/>
          <w:szCs w:val="32"/>
          <w:shd w:val="clear" w:color="auto" w:fill="FFFFFF"/>
          <w:lang w:eastAsia="zh-CN"/>
        </w:rPr>
        <w:t>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原与县教委一起核算，2024年才独立核算</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lang w:val="en-US" w:eastAsia="zh-CN"/>
        </w:rPr>
        <w:t>1</w:t>
      </w:r>
      <w:r>
        <w:rPr>
          <w:rStyle w:val="8"/>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2024年度收入合计92.86万元，与2023年度相比，增加92.86万元，增长100.0%，</w:t>
      </w:r>
      <w:r>
        <w:rPr>
          <w:rFonts w:hint="eastAsia" w:ascii="Times New Roman" w:hAnsi="Times New Roman" w:eastAsia="方正仿宋_GBK" w:cs="Times New Roman"/>
          <w:color w:val="auto"/>
          <w:sz w:val="32"/>
          <w:szCs w:val="32"/>
          <w:shd w:val="clear" w:color="auto" w:fill="FFFFFF"/>
          <w:lang w:eastAsia="zh-CN"/>
        </w:rPr>
        <w:t>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原与县教委一起核算，2024年才独立核算</w:t>
      </w:r>
      <w:r>
        <w:rPr>
          <w:rFonts w:hint="default" w:ascii="Times New Roman" w:hAnsi="Times New Roman" w:eastAsia="方正仿宋_GBK" w:cs="Times New Roman"/>
          <w:color w:val="auto"/>
          <w:sz w:val="32"/>
          <w:szCs w:val="32"/>
          <w:shd w:val="clear" w:color="auto" w:fill="FFFFFF"/>
        </w:rPr>
        <w:t>。其中：财政拨款收入92.86万元，占100.0%；事业收入0.00万元，占0.0%；经营收入0.00万元，占0.0%；其他收入0.00万元，占0.0%。此外，使用非财政拨款结余（含专用结余）0.00万元，年初结转和结余0.00万元。</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lang w:val="en-US" w:eastAsia="zh-CN"/>
        </w:rPr>
        <w:t>2</w:t>
      </w:r>
      <w:r>
        <w:rPr>
          <w:rStyle w:val="8"/>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2024年度支出合计92.86万元，与2023年度相比，增加92.86万元，增长100.0%，</w:t>
      </w:r>
      <w:r>
        <w:rPr>
          <w:rFonts w:hint="eastAsia" w:ascii="Times New Roman" w:hAnsi="Times New Roman" w:eastAsia="方正仿宋_GBK" w:cs="Times New Roman"/>
          <w:color w:val="auto"/>
          <w:sz w:val="32"/>
          <w:szCs w:val="32"/>
          <w:shd w:val="clear" w:color="auto" w:fill="FFFFFF"/>
          <w:lang w:eastAsia="zh-CN"/>
        </w:rPr>
        <w:t>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原与县教委一起核算，2024年才独立核算</w:t>
      </w:r>
      <w:r>
        <w:rPr>
          <w:rFonts w:hint="default" w:ascii="Times New Roman" w:hAnsi="Times New Roman" w:eastAsia="方正仿宋_GBK" w:cs="Times New Roman"/>
          <w:color w:val="auto"/>
          <w:sz w:val="32"/>
          <w:szCs w:val="32"/>
          <w:shd w:val="clear" w:color="auto" w:fill="FFFFFF"/>
        </w:rPr>
        <w:t>。其中：基本支出92.86万元，占100.0%；项目支出0.00万元，占0.0%；经营支出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万元，占0.0%。此外，结余分配0.00万元。</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Style w:val="8"/>
          <w:rFonts w:hint="default" w:ascii="Times New Roman" w:hAnsi="Times New Roman" w:eastAsia="方正仿宋_GBK" w:cs="Times New Roman"/>
          <w:b w:val="0"/>
          <w:bCs/>
          <w:color w:val="auto"/>
          <w:sz w:val="32"/>
          <w:szCs w:val="32"/>
          <w:shd w:val="clear" w:color="auto" w:fill="FFFFFF"/>
          <w:lang w:val="en-US" w:eastAsia="zh-CN"/>
        </w:rPr>
        <w:t>3</w:t>
      </w:r>
      <w:r>
        <w:rPr>
          <w:rStyle w:val="8"/>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2024年度年末结转和结余0.00万元，与2023年度相比，无增减</w:t>
      </w:r>
      <w:r>
        <w:rPr>
          <w:rFonts w:hint="default" w:ascii="Times New Roman" w:hAnsi="Times New Roman" w:eastAsia="方正仿宋_GBK" w:cs="Times New Roman"/>
          <w:color w:val="auto"/>
          <w:sz w:val="32"/>
          <w:szCs w:val="32"/>
          <w:shd w:val="clear" w:color="auto" w:fill="FFFFFF"/>
          <w:lang w:eastAsia="zh-CN"/>
        </w:rPr>
        <w:t>。</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2024年度财政拨款收、支总计均为92.86万元。与2023年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相比，财政拨款收、支总计各增加92.86万元，增长100.0%。</w:t>
      </w:r>
      <w:r>
        <w:rPr>
          <w:rFonts w:hint="eastAsia" w:ascii="Times New Roman" w:hAnsi="Times New Roman" w:eastAsia="方正仿宋_GBK" w:cs="Times New Roman"/>
          <w:color w:val="auto"/>
          <w:sz w:val="32"/>
          <w:szCs w:val="32"/>
          <w:shd w:val="clear" w:color="auto" w:fill="FFFFFF"/>
          <w:lang w:eastAsia="zh-CN"/>
        </w:rPr>
        <w:t>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原与县教委一起核算，2024年才独立核算</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bCs/>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2024年度一般公共预算财政拨款收入92.86万元，与2023年度相比，增加92.86万元，增长100.0%。</w:t>
      </w:r>
      <w:r>
        <w:rPr>
          <w:rFonts w:hint="eastAsia" w:ascii="Times New Roman" w:hAnsi="Times New Roman" w:eastAsia="方正仿宋_GBK" w:cs="Times New Roman"/>
          <w:color w:val="auto"/>
          <w:sz w:val="32"/>
          <w:szCs w:val="32"/>
          <w:shd w:val="clear" w:color="auto" w:fill="FFFFFF"/>
          <w:lang w:eastAsia="zh-CN"/>
        </w:rPr>
        <w:t>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原与县教委一起核算，2024年才独立核算</w:t>
      </w:r>
      <w:r>
        <w:rPr>
          <w:rFonts w:hint="default" w:ascii="Times New Roman" w:hAnsi="Times New Roman" w:eastAsia="方正仿宋_GBK" w:cs="Times New Roman"/>
          <w:color w:val="auto"/>
          <w:sz w:val="32"/>
          <w:szCs w:val="32"/>
          <w:shd w:val="clear" w:color="auto" w:fill="FFFFFF"/>
        </w:rPr>
        <w:t>。较年初预算数增加92.86万元，增长100.0%。</w:t>
      </w:r>
      <w:r>
        <w:rPr>
          <w:rFonts w:hint="eastAsia" w:ascii="Times New Roman" w:hAnsi="Times New Roman" w:eastAsia="方正仿宋_GBK" w:cs="Times New Roman"/>
          <w:color w:val="auto"/>
          <w:sz w:val="32"/>
          <w:szCs w:val="32"/>
          <w:shd w:val="clear" w:color="auto" w:fill="FFFFFF"/>
          <w:lang w:eastAsia="zh-CN"/>
        </w:rPr>
        <w:t>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原与县教委一起核算，2024年才独立核算，无年初预算</w:t>
      </w:r>
      <w:r>
        <w:rPr>
          <w:rFonts w:hint="default" w:ascii="Times New Roman" w:hAnsi="Times New Roman" w:eastAsia="方正仿宋_GBK" w:cs="Times New Roman"/>
          <w:color w:val="auto"/>
          <w:sz w:val="32"/>
          <w:szCs w:val="32"/>
          <w:shd w:val="clear" w:color="auto" w:fill="FFFFFF"/>
        </w:rPr>
        <w:t>。此外，年初财政拨款结转和结余0.00万元。</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2024年度一般公共预算财政拨款支出92.86万元，与2023年度相比，增加92.86万元，增长100.0%。</w:t>
      </w:r>
      <w:r>
        <w:rPr>
          <w:rFonts w:hint="eastAsia" w:ascii="Times New Roman" w:hAnsi="Times New Roman" w:eastAsia="方正仿宋_GBK" w:cs="Times New Roman"/>
          <w:color w:val="auto"/>
          <w:sz w:val="32"/>
          <w:szCs w:val="32"/>
          <w:shd w:val="clear" w:color="auto" w:fill="FFFFFF"/>
          <w:lang w:eastAsia="zh-CN"/>
        </w:rPr>
        <w:t>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原与县教委一起核算，2024年才独立核算</w:t>
      </w:r>
      <w:r>
        <w:rPr>
          <w:rFonts w:hint="default" w:ascii="Times New Roman" w:hAnsi="Times New Roman" w:eastAsia="方正仿宋_GBK" w:cs="Times New Roman"/>
          <w:color w:val="auto"/>
          <w:sz w:val="32"/>
          <w:szCs w:val="32"/>
          <w:shd w:val="clear" w:color="auto" w:fill="FFFFFF"/>
        </w:rPr>
        <w:t>。较年初预算数增加92.86万元，增长100.0%。</w:t>
      </w:r>
      <w:r>
        <w:rPr>
          <w:rFonts w:hint="eastAsia" w:ascii="Times New Roman" w:hAnsi="Times New Roman" w:eastAsia="方正仿宋_GBK" w:cs="Times New Roman"/>
          <w:color w:val="auto"/>
          <w:sz w:val="32"/>
          <w:szCs w:val="32"/>
          <w:shd w:val="clear" w:color="auto" w:fill="FFFFFF"/>
          <w:lang w:eastAsia="zh-CN"/>
        </w:rPr>
        <w:t>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原与县教委一起核算，2024年才独立核算</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numPr>
          <w:ilvl w:val="0"/>
          <w:numId w:val="1"/>
        </w:numPr>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一般公共服务支出0.50万元，占0.5%，较年初预算数增加0.50万元，增长100.0%，主要原因是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原与县教委一起核算，2024年9月才独立核算，年初无预算</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numPr>
          <w:ilvl w:val="0"/>
          <w:numId w:val="1"/>
        </w:numPr>
        <w:shd w:val="clear"/>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教育支出69.26万元，占74.6%，较年初预算数增加69.26万元，增长100.0%，主要原因是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原与县教委一起核算，2024年9月才独立核算，年初无预算</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numPr>
          <w:ilvl w:val="0"/>
          <w:numId w:val="1"/>
        </w:numPr>
        <w:shd w:val="clear"/>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就业支出12.31万元，占13.3%，较年初预算数增加12.31万元，增长100.0%，主要原因是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原与县教委一起核算，2024年9月才独立核算，年初无预算</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numPr>
          <w:ilvl w:val="0"/>
          <w:numId w:val="1"/>
        </w:numPr>
        <w:shd w:val="clear"/>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卫生健康支出4.64万元，占5.0%，较年初预算数增加4.64万元，增长100.0%，主要原因是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原与县教委一起核算，2024年9月才独立核算，年初无预算</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numPr>
          <w:ilvl w:val="0"/>
          <w:numId w:val="1"/>
        </w:numPr>
        <w:shd w:val="clear"/>
        <w:kinsoku/>
        <w:wordWrap/>
        <w:overflowPunct/>
        <w:topLinePunct w:val="0"/>
        <w:autoSpaceDN/>
        <w:bidi w:val="0"/>
        <w:adjustRightInd/>
        <w:spacing w:line="579"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6.15万元，占6.6%，较年初预算数增加6.15万元，增长100.0%，主要原因是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原与县教委一起核算，2024年9月才独立核算，年初无预算</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2024年度年末一般公共预算财政拨款结转和结余0.00万元，与2023年度相比，无增减。</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w:t>
      </w:r>
      <w:r>
        <w:rPr>
          <w:rFonts w:hint="eastAsia" w:ascii="Times New Roman" w:hAnsi="Times New Roman" w:eastAsia="方正仿宋_GBK" w:cs="Times New Roman"/>
          <w:color w:val="auto"/>
          <w:sz w:val="32"/>
          <w:szCs w:val="32"/>
          <w:shd w:val="clear" w:color="auto" w:fill="FFFFFF"/>
          <w:lang w:eastAsia="zh-CN"/>
        </w:rPr>
        <w:t>一般公共预算财政拨款</w:t>
      </w:r>
      <w:r>
        <w:rPr>
          <w:rFonts w:hint="default" w:ascii="Times New Roman" w:hAnsi="Times New Roman" w:eastAsia="方正仿宋_GBK" w:cs="Times New Roman"/>
          <w:color w:val="auto"/>
          <w:sz w:val="32"/>
          <w:szCs w:val="32"/>
          <w:shd w:val="clear" w:color="auto" w:fill="FFFFFF"/>
        </w:rPr>
        <w:t>基本支出92.86万元。</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人员经费88.19万元，与2023年度相比，增加88.19万元，增长100.0%，主要原因是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基本工资、津贴补贴、奖金、各类社会保障缴费、住房公积金等</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公用经费4.68万元，与2023年度相比，增加4.68万元，增长100.0%，主要原因是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办公费、水费、电费、公务用车运行维护费等日常运行费</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本单位2024年度无政府性基金预算财政拨款收支。</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（六）国有资本经营预算财政拨款支出决算情况说明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rPr>
        <w:t>本单位2024年度无国有资本经营预算财政拨款支出。</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黑体_GBK" w:hAnsi="方正黑体_GBK" w:eastAsia="方正黑体_GBK" w:cs="方正黑体_GBK"/>
          <w:b w:val="0"/>
          <w:bCs/>
          <w:color w:val="auto"/>
          <w:sz w:val="32"/>
          <w:szCs w:val="32"/>
          <w:shd w:val="clear" w:color="auto" w:fill="FFFFFF"/>
        </w:rPr>
      </w:pPr>
      <w:r>
        <w:rPr>
          <w:rStyle w:val="8"/>
          <w:rFonts w:hint="default" w:ascii="方正黑体_GBK" w:hAnsi="方正黑体_GBK" w:eastAsia="方正黑体_GBK" w:cs="方正黑体_GBK"/>
          <w:b w:val="0"/>
          <w:bCs/>
          <w:color w:val="auto"/>
          <w:sz w:val="32"/>
          <w:szCs w:val="32"/>
          <w:shd w:val="clear" w:color="auto" w:fill="FFFFFF"/>
        </w:rPr>
        <w:t>三、</w:t>
      </w:r>
      <w:r>
        <w:rPr>
          <w:rStyle w:val="8"/>
          <w:rFonts w:hint="default" w:ascii="方正黑体_GBK" w:hAnsi="方正黑体_GBK" w:eastAsia="方正黑体_GBK" w:cs="方正黑体_GBK"/>
          <w:b w:val="0"/>
          <w:bCs/>
          <w:color w:val="auto"/>
          <w:sz w:val="32"/>
          <w:szCs w:val="32"/>
          <w:shd w:val="clear" w:color="auto" w:fill="FFFFFF"/>
          <w:lang w:eastAsia="zh-CN"/>
        </w:rPr>
        <w:t>财政拨款</w:t>
      </w:r>
      <w:r>
        <w:rPr>
          <w:rStyle w:val="8"/>
          <w:rFonts w:hint="default" w:ascii="方正黑体_GBK" w:hAnsi="方正黑体_GBK" w:eastAsia="方正黑体_GBK" w:cs="方正黑体_GBK"/>
          <w:b w:val="0"/>
          <w:bCs/>
          <w:color w:val="auto"/>
          <w:sz w:val="32"/>
          <w:szCs w:val="32"/>
          <w:shd w:val="clear" w:color="auto" w:fill="FFFFFF"/>
        </w:rPr>
        <w:t>“三公”经费情况说明</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（一）“三公”经费支出总体情况说明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2024年度“三公”经费支出共计0.24万元，较年初预算数增加0.24万元，增长100.0%，主要原因是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原与县教委一起核算，2024年9月才独立核算，无年初预算</w:t>
      </w:r>
      <w:r>
        <w:rPr>
          <w:rFonts w:hint="default" w:ascii="Times New Roman" w:hAnsi="Times New Roman" w:eastAsia="方正仿宋_GBK" w:cs="Times New Roman"/>
          <w:color w:val="auto"/>
          <w:sz w:val="32"/>
          <w:szCs w:val="32"/>
          <w:shd w:val="clear" w:color="auto" w:fill="FFFFFF"/>
        </w:rPr>
        <w:t>。较上年支出数增加0.24万元，增长100.0%，主要原因是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（二）“三公”经费分项支出情况</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因公出国（境）费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车购置费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车运行维护费</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公务接待费0.24万元，主要用于接待</w:t>
      </w:r>
      <w:r>
        <w:rPr>
          <w:rFonts w:hint="default" w:ascii="Times New Roman" w:hAnsi="Times New Roman" w:eastAsia="方正仿宋_GBK" w:cs="Times New Roman"/>
          <w:color w:val="auto"/>
          <w:sz w:val="32"/>
          <w:szCs w:val="32"/>
          <w:shd w:val="clear" w:color="auto" w:fill="FFFFFF"/>
          <w:lang w:val="en-US" w:eastAsia="zh-CN"/>
        </w:rPr>
        <w:t>市领导到我单位督查工作等</w:t>
      </w:r>
      <w:r>
        <w:rPr>
          <w:rFonts w:hint="default" w:ascii="Times New Roman" w:hAnsi="Times New Roman" w:eastAsia="方正仿宋_GBK" w:cs="Times New Roman"/>
          <w:color w:val="auto"/>
          <w:sz w:val="32"/>
          <w:szCs w:val="32"/>
          <w:shd w:val="clear" w:color="auto" w:fill="FFFFFF"/>
        </w:rPr>
        <w:t>。费用支出较年初预算数增加0.24万元，增长100.0%，主要原因是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原与县教委一起核算，2024年9月才独立核算，无年初预算数</w:t>
      </w:r>
      <w:r>
        <w:rPr>
          <w:rFonts w:hint="default" w:ascii="Times New Roman" w:hAnsi="Times New Roman" w:eastAsia="方正仿宋_GBK" w:cs="Times New Roman"/>
          <w:color w:val="auto"/>
          <w:sz w:val="32"/>
          <w:szCs w:val="32"/>
          <w:shd w:val="clear" w:color="auto" w:fill="FFFFFF"/>
        </w:rPr>
        <w:t>。较上年支出数增加0.24万元，增长100.0%，主要原因是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（三）“三公”经费实物量情况</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因公出国（境）共计0个团组，0人；公务用车购置0辆，公务</w:t>
      </w:r>
      <w:r>
        <w:rPr>
          <w:rFonts w:hint="eastAsia" w:ascii="Times New Roman" w:hAnsi="Times New Roman" w:eastAsia="方正仿宋_GBK" w:cs="Times New Roman"/>
          <w:color w:val="auto"/>
          <w:sz w:val="32"/>
          <w:szCs w:val="32"/>
          <w:shd w:val="clear" w:color="auto" w:fill="FFFFFF"/>
          <w:lang w:eastAsia="zh-CN"/>
        </w:rPr>
        <w:t>用</w:t>
      </w:r>
      <w:bookmarkStart w:id="0" w:name="_GoBack"/>
      <w:bookmarkEnd w:id="0"/>
      <w:r>
        <w:rPr>
          <w:rFonts w:hint="default" w:ascii="Times New Roman" w:hAnsi="Times New Roman" w:eastAsia="方正仿宋_GBK" w:cs="Times New Roman"/>
          <w:color w:val="auto"/>
          <w:sz w:val="32"/>
          <w:szCs w:val="32"/>
          <w:shd w:val="clear" w:color="auto" w:fill="FFFFFF"/>
        </w:rPr>
        <w:t>车保有量为0辆；国内公务接待8批次24人，其中：国内外事接待0批次，0人；国（境）外公务接待0批次，0人。2024年本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人均接待费100.29元，车均购置费0万元，车均维护费0万元。</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黑体_GBK" w:hAnsi="方正黑体_GBK" w:eastAsia="方正黑体_GBK" w:cs="方正黑体_GBK"/>
          <w:b w:val="0"/>
          <w:bCs/>
          <w:color w:val="auto"/>
          <w:sz w:val="32"/>
          <w:szCs w:val="32"/>
          <w:shd w:val="clear" w:color="auto" w:fill="FFFFFF"/>
        </w:rPr>
      </w:pPr>
      <w:r>
        <w:rPr>
          <w:rStyle w:val="8"/>
          <w:rFonts w:hint="default" w:ascii="方正黑体_GBK" w:hAnsi="方正黑体_GBK" w:eastAsia="方正黑体_GBK" w:cs="方正黑体_GBK"/>
          <w:b w:val="0"/>
          <w:bCs/>
          <w:color w:val="auto"/>
          <w:sz w:val="32"/>
          <w:szCs w:val="32"/>
          <w:shd w:val="clear" w:color="auto" w:fill="FFFFFF"/>
        </w:rPr>
        <w:t>四、其他需要说明的事项</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（一）财政拨款会议费、培训费和差旅费情况说明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会议费支出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本年度培训费支出0.50万元，与2023年度相比，增加0.50万元，增长100.0%，主要原因是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w:t>
      </w:r>
      <w:r>
        <w:rPr>
          <w:rFonts w:hint="default" w:ascii="Times New Roman" w:hAnsi="Times New Roman" w:eastAsia="方正仿宋_GBK" w:cs="Times New Roman"/>
          <w:color w:val="auto"/>
          <w:sz w:val="32"/>
          <w:szCs w:val="32"/>
          <w:shd w:val="clear" w:color="auto" w:fill="FFFFFF"/>
        </w:rPr>
        <w:t>。本年度差旅费支出0.50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与2023年度相比，增加0.50万元，增长100.0%，主要原因是</w:t>
      </w:r>
      <w:r>
        <w:rPr>
          <w:rFonts w:hint="default" w:ascii="Times New Roman" w:hAnsi="Times New Roman" w:eastAsia="方正仿宋_GBK" w:cs="Times New Roman"/>
          <w:color w:val="auto"/>
          <w:sz w:val="32"/>
          <w:szCs w:val="32"/>
          <w:shd w:val="clear" w:color="auto" w:fill="FFFFFF"/>
          <w:lang w:val="en-US" w:eastAsia="zh-CN"/>
        </w:rPr>
        <w:t>原与县教委一起核算，2024年9月才独立核算</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（二）机关运行经费情况说明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按照部门决算列报口径，我</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不在机关运行经费统计范围之内。</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（三）国有资产占用情况说明</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5"/>
        <w:keepNext w:val="0"/>
        <w:keepLines w:val="0"/>
        <w:pageBreakBefore w:val="0"/>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rPr>
        <w:t>因本单位原与县教委一起核算，2024年9月才独立核算。资产未单列。</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（四）政府采购支出情况说明</w:t>
      </w:r>
    </w:p>
    <w:p>
      <w:pPr>
        <w:pStyle w:val="11"/>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left="638" w:leftChars="266" w:firstLine="0" w:firstLineChars="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2024年度我单位未发生政府采购事项，无相关经费支出。</w:t>
      </w:r>
    </w:p>
    <w:p>
      <w:pPr>
        <w:pStyle w:val="11"/>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left="638" w:leftChars="266" w:firstLine="0" w:firstLineChars="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w:t>
      </w:r>
      <w:r>
        <w:rPr>
          <w:rFonts w:hint="eastAsia" w:ascii="Times New Roman" w:hAnsi="Times New Roman" w:eastAsia="方正仿宋_GBK" w:cs="Times New Roman"/>
          <w:sz w:val="32"/>
          <w:szCs w:val="32"/>
          <w:shd w:val="clear" w:color="auto" w:fill="FFFFFF"/>
          <w:lang w:val="en-US" w:eastAsia="zh-CN"/>
        </w:rPr>
        <w:t>2024</w:t>
      </w:r>
      <w:r>
        <w:rPr>
          <w:rStyle w:val="8"/>
          <w:rFonts w:hint="eastAsia" w:ascii="方正黑体_GBK" w:hAnsi="方正黑体_GBK" w:eastAsia="方正黑体_GBK" w:cs="方正黑体_GBK"/>
          <w:b w:val="0"/>
          <w:bCs/>
          <w:sz w:val="32"/>
          <w:szCs w:val="32"/>
          <w:shd w:val="clear" w:color="auto" w:fill="FFFFFF"/>
          <w:lang w:val="en-US" w:eastAsia="zh-CN" w:bidi="ar-SA"/>
        </w:rPr>
        <w:t>年度预算绩效管理情况说明</w:t>
      </w:r>
    </w:p>
    <w:p>
      <w:pPr>
        <w:keepNext w:val="0"/>
        <w:keepLines w:val="0"/>
        <w:pageBreakBefore w:val="0"/>
        <w:widowControl/>
        <w:shd w:val="clear" w:color="auto"/>
        <w:kinsoku/>
        <w:wordWrap/>
        <w:overflowPunct/>
        <w:topLinePunct w:val="0"/>
        <w:autoSpaceDN/>
        <w:bidi w:val="0"/>
        <w:adjustRightInd/>
        <w:spacing w:beforeAutospacing="0" w:afterAutospacing="0" w:line="579"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（一）单位自评情况</w:t>
      </w:r>
    </w:p>
    <w:p>
      <w:pPr>
        <w:keepNext w:val="0"/>
        <w:keepLines w:val="0"/>
        <w:pageBreakBefore w:val="0"/>
        <w:widowControl/>
        <w:shd w:val="clear" w:color="auto"/>
        <w:kinsoku/>
        <w:wordWrap/>
        <w:overflowPunct/>
        <w:topLinePunct w:val="0"/>
        <w:autoSpaceDN/>
        <w:bidi w:val="0"/>
        <w:adjustRightInd/>
        <w:spacing w:beforeAutospacing="0" w:afterAutospacing="0" w:line="579"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2024年度我单位</w:t>
      </w:r>
      <w:r>
        <w:rPr>
          <w:rFonts w:hint="eastAsia" w:ascii="Times New Roman" w:hAnsi="Times New Roman" w:eastAsia="方正仿宋_GBK" w:cs="Times New Roman"/>
          <w:sz w:val="32"/>
          <w:szCs w:val="32"/>
          <w:shd w:val="clear" w:color="auto" w:fill="FFFFFF"/>
          <w:lang w:val="en-US" w:eastAsia="zh-CN"/>
        </w:rPr>
        <w:t>无预算项目。</w:t>
      </w:r>
    </w:p>
    <w:p>
      <w:pPr>
        <w:pStyle w:val="11"/>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Fonts w:hint="eastAsia"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（二）单位绩效评价情况</w:t>
      </w:r>
    </w:p>
    <w:p>
      <w:pPr>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我单位未组织开展绩效评价。</w:t>
      </w:r>
    </w:p>
    <w:p>
      <w:pPr>
        <w:keepNext w:val="0"/>
        <w:keepLines w:val="0"/>
        <w:pageBreakBefore w:val="0"/>
        <w:widowControl/>
        <w:shd w:val="clear" w:color="auto"/>
        <w:kinsoku/>
        <w:wordWrap/>
        <w:overflowPunct/>
        <w:topLinePunct w:val="0"/>
        <w:autoSpaceDN/>
        <w:bidi w:val="0"/>
        <w:adjustRightInd/>
        <w:spacing w:beforeAutospacing="0" w:afterAutospacing="0" w:line="579"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（三）财政绩效评价情况</w:t>
      </w:r>
    </w:p>
    <w:p>
      <w:pPr>
        <w:pStyle w:val="11"/>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left="638" w:leftChars="266" w:firstLine="0" w:firstLineChars="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1"/>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left="638" w:leftChars="266" w:firstLine="0" w:firstLineChars="0"/>
        <w:textAlignment w:val="auto"/>
        <w:rPr>
          <w:rFonts w:hint="default" w:ascii="Times New Roman" w:hAnsi="Times New Roman" w:eastAsia="方正仿宋_GBK" w:cs="Times New Roman"/>
          <w:color w:val="auto"/>
          <w:kern w:val="0"/>
          <w:sz w:val="32"/>
          <w:szCs w:val="32"/>
        </w:rPr>
      </w:pPr>
      <w:r>
        <w:rPr>
          <w:rStyle w:val="8"/>
          <w:rFonts w:hint="eastAsia" w:ascii="方正黑体_GBK" w:hAnsi="方正黑体_GBK" w:eastAsia="方正黑体_GBK" w:cs="方正黑体_GBK"/>
          <w:b w:val="0"/>
          <w:bCs/>
          <w:color w:val="auto"/>
          <w:sz w:val="32"/>
          <w:szCs w:val="32"/>
          <w:shd w:val="clear" w:color="auto" w:fill="FFFFFF"/>
          <w:lang w:val="en-US" w:eastAsia="zh-CN" w:bidi="ar-SA"/>
        </w:rPr>
        <w:t>六、专业名词解释</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eastAsia" w:ascii="方正楷体_GBK" w:hAnsi="方正楷体_GBK" w:eastAsia="方正楷体_GBK" w:cs="方正楷体_GBK"/>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（二）事业收入：</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（三）经营收入：</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（四）其他收入：</w:t>
      </w:r>
      <w:r>
        <w:rPr>
          <w:rFonts w:hint="default" w:ascii="Times New Roman" w:hAnsi="Times New Roman" w:eastAsia="方正仿宋_GBK" w:cs="Times New Roman"/>
          <w:color w:val="auto"/>
          <w:kern w:val="0"/>
          <w:sz w:val="32"/>
          <w:szCs w:val="32"/>
          <w:shd w:val="clear" w:fill="FFFFFF"/>
        </w:rPr>
        <w:t>指单位取得的除“财政拨款收入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（五）使用非财政拨款结余（含专用结余）：</w:t>
      </w:r>
      <w:r>
        <w:rPr>
          <w:rFonts w:hint="default" w:ascii="Times New Roman" w:hAnsi="Times New Roman" w:eastAsia="方正仿宋_GBK" w:cs="Times New Roman"/>
          <w:color w:val="auto"/>
          <w:kern w:val="0"/>
          <w:sz w:val="32"/>
          <w:szCs w:val="32"/>
          <w:shd w:val="clear" w:fill="FFFFFF"/>
        </w:rPr>
        <w:t>指单位在当年的“财政拨款收入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其他收入”等不足以安排当年支出的情况下，使用以前年度积累的非财政拨款结余弥补本年度收支缺口的资金。</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（十二）“三公”经费：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w:t>
      </w:r>
      <w:r>
        <w:rPr>
          <w:rFonts w:hint="eastAsia" w:ascii="Times New Roman" w:hAnsi="Times New Roman" w:eastAsia="方正仿宋_GBK" w:cs="Times New Roman"/>
          <w:color w:val="auto"/>
          <w:kern w:val="0"/>
          <w:sz w:val="32"/>
          <w:szCs w:val="32"/>
          <w:shd w:val="clear" w:fill="FFFFFF"/>
          <w:lang w:eastAsia="zh-CN"/>
        </w:rPr>
        <w:t>和</w:t>
      </w:r>
      <w:r>
        <w:rPr>
          <w:rFonts w:hint="default" w:ascii="Times New Roman" w:hAnsi="Times New Roman" w:eastAsia="方正仿宋_GBK" w:cs="Times New Roman"/>
          <w:color w:val="auto"/>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Style w:val="8"/>
          <w:rFonts w:hint="default" w:ascii="方正黑体_GBK" w:hAnsi="方正黑体_GBK" w:eastAsia="方正黑体_GBK" w:cs="方正黑体_GBK"/>
          <w:b w:val="0"/>
          <w:bCs/>
          <w:color w:val="auto"/>
          <w:sz w:val="32"/>
          <w:szCs w:val="32"/>
          <w:shd w:val="clear" w:color="auto" w:fill="FFFFFF"/>
          <w:lang w:val="en-US" w:eastAsia="zh-CN" w:bidi="ar-SA"/>
        </w:rPr>
      </w:pPr>
      <w:r>
        <w:rPr>
          <w:rStyle w:val="8"/>
          <w:rFonts w:hint="eastAsia" w:ascii="方正黑体_GBK" w:hAnsi="方正黑体_GBK" w:eastAsia="方正黑体_GBK" w:cs="方正黑体_GBK"/>
          <w:b w:val="0"/>
          <w:bCs/>
          <w:color w:val="auto"/>
          <w:sz w:val="32"/>
          <w:szCs w:val="32"/>
          <w:shd w:val="clear" w:color="auto" w:fill="FFFFFF"/>
          <w:lang w:val="en-US" w:eastAsia="zh-CN" w:bidi="ar-SA"/>
        </w:rPr>
        <w:t>七</w:t>
      </w:r>
      <w:r>
        <w:rPr>
          <w:rStyle w:val="8"/>
          <w:rFonts w:hint="default" w:ascii="方正黑体_GBK" w:hAnsi="方正黑体_GBK" w:eastAsia="方正黑体_GBK" w:cs="方正黑体_GBK"/>
          <w:b w:val="0"/>
          <w:bCs/>
          <w:color w:val="auto"/>
          <w:sz w:val="32"/>
          <w:szCs w:val="32"/>
          <w:shd w:val="clear" w:color="auto" w:fill="FFFFFF"/>
          <w:lang w:val="en-US" w:eastAsia="zh-CN" w:bidi="ar-SA"/>
        </w:rPr>
        <w:t>、决算公开联系方式及信息反馈渠道</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shd w:val="clear" w:fill="FFFFFF"/>
          <w:lang w:val="en-US" w:eastAsia="zh-CN"/>
        </w:rPr>
        <w:sectPr>
          <w:footerReference r:id="rId3" w:type="default"/>
          <w:pgSz w:w="11915" w:h="16840"/>
          <w:pgMar w:top="2098" w:right="1474" w:bottom="1984" w:left="1587" w:header="851" w:footer="992" w:gutter="0"/>
          <w:pgNumType w:fmt="decimal"/>
          <w:cols w:space="720" w:num="1"/>
          <w:docGrid w:type="lines" w:linePitch="312" w:charSpace="0"/>
        </w:sectPr>
      </w:pPr>
      <w:r>
        <w:rPr>
          <w:rFonts w:hint="default" w:ascii="Times New Roman" w:hAnsi="Times New Roman" w:eastAsia="方正仿宋_GBK" w:cs="Times New Roman"/>
          <w:color w:val="auto"/>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lang w:val="en-US" w:eastAsia="zh-CN"/>
        </w:rPr>
        <w:t>詹玲玲</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59222342</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shd w:val="clear" w:fill="FFFFFF"/>
          <w:lang w:val="en-US" w:eastAsia="zh-CN"/>
        </w:rPr>
      </w:pP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shd w:val="clear" w:fill="FFFFFF"/>
          <w:lang w:val="en-US" w:eastAsia="zh-CN"/>
        </w:rPr>
      </w:pP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shd w:val="clear" w:fill="FFFFFF"/>
          <w:lang w:val="en-US" w:eastAsia="zh-CN"/>
        </w:rPr>
        <w:sectPr>
          <w:pgSz w:w="11915" w:h="16840"/>
          <w:pgMar w:top="2098" w:right="1474" w:bottom="1984" w:left="1587" w:header="851" w:footer="992" w:gutter="0"/>
          <w:pgNumType w:fmt="decimal"/>
          <w:cols w:space="720" w:num="1"/>
          <w:docGrid w:type="lines" w:linePitch="312" w:charSpace="0"/>
        </w:sectPr>
      </w:pPr>
      <w:r>
        <w:rPr>
          <w:rFonts w:hint="eastAsia" w:ascii="Times New Roman" w:hAnsi="Times New Roman" w:eastAsia="方正仿宋_GBK" w:cs="Times New Roman"/>
          <w:color w:val="auto"/>
          <w:kern w:val="0"/>
          <w:sz w:val="32"/>
          <w:szCs w:val="32"/>
          <w:shd w:val="clear" w:fill="FFFFFF"/>
          <w:lang w:val="en-US" w:eastAsia="zh-CN"/>
        </w:rPr>
        <w:t>（此件主动公开）</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auto"/>
          <w:kern w:val="0"/>
          <w:sz w:val="32"/>
          <w:szCs w:val="32"/>
          <w:shd w:val="clear" w:fill="FFFFFF"/>
          <w:lang w:val="en-US" w:eastAsia="zh-CN"/>
        </w:rPr>
        <w:sectPr>
          <w:pgSz w:w="11915" w:h="16840"/>
          <w:pgMar w:top="2098" w:right="1474" w:bottom="1984" w:left="1587" w:header="851" w:footer="992" w:gutter="0"/>
          <w:pgNumType w:fmt="decimal"/>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城口县教育安管资助中心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928,631.99</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692,645.33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123,055.92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46,374.14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61,531.00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928,631.99</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928,631.99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928,631.99</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0"/>
                <w:szCs w:val="20"/>
                <w:u w:val="none"/>
                <w:lang w:val="en-US" w:eastAsia="zh-CN" w:bidi="ar"/>
              </w:rPr>
              <w:t>928,631.99</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城口县教育安管资助中心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928,631.99</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928,631.99</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5,025.60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5,025.60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20136</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其他共产党事务支出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5,025.60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5,025.60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2013699</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5,025.60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5,025.60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205</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692,645.33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692,645.33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20501</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教育管理事务</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692,645.33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692,645.33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2050199</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其他教育管理事务支出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692,645.33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692,645.33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123,055.92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123,055.92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123,055.92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123,055.92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82,037.28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82,037.28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41,018.64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41,018.64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46,374.14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46,374.14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46,374.14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46,374.14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36,991.32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36,991.32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9,382.82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9,382.82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61,531.00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61,531.00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61,531.00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61,531.00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24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61,531.00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61,531.00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城口县教育安管资助中心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928,631.99</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928,631.99</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5,025.60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5,025.60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20136</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其他共产党事务支出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5,025.60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5,025.60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2013699</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5,025.60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5,025.60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205</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692,645.33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692,645.33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20501</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教育管理事务</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692,645.33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692,645.33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2050199</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其他教育管理事务支出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692,645.33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692,645.33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123,055.92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123,055.92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123,055.92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123,055.92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82,037.28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82,037.28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41,018.64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41,018.64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46,374.14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46,374.14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46,374.14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46,374.14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36,991.32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36,991.32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9,382.82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9,382.82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61,531.00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61,531.00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61,531.00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61,531.00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27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61,531.00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61,531.00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color w:val="000000"/>
                <w:kern w:val="0"/>
                <w:sz w:val="18"/>
                <w:szCs w:val="18"/>
                <w:u w:val="none"/>
                <w:lang w:val="en-US" w:eastAsia="zh-CN" w:bidi="ar"/>
              </w:rPr>
              <w:t>0.00</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城口县教育安管资助中心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928,631.99</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5,025.60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5,025.60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692,645.33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692,645.33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123,055.92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123,055.92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46,374.14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46,374.14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61,531.00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61,531.00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928,631.99</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928,631.99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928,631.99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928,631.99</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0"/>
                <w:szCs w:val="20"/>
                <w:u w:val="none"/>
                <w:lang w:val="en-US" w:eastAsia="zh-CN" w:bidi="ar"/>
              </w:rPr>
              <w:t>928,631.99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0"/>
                <w:szCs w:val="20"/>
                <w:u w:val="none"/>
                <w:lang w:val="en-US" w:eastAsia="zh-CN" w:bidi="ar"/>
              </w:rPr>
              <w:t>928,631.99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0"/>
                <w:szCs w:val="20"/>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
        <w:gridCol w:w="336"/>
        <w:gridCol w:w="516"/>
        <w:gridCol w:w="3180"/>
        <w:gridCol w:w="876"/>
        <w:gridCol w:w="1212"/>
        <w:gridCol w:w="1476"/>
        <w:gridCol w:w="1176"/>
        <w:gridCol w:w="1458"/>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城口县教育安管资助中心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1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56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31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1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7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1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7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17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5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1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1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1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1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40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3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1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0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6" w:type="dxa"/>
            <w:vMerge w:val="continue"/>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516" w:type="dxa"/>
            <w:vMerge w:val="continue"/>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80"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7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12"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7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7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58"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928,631.99</w:t>
            </w:r>
          </w:p>
        </w:tc>
        <w:tc>
          <w:tcPr>
            <w:tcW w:w="170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928,631.99</w:t>
            </w:r>
          </w:p>
        </w:tc>
        <w:tc>
          <w:tcPr>
            <w:tcW w:w="173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201</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5,025.60</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5,025.60</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20136</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其他共产党事务支出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5,025.60</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5,025.60</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2013699</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5,025.60</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5,025.60</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205</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教育支出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692,645.33</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692,645.33</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20501</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教育管理事务</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692,645.33</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692,645.33</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2050199</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其他教育管理事务支出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692,645.33</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692,645.33</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208</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123,055.92</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123,055.92</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20805</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123,055.92</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123,055.92</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2080505</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82,037.28</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82,037.28</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2080506</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41,018.64</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41,018.64</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210</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卫生健康支出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46,374.14</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46,374.14</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21011</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46,374.14</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46,374.14</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2101102</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事业单位医疗</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36,991.32</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36,991.32</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2101199</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9,382.82</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9,382.82</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221</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住房保障支出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61,531.00</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61,531.00</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22102</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住房改革支出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61,531.00</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61,531.00</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2210201</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住房公积金</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61,531.00</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61,531.00</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城口县教育安管资助中心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881,876.95</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46,755.04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317,531.00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18,008.54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61,855.00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271,529.89</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4,200.66</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82,037.28</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2,500.00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41,018.64</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36,991.32</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9,382.82</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61,531.00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935.00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2,407.00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8,703.84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eastAsiaTheme="minorEastAsia"/>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881,876.95</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46,755.04</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城口县教育安管资助中心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城口县教育安管资助中心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城口县教育安管资助中心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2,407.00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2,407.00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2,407.00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8</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24</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7</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7</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18</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18</w:t>
                    </w:r>
                    <w:r>
                      <w:rPr>
                        <w:rFonts w:hint="default"/>
                        <w:sz w:val="28"/>
                        <w:szCs w:val="28"/>
                      </w:rPr>
                      <w:fldChar w:fldCharType="end"/>
                    </w:r>
                    <w:r>
                      <w:rPr>
                        <w:rFonts w:hint="default"/>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13BE"/>
    <w:multiLevelType w:val="singleLevel"/>
    <w:tmpl w:val="7A2C13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ZmEzYTkyYThjYjYzYjE2ZTBiYWFiYjdiM2VlOW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4902B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4D6AE8"/>
    <w:rsid w:val="0F836721"/>
    <w:rsid w:val="103645A3"/>
    <w:rsid w:val="107B59E5"/>
    <w:rsid w:val="11003CB0"/>
    <w:rsid w:val="111445C7"/>
    <w:rsid w:val="1158083A"/>
    <w:rsid w:val="11F03528"/>
    <w:rsid w:val="11F458DE"/>
    <w:rsid w:val="12C921C4"/>
    <w:rsid w:val="13850DCB"/>
    <w:rsid w:val="13871C70"/>
    <w:rsid w:val="13A71CB4"/>
    <w:rsid w:val="13AF1D43"/>
    <w:rsid w:val="13CE1647"/>
    <w:rsid w:val="141A11EA"/>
    <w:rsid w:val="14200702"/>
    <w:rsid w:val="14847877"/>
    <w:rsid w:val="148E377E"/>
    <w:rsid w:val="1580711B"/>
    <w:rsid w:val="1681543D"/>
    <w:rsid w:val="189B0D0B"/>
    <w:rsid w:val="194A1770"/>
    <w:rsid w:val="19917D9C"/>
    <w:rsid w:val="19B906A4"/>
    <w:rsid w:val="1A0E390A"/>
    <w:rsid w:val="1A1F744B"/>
    <w:rsid w:val="1A4854EC"/>
    <w:rsid w:val="1B6F15B6"/>
    <w:rsid w:val="1BAA2EDC"/>
    <w:rsid w:val="1CE157EE"/>
    <w:rsid w:val="1D014A01"/>
    <w:rsid w:val="1D022362"/>
    <w:rsid w:val="1DD26311"/>
    <w:rsid w:val="1EF67CA4"/>
    <w:rsid w:val="1F3CA498"/>
    <w:rsid w:val="1FCD26AF"/>
    <w:rsid w:val="20642787"/>
    <w:rsid w:val="21556F04"/>
    <w:rsid w:val="22403BD3"/>
    <w:rsid w:val="24B92327"/>
    <w:rsid w:val="2533755C"/>
    <w:rsid w:val="26396DF4"/>
    <w:rsid w:val="27167136"/>
    <w:rsid w:val="27B23302"/>
    <w:rsid w:val="28BB284E"/>
    <w:rsid w:val="29310A5F"/>
    <w:rsid w:val="29C37A35"/>
    <w:rsid w:val="29C95E09"/>
    <w:rsid w:val="2A076083"/>
    <w:rsid w:val="2A73162E"/>
    <w:rsid w:val="2B167953"/>
    <w:rsid w:val="2B200583"/>
    <w:rsid w:val="2B8209DE"/>
    <w:rsid w:val="2C161D32"/>
    <w:rsid w:val="2C2D3EC7"/>
    <w:rsid w:val="2C6762A3"/>
    <w:rsid w:val="2CBF5F14"/>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B75B68"/>
    <w:rsid w:val="36C9128A"/>
    <w:rsid w:val="37841E99"/>
    <w:rsid w:val="37BF1123"/>
    <w:rsid w:val="37F26E25"/>
    <w:rsid w:val="38BE4696"/>
    <w:rsid w:val="39166507"/>
    <w:rsid w:val="39B82A39"/>
    <w:rsid w:val="39F33306"/>
    <w:rsid w:val="3B1705E5"/>
    <w:rsid w:val="3B18334B"/>
    <w:rsid w:val="3B36794F"/>
    <w:rsid w:val="3B544954"/>
    <w:rsid w:val="3B7905DD"/>
    <w:rsid w:val="3BF014AD"/>
    <w:rsid w:val="3C6A5B02"/>
    <w:rsid w:val="3D2757A1"/>
    <w:rsid w:val="3D3D4FC4"/>
    <w:rsid w:val="3DDF3AB1"/>
    <w:rsid w:val="3DE60B7E"/>
    <w:rsid w:val="3E1D0952"/>
    <w:rsid w:val="3E247234"/>
    <w:rsid w:val="3E42660A"/>
    <w:rsid w:val="3E7555B1"/>
    <w:rsid w:val="3F0527E5"/>
    <w:rsid w:val="3F16459E"/>
    <w:rsid w:val="3F2F6B8F"/>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E94584"/>
    <w:rsid w:val="47674801"/>
    <w:rsid w:val="48225EF7"/>
    <w:rsid w:val="495C4A24"/>
    <w:rsid w:val="4AD70EE7"/>
    <w:rsid w:val="4B7951CB"/>
    <w:rsid w:val="4B7C315C"/>
    <w:rsid w:val="4BAB7F90"/>
    <w:rsid w:val="4DAC4ACA"/>
    <w:rsid w:val="4F186D58"/>
    <w:rsid w:val="50EC262C"/>
    <w:rsid w:val="522F6E0C"/>
    <w:rsid w:val="52463BA1"/>
    <w:rsid w:val="52D7012D"/>
    <w:rsid w:val="53C0244D"/>
    <w:rsid w:val="53DD4D4E"/>
    <w:rsid w:val="53E578CE"/>
    <w:rsid w:val="543B029D"/>
    <w:rsid w:val="545D0246"/>
    <w:rsid w:val="554E5773"/>
    <w:rsid w:val="555A3CBC"/>
    <w:rsid w:val="56530F5D"/>
    <w:rsid w:val="5842572D"/>
    <w:rsid w:val="5A76460A"/>
    <w:rsid w:val="5AE75037"/>
    <w:rsid w:val="5B58571C"/>
    <w:rsid w:val="5B8376C2"/>
    <w:rsid w:val="5B96133A"/>
    <w:rsid w:val="5C1336B7"/>
    <w:rsid w:val="5C263CE4"/>
    <w:rsid w:val="5C5D2777"/>
    <w:rsid w:val="5D290C69"/>
    <w:rsid w:val="5D537F41"/>
    <w:rsid w:val="5DD05908"/>
    <w:rsid w:val="5EFA176D"/>
    <w:rsid w:val="5F0247F9"/>
    <w:rsid w:val="5F2D4A41"/>
    <w:rsid w:val="601C34ED"/>
    <w:rsid w:val="60A958A9"/>
    <w:rsid w:val="60B62566"/>
    <w:rsid w:val="60D22ADB"/>
    <w:rsid w:val="61025A59"/>
    <w:rsid w:val="613D5BBC"/>
    <w:rsid w:val="61536C39"/>
    <w:rsid w:val="62375BD7"/>
    <w:rsid w:val="62944DD7"/>
    <w:rsid w:val="632F68AE"/>
    <w:rsid w:val="634D1435"/>
    <w:rsid w:val="63C25DC5"/>
    <w:rsid w:val="63C62057"/>
    <w:rsid w:val="63C73832"/>
    <w:rsid w:val="64FB113D"/>
    <w:rsid w:val="654C3747"/>
    <w:rsid w:val="656152C6"/>
    <w:rsid w:val="6587477F"/>
    <w:rsid w:val="658C3A08"/>
    <w:rsid w:val="65C031CA"/>
    <w:rsid w:val="65CE6852"/>
    <w:rsid w:val="66267C04"/>
    <w:rsid w:val="663F505A"/>
    <w:rsid w:val="665C1999"/>
    <w:rsid w:val="667F2393"/>
    <w:rsid w:val="66941A4D"/>
    <w:rsid w:val="66EE5541"/>
    <w:rsid w:val="692172FD"/>
    <w:rsid w:val="6A3829EE"/>
    <w:rsid w:val="6AEF84F7"/>
    <w:rsid w:val="6B474EF5"/>
    <w:rsid w:val="6C560CAE"/>
    <w:rsid w:val="6D0615E4"/>
    <w:rsid w:val="6D903FF5"/>
    <w:rsid w:val="6DA955B8"/>
    <w:rsid w:val="6DE346AB"/>
    <w:rsid w:val="6F7F6A2D"/>
    <w:rsid w:val="6FB442D1"/>
    <w:rsid w:val="6FFB2E76"/>
    <w:rsid w:val="71C34D91"/>
    <w:rsid w:val="71ED38AA"/>
    <w:rsid w:val="720229AA"/>
    <w:rsid w:val="72C1077F"/>
    <w:rsid w:val="72DB435C"/>
    <w:rsid w:val="750837F0"/>
    <w:rsid w:val="764A19C3"/>
    <w:rsid w:val="764F62AB"/>
    <w:rsid w:val="765C45EC"/>
    <w:rsid w:val="768A7619"/>
    <w:rsid w:val="76E14979"/>
    <w:rsid w:val="77EA362A"/>
    <w:rsid w:val="7875383E"/>
    <w:rsid w:val="796D60A4"/>
    <w:rsid w:val="79A031D5"/>
    <w:rsid w:val="7A1525F7"/>
    <w:rsid w:val="7A3E6CB6"/>
    <w:rsid w:val="7A680D2D"/>
    <w:rsid w:val="7AA3203D"/>
    <w:rsid w:val="7B420052"/>
    <w:rsid w:val="7BD06A28"/>
    <w:rsid w:val="7BD43470"/>
    <w:rsid w:val="7C1E4CD7"/>
    <w:rsid w:val="7C356859"/>
    <w:rsid w:val="7C3A7C0B"/>
    <w:rsid w:val="7C5248E4"/>
    <w:rsid w:val="7C566698"/>
    <w:rsid w:val="7CBF7ED0"/>
    <w:rsid w:val="7D3777C8"/>
    <w:rsid w:val="7FA960B8"/>
    <w:rsid w:val="E2FE79FD"/>
    <w:rsid w:val="FBFF9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styleId="10">
    <w:name w:val="List Paragraph"/>
    <w:basedOn w:val="1"/>
    <w:qFormat/>
    <w:uiPriority w:val="34"/>
    <w:pPr>
      <w:ind w:firstLine="420" w:firstLineChars="20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3693</Words>
  <Characters>4197</Characters>
  <Lines>161</Lines>
  <Paragraphs>45</Paragraphs>
  <TotalTime>2</TotalTime>
  <ScaleCrop>false</ScaleCrop>
  <LinksUpToDate>false</LinksUpToDate>
  <CharactersWithSpaces>4197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2025-11-11T12:45:53Z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