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城口县咸宜镇中心小学</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leftChars="0" w:firstLine="420"/>
        <w:textAlignment w:val="auto"/>
        <w:rPr>
          <w:rFonts w:hint="eastAsia" w:ascii="方正楷体_GBK" w:hAnsi="方正楷体_GBK" w:eastAsia="方正楷体_GBK" w:cs="方正楷体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（一）职能职责</w:t>
      </w:r>
    </w:p>
    <w:p>
      <w:pPr>
        <w:pStyle w:val="15"/>
        <w:keepNext w:val="0"/>
        <w:keepLines w:val="0"/>
        <w:pageBreakBefore w:val="0"/>
        <w:widowControl/>
        <w:suppressLineNumbers w:val="0"/>
        <w:shd w:val="clear"/>
        <w:kinsoku/>
        <w:wordWrap/>
        <w:overflowPunct/>
        <w:topLinePunct w:val="0"/>
        <w:autoSpaceDN/>
        <w:bidi w:val="0"/>
        <w:adjustRightInd/>
        <w:snapToGrid/>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w:t>
      </w:r>
      <w:r>
        <w:rPr>
          <w:rFonts w:hint="eastAsia" w:ascii="Times New Roman" w:hAnsi="Times New Roman" w:eastAsia="方正仿宋_GBK" w:cs="Times New Roman"/>
          <w:b w:val="0"/>
          <w:bCs w:val="0"/>
          <w:kern w:val="2"/>
          <w:sz w:val="32"/>
          <w:szCs w:val="32"/>
          <w:lang w:val="en-US" w:eastAsia="zh-CN" w:bidi="ar-SA"/>
        </w:rPr>
        <w:t>宣传贯彻执行党和国家的教育方针、政策、法律法规等，坚持依法治教、依法治学，贯彻执行县教委的行政规章制度。</w:t>
      </w:r>
    </w:p>
    <w:p>
      <w:pPr>
        <w:pStyle w:val="15"/>
        <w:keepNext w:val="0"/>
        <w:keepLines w:val="0"/>
        <w:pageBreakBefore w:val="0"/>
        <w:widowControl/>
        <w:suppressLineNumbers w:val="0"/>
        <w:shd w:val="clear"/>
        <w:kinsoku/>
        <w:wordWrap/>
        <w:overflowPunct/>
        <w:topLinePunct w:val="0"/>
        <w:autoSpaceDN/>
        <w:bidi w:val="0"/>
        <w:adjustRightInd/>
        <w:snapToGrid/>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w:t>
      </w:r>
      <w:r>
        <w:rPr>
          <w:rFonts w:hint="eastAsia" w:ascii="Times New Roman" w:hAnsi="Times New Roman" w:eastAsia="方正仿宋_GBK" w:cs="Times New Roman"/>
          <w:b w:val="0"/>
          <w:bCs w:val="0"/>
          <w:kern w:val="2"/>
          <w:sz w:val="32"/>
          <w:szCs w:val="32"/>
          <w:lang w:val="en-US" w:eastAsia="zh-CN" w:bidi="ar-SA"/>
        </w:rPr>
        <w:t>配合县、乡人民政府制定符合党的教育方针和国家教育法律法规以及本校实际的教育发展规划和学校布局调整规划，并抓好组织实施和落实工作。</w:t>
      </w:r>
    </w:p>
    <w:p>
      <w:pPr>
        <w:pStyle w:val="15"/>
        <w:keepNext w:val="0"/>
        <w:keepLines w:val="0"/>
        <w:pageBreakBefore w:val="0"/>
        <w:widowControl/>
        <w:suppressLineNumbers w:val="0"/>
        <w:shd w:val="clear"/>
        <w:kinsoku/>
        <w:wordWrap/>
        <w:overflowPunct/>
        <w:topLinePunct w:val="0"/>
        <w:autoSpaceDN/>
        <w:bidi w:val="0"/>
        <w:adjustRightInd/>
        <w:snapToGrid/>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w:t>
      </w:r>
      <w:r>
        <w:rPr>
          <w:rFonts w:hint="eastAsia" w:ascii="Times New Roman" w:hAnsi="Times New Roman" w:eastAsia="方正仿宋_GBK" w:cs="Times New Roman"/>
          <w:b w:val="0"/>
          <w:bCs w:val="0"/>
          <w:kern w:val="2"/>
          <w:sz w:val="32"/>
          <w:szCs w:val="32"/>
          <w:lang w:val="en-US" w:eastAsia="zh-CN" w:bidi="ar-SA"/>
        </w:rPr>
        <w:t>巩固提高</w:t>
      </w:r>
      <w:r>
        <w:rPr>
          <w:rFonts w:hint="default" w:ascii="Times New Roman" w:hAnsi="Times New Roman"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均衡教育</w:t>
      </w:r>
      <w:r>
        <w:rPr>
          <w:rFonts w:hint="default" w:ascii="Times New Roman" w:hAnsi="Times New Roman"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工作成果和整体水平，配合各级人民政府依法动员、组织适龄儿童少年入学，严格控制辍学。</w:t>
      </w:r>
    </w:p>
    <w:p>
      <w:pPr>
        <w:pStyle w:val="15"/>
        <w:keepNext w:val="0"/>
        <w:keepLines w:val="0"/>
        <w:pageBreakBefore w:val="0"/>
        <w:widowControl/>
        <w:suppressLineNumbers w:val="0"/>
        <w:shd w:val="clear"/>
        <w:kinsoku/>
        <w:wordWrap/>
        <w:overflowPunct/>
        <w:topLinePunct w:val="0"/>
        <w:autoSpaceDN/>
        <w:bidi w:val="0"/>
        <w:adjustRightInd/>
        <w:snapToGrid/>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w:t>
      </w:r>
      <w:r>
        <w:rPr>
          <w:rFonts w:hint="eastAsia" w:ascii="Times New Roman" w:hAnsi="Times New Roman" w:eastAsia="方正仿宋_GBK" w:cs="Times New Roman"/>
          <w:b w:val="0"/>
          <w:bCs w:val="0"/>
          <w:kern w:val="2"/>
          <w:sz w:val="32"/>
          <w:szCs w:val="32"/>
          <w:lang w:val="en-US" w:eastAsia="zh-CN" w:bidi="ar-SA"/>
        </w:rPr>
        <w:t>组织开展本校的教育教学科研和教育教学改革，科研兴教，科研兴校。负责对本校教育教学业务的具体管理和教育教学及教研教改工作，全力推进素质教育实施。</w:t>
      </w:r>
    </w:p>
    <w:p>
      <w:pPr>
        <w:pStyle w:val="15"/>
        <w:keepNext w:val="0"/>
        <w:keepLines w:val="0"/>
        <w:pageBreakBefore w:val="0"/>
        <w:widowControl/>
        <w:suppressLineNumbers w:val="0"/>
        <w:shd w:val="clear"/>
        <w:kinsoku/>
        <w:wordWrap/>
        <w:overflowPunct/>
        <w:topLinePunct w:val="0"/>
        <w:autoSpaceDN/>
        <w:bidi w:val="0"/>
        <w:adjustRightInd/>
        <w:snapToGrid/>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w:t>
      </w:r>
      <w:r>
        <w:rPr>
          <w:rFonts w:hint="eastAsia" w:ascii="Times New Roman" w:hAnsi="Times New Roman" w:eastAsia="方正仿宋_GBK" w:cs="Times New Roman"/>
          <w:b w:val="0"/>
          <w:bCs w:val="0"/>
          <w:kern w:val="2"/>
          <w:sz w:val="32"/>
          <w:szCs w:val="32"/>
          <w:lang w:val="en-US" w:eastAsia="zh-CN" w:bidi="ar-SA"/>
        </w:rPr>
        <w:t>按照干部和教师的职数、编制和管理权限，负责本校教师人事管理、继续教育、考核考评等工作。</w:t>
      </w:r>
    </w:p>
    <w:p>
      <w:pPr>
        <w:pStyle w:val="15"/>
        <w:keepNext w:val="0"/>
        <w:keepLines w:val="0"/>
        <w:pageBreakBefore w:val="0"/>
        <w:widowControl/>
        <w:suppressLineNumbers w:val="0"/>
        <w:shd w:val="clear"/>
        <w:kinsoku/>
        <w:wordWrap/>
        <w:overflowPunct/>
        <w:topLinePunct w:val="0"/>
        <w:autoSpaceDN/>
        <w:bidi w:val="0"/>
        <w:adjustRightInd/>
        <w:snapToGrid/>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w:t>
      </w:r>
      <w:r>
        <w:rPr>
          <w:rFonts w:hint="eastAsia" w:ascii="Times New Roman" w:hAnsi="Times New Roman" w:eastAsia="方正仿宋_GBK" w:cs="Times New Roman"/>
          <w:b w:val="0"/>
          <w:bCs w:val="0"/>
          <w:kern w:val="2"/>
          <w:sz w:val="32"/>
          <w:szCs w:val="32"/>
          <w:lang w:val="en-US" w:eastAsia="zh-CN" w:bidi="ar-SA"/>
        </w:rPr>
        <w:t>负责本校财务和基建管理，筹措资金，改善办学条件等工作。</w:t>
      </w:r>
    </w:p>
    <w:p>
      <w:pPr>
        <w:pStyle w:val="15"/>
        <w:keepNext w:val="0"/>
        <w:keepLines w:val="0"/>
        <w:pageBreakBefore w:val="0"/>
        <w:widowControl/>
        <w:suppressLineNumbers w:val="0"/>
        <w:shd w:val="clear"/>
        <w:kinsoku/>
        <w:wordWrap/>
        <w:overflowPunct/>
        <w:topLinePunct w:val="0"/>
        <w:autoSpaceDN/>
        <w:bidi w:val="0"/>
        <w:adjustRightInd/>
        <w:snapToGrid/>
        <w:spacing w:before="0" w:beforeAutospacing="0" w:after="0" w:afterAutospacing="0" w:line="579"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w:t>
      </w:r>
      <w:r>
        <w:rPr>
          <w:rFonts w:hint="eastAsia" w:ascii="Times New Roman" w:hAnsi="Times New Roman" w:eastAsia="方正仿宋_GBK" w:cs="Times New Roman"/>
          <w:b w:val="0"/>
          <w:bCs w:val="0"/>
          <w:kern w:val="2"/>
          <w:sz w:val="32"/>
          <w:szCs w:val="32"/>
          <w:lang w:val="en-US" w:eastAsia="zh-CN" w:bidi="ar-SA"/>
        </w:rPr>
        <w:t>指导、管理、检查、评价本校的教育教学工作，提高办学质量和办学效益。按照义务教育课程计划，开齐课程，开足课时，认真实施中小学的教育教学管理，全面推进素质教育，全面提高教育教学质量。</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default"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（二）机构设置</w:t>
      </w:r>
    </w:p>
    <w:p>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9" w:lineRule="exact"/>
        <w:ind w:left="0" w:leftChars="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本部门机构由学校构成，学校设正职领导1名，副职领导2名。单位内设机构：办公室，内设机构领导正职1名，副职1名。</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1436.13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收、支与2023年度相比，减少366.61万元，下降20.3%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kern w:val="2"/>
          <w:sz w:val="32"/>
          <w:szCs w:val="32"/>
          <w:lang w:val="en-US" w:eastAsia="zh-CN" w:bidi="ar-SA"/>
        </w:rPr>
        <w:t>学校在建工程减少。</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.收入情况。2024年度收入合计1176.91万元，与2023年度相比，减少576.94万元，下降32.9%，主要原因是</w:t>
      </w:r>
      <w:r>
        <w:rPr>
          <w:rFonts w:hint="eastAsia" w:ascii="Times New Roman" w:hAnsi="Times New Roman" w:eastAsia="方正仿宋_GBK"/>
          <w:sz w:val="32"/>
          <w:szCs w:val="32"/>
          <w:shd w:val="clear" w:color="auto" w:fill="FFFFFF"/>
          <w:lang w:val="en-US" w:eastAsia="zh-CN"/>
        </w:rPr>
        <w:t>其他资本性收支减少，在建工程减少。</w:t>
      </w:r>
      <w:r>
        <w:rPr>
          <w:rFonts w:hint="default" w:ascii="Times New Roman" w:hAnsi="Times New Roman" w:eastAsia="方正仿宋_GBK"/>
          <w:sz w:val="32"/>
          <w:szCs w:val="32"/>
          <w:shd w:val="clear" w:color="auto" w:fill="FFFFFF"/>
        </w:rPr>
        <w:t>其中：财政拨款收入1076.87万元，占91.5%；事业收入53.93万元，占4.6%；经营收入0.00万元，占0.0%；其他收入46.11万元，占3.9%。此外，</w:t>
      </w:r>
      <w:r>
        <w:rPr>
          <w:rFonts w:hint="eastAsia" w:ascii="Times New Roman" w:hAnsi="Times New Roman" w:eastAsia="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0.00万元，年初结转和结余259.22万元。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lang w:val="en-US" w:eastAsia="zh-CN"/>
        </w:rPr>
        <w:t>2</w:t>
      </w:r>
      <w:r>
        <w:rPr>
          <w:rFonts w:hint="default" w:ascii="Times New Roman" w:hAnsi="Times New Roman" w:eastAsia="方正仿宋_GBK"/>
          <w:sz w:val="32"/>
          <w:szCs w:val="32"/>
          <w:shd w:val="clear" w:color="auto" w:fill="FFFFFF"/>
        </w:rPr>
        <w:t>.支出情况。2024年度支出合计1369.28万元，与2023年度相比，减少113.97万元，下降7.7%，主要原因是</w:t>
      </w:r>
      <w:r>
        <w:rPr>
          <w:rFonts w:hint="eastAsia" w:ascii="Times New Roman" w:hAnsi="Times New Roman" w:eastAsia="方正仿宋_GBK"/>
          <w:sz w:val="32"/>
          <w:szCs w:val="32"/>
          <w:shd w:val="clear" w:color="auto" w:fill="FFFFFF"/>
          <w:lang w:val="en-US" w:eastAsia="zh-CN"/>
        </w:rPr>
        <w:t>在建工程减少。</w:t>
      </w:r>
      <w:r>
        <w:rPr>
          <w:rFonts w:hint="default" w:ascii="Times New Roman" w:hAnsi="Times New Roman" w:eastAsia="方正仿宋_GBK"/>
          <w:sz w:val="32"/>
          <w:szCs w:val="32"/>
          <w:shd w:val="clear" w:color="auto" w:fill="FFFFFF"/>
        </w:rPr>
        <w:t>其中：基本支出976.67万元，占71.3%；项目支出392.61万元，占28.7%；经营支出0.00万元，占0.0%。此外，结余分配0.00万元。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.结转结余情况。2024年度年末结转和结余66.85万元，与2023年度相比，减少252.64万元，下降79.1%，主要原因是</w:t>
      </w:r>
      <w:r>
        <w:rPr>
          <w:rFonts w:hint="eastAsia" w:ascii="Times New Roman" w:hAnsi="Times New Roman" w:eastAsia="方正仿宋_GBK"/>
          <w:sz w:val="32"/>
          <w:szCs w:val="32"/>
          <w:shd w:val="clear" w:color="auto" w:fill="FFFFFF"/>
          <w:lang w:val="en-US" w:eastAsia="zh-CN"/>
        </w:rPr>
        <w:t>在建工程减少。</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2024年度财政拨款收、支总计均为1076.87万元。与2023年</w:t>
      </w:r>
      <w:r>
        <w:rPr>
          <w:rFonts w:hint="eastAsia" w:ascii="Times New Roman" w:hAnsi="Times New Roman" w:eastAsia="方正仿宋_GBK"/>
          <w:sz w:val="32"/>
          <w:szCs w:val="32"/>
          <w:shd w:val="clear" w:color="auto" w:fill="FFFFFF"/>
          <w:lang w:eastAsia="zh-CN"/>
        </w:rPr>
        <w:t>度</w:t>
      </w:r>
      <w:r>
        <w:rPr>
          <w:rFonts w:hint="default" w:ascii="Times New Roman" w:hAnsi="Times New Roman" w:eastAsia="方正仿宋_GBK"/>
          <w:sz w:val="32"/>
          <w:szCs w:val="32"/>
          <w:shd w:val="clear" w:color="auto" w:fill="FFFFFF"/>
        </w:rPr>
        <w:t>相比，财政拨款收、支总计各减少18.49万元，下降1.7%。主要原因是</w:t>
      </w:r>
      <w:r>
        <w:rPr>
          <w:rFonts w:hint="eastAsia" w:ascii="Times New Roman" w:hAnsi="Times New Roman" w:eastAsia="方正仿宋_GBK"/>
          <w:sz w:val="32"/>
          <w:szCs w:val="32"/>
          <w:shd w:val="clear" w:color="auto" w:fill="FFFFFF"/>
          <w:lang w:val="en-US" w:eastAsia="zh-CN"/>
        </w:rPr>
        <w:t>教师人数减少，在建工程减少，财政拨款减少。</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1.收入情况。2024年度一般公共预算财政拨款收入1073.38万元，与2023年度相比，减少9.03万元，下降0.8%。主要原因是</w:t>
      </w:r>
      <w:r>
        <w:rPr>
          <w:rFonts w:hint="eastAsia" w:ascii="Times New Roman" w:hAnsi="Times New Roman" w:eastAsia="方正仿宋_GBK"/>
          <w:sz w:val="32"/>
          <w:szCs w:val="32"/>
          <w:shd w:val="clear" w:color="auto" w:fill="FFFFFF"/>
          <w:lang w:val="en-US" w:eastAsia="zh-CN"/>
        </w:rPr>
        <w:t>教师人数减少，工程项目拨款减少。</w:t>
      </w:r>
      <w:r>
        <w:rPr>
          <w:rFonts w:hint="default" w:ascii="Times New Roman" w:hAnsi="Times New Roman" w:eastAsia="方正仿宋_GBK"/>
          <w:sz w:val="32"/>
          <w:szCs w:val="32"/>
          <w:shd w:val="clear" w:color="auto" w:fill="FFFFFF"/>
        </w:rPr>
        <w:t>较年初预算数增加242.28万元，增长29.2%。主要原因是</w:t>
      </w:r>
      <w:r>
        <w:rPr>
          <w:rFonts w:hint="eastAsia" w:ascii="Times New Roman" w:hAnsi="Times New Roman" w:eastAsia="方正仿宋_GBK"/>
          <w:sz w:val="32"/>
          <w:szCs w:val="32"/>
          <w:shd w:val="clear" w:color="auto" w:fill="FFFFFF"/>
          <w:lang w:val="en-US" w:eastAsia="zh-CN"/>
        </w:rPr>
        <w:t>年中追加安排工资福利支出，项目支出增加，</w:t>
      </w:r>
      <w:r>
        <w:rPr>
          <w:rFonts w:hint="default" w:ascii="Times New Roman" w:hAnsi="Times New Roman" w:eastAsia="方正仿宋_GBK"/>
          <w:sz w:val="32"/>
          <w:szCs w:val="32"/>
          <w:shd w:val="clear" w:color="auto" w:fill="FFFFFF"/>
        </w:rPr>
        <w:t>此外，年初财政拨款结转和结余0.00万元。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2.支出情况。2024年度一般公共预算财政拨款支出1073.38万元，与2023年度相比，减少20.48万元，下降1.9%。主要原因是</w:t>
      </w:r>
      <w:r>
        <w:rPr>
          <w:rFonts w:hint="eastAsia" w:ascii="Times New Roman" w:hAnsi="Times New Roman" w:eastAsia="方正仿宋_GBK"/>
          <w:sz w:val="32"/>
          <w:szCs w:val="32"/>
          <w:shd w:val="clear" w:color="auto" w:fill="FFFFFF"/>
          <w:lang w:val="en-US" w:eastAsia="zh-CN"/>
        </w:rPr>
        <w:t>年中追加安排工资福利支出，工程项目支出较少。</w:t>
      </w:r>
      <w:r>
        <w:rPr>
          <w:rFonts w:hint="default" w:ascii="Times New Roman" w:hAnsi="Times New Roman" w:eastAsia="方正仿宋_GBK"/>
          <w:sz w:val="32"/>
          <w:szCs w:val="32"/>
          <w:shd w:val="clear" w:color="auto" w:fill="FFFFFF"/>
        </w:rPr>
        <w:t>较年初预算数增加242.28万元，增长29.2%。主要原因是</w:t>
      </w:r>
      <w:r>
        <w:rPr>
          <w:rFonts w:hint="eastAsia" w:ascii="Times New Roman" w:hAnsi="Times New Roman" w:eastAsia="方正仿宋_GBK"/>
          <w:sz w:val="32"/>
          <w:szCs w:val="32"/>
          <w:shd w:val="clear" w:color="auto" w:fill="FFFFFF"/>
          <w:lang w:val="en-US" w:eastAsia="zh-CN"/>
        </w:rPr>
        <w:t>追加安排工资福利支出较多。</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w:t>
      </w:r>
      <w:r>
        <w:rPr>
          <w:rFonts w:hint="eastAsia" w:ascii="Times New Roman" w:hAnsi="Times New Roman" w:eastAsia="方正仿宋_GBK"/>
          <w:sz w:val="32"/>
          <w:szCs w:val="32"/>
          <w:shd w:val="clear" w:color="auto" w:fill="FFFFFF"/>
          <w:lang w:eastAsia="zh-CN"/>
        </w:rPr>
        <w:t>用途如下</w:t>
      </w:r>
      <w:r>
        <w:rPr>
          <w:rFonts w:hint="default" w:ascii="Times New Roman" w:hAnsi="Times New Roman" w:eastAsia="方正仿宋_GBK"/>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一般公共服务支出3.03万元，占0.3%，较年初预算数减少97.49万元，下降97.0%，主要原因是</w:t>
      </w:r>
      <w:r>
        <w:rPr>
          <w:rFonts w:hint="eastAsia" w:ascii="Times New Roman" w:hAnsi="Times New Roman" w:eastAsia="方正仿宋_GBK"/>
          <w:sz w:val="32"/>
          <w:szCs w:val="32"/>
          <w:shd w:val="clear" w:color="auto" w:fill="FFFFFF"/>
          <w:lang w:val="en-US" w:eastAsia="zh-CN"/>
        </w:rPr>
        <w:t>学校相关项目减少。</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lang w:val="en-US" w:eastAsia="zh-CN"/>
        </w:rPr>
        <w:t>（2）</w:t>
      </w:r>
      <w:r>
        <w:rPr>
          <w:rFonts w:hint="default" w:ascii="Times New Roman" w:hAnsi="Times New Roman" w:eastAsia="方正仿宋_GBK"/>
          <w:sz w:val="32"/>
          <w:szCs w:val="32"/>
          <w:shd w:val="clear" w:color="auto" w:fill="FFFFFF"/>
        </w:rPr>
        <w:t>教育支出855.17万元，占79.7%，较年初预算数增加332.92万元，增长63.8%，主要原因是</w:t>
      </w:r>
      <w:r>
        <w:rPr>
          <w:rFonts w:hint="eastAsia" w:ascii="Times New Roman" w:hAnsi="Times New Roman" w:eastAsia="方正仿宋_GBK"/>
          <w:sz w:val="32"/>
          <w:szCs w:val="32"/>
          <w:shd w:val="clear" w:color="auto" w:fill="FFFFFF"/>
          <w:lang w:val="en-US" w:eastAsia="zh-CN"/>
        </w:rPr>
        <w:t>学校改扩建及幼儿园项目建设费用。</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）社会保障</w:t>
      </w:r>
      <w:r>
        <w:rPr>
          <w:rFonts w:hint="eastAsia" w:ascii="Times New Roman" w:hAnsi="Times New Roman" w:eastAsia="方正仿宋_GBK"/>
          <w:sz w:val="32"/>
          <w:szCs w:val="32"/>
          <w:shd w:val="clear" w:color="auto" w:fill="FFFFFF"/>
          <w:lang w:eastAsia="zh-CN"/>
        </w:rPr>
        <w:t>和</w:t>
      </w:r>
      <w:r>
        <w:rPr>
          <w:rFonts w:hint="default" w:ascii="Times New Roman" w:hAnsi="Times New Roman" w:eastAsia="方正仿宋_GBK"/>
          <w:sz w:val="32"/>
          <w:szCs w:val="32"/>
          <w:shd w:val="clear" w:color="auto" w:fill="FFFFFF"/>
        </w:rPr>
        <w:t>就业支出144.75万元，占13.5%，较年初预算数增加6.85万元，增长5.0%，主要原因是</w:t>
      </w:r>
      <w:r>
        <w:rPr>
          <w:rFonts w:hint="eastAsia" w:ascii="Times New Roman" w:hAnsi="Times New Roman" w:eastAsia="方正仿宋_GBK"/>
          <w:sz w:val="32"/>
          <w:szCs w:val="32"/>
          <w:shd w:val="clear" w:color="auto" w:fill="FFFFFF"/>
          <w:lang w:val="en-US" w:eastAsia="zh-CN"/>
        </w:rPr>
        <w:t>应要求，本年度缴费基数调整。</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）卫生健康支出32.53万元，占3.0%，较年初预算数无增减</w:t>
      </w:r>
      <w:r>
        <w:rPr>
          <w:rFonts w:hint="eastAsia" w:ascii="Times New Roman" w:hAnsi="Times New Roman" w:eastAsia="方正仿宋_GBK"/>
          <w:sz w:val="32"/>
          <w:szCs w:val="32"/>
          <w:shd w:val="clear" w:color="auto" w:fill="FFFFFF"/>
          <w:lang w:val="en-US" w:eastAsia="zh-CN"/>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hint="default" w:ascii="Times New Roman" w:hAnsi="Times New Roman" w:eastAsia="方正仿宋_GBK"/>
          <w:sz w:val="32"/>
          <w:szCs w:val="32"/>
          <w:shd w:val="clear" w:color="auto" w:fill="FFFFFF"/>
        </w:rPr>
        <w:t>）住房保障支出37.90万元，占3.5%，较年初预算数无增减</w:t>
      </w:r>
      <w:r>
        <w:rPr>
          <w:rFonts w:hint="eastAsia" w:ascii="Times New Roman" w:hAnsi="Times New Roman" w:eastAsia="方正仿宋_GBK"/>
          <w:sz w:val="32"/>
          <w:szCs w:val="32"/>
          <w:shd w:val="clear" w:color="auto" w:fill="FFFFFF"/>
          <w:lang w:val="en-US" w:eastAsia="zh-CN"/>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3.结转结余情况。2024年度年末一般公共预算财政拨款结转和结余0.00万元，与2023年度相比，无增减</w:t>
      </w:r>
      <w:r>
        <w:rPr>
          <w:rFonts w:hint="eastAsia" w:ascii="Times New Roman" w:hAnsi="Times New Roman" w:eastAsia="方正仿宋_GBK"/>
          <w:sz w:val="32"/>
          <w:szCs w:val="32"/>
          <w:shd w:val="clear" w:color="auto" w:fill="FFFFFF"/>
          <w:lang w:val="en-US"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819.27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759.79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与2023年度相比，减少73.54万元，下降8.8%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在职人员减少</w:t>
      </w:r>
      <w:r>
        <w:rPr>
          <w:rFonts w:hint="eastAsia" w:ascii="Times New Roman" w:hAnsi="Times New Roman" w:eastAsia="方正仿宋_GBK" w:cs="Times New Roman"/>
          <w:b w:val="0"/>
          <w:bCs w:val="0"/>
          <w:kern w:val="2"/>
          <w:sz w:val="32"/>
          <w:szCs w:val="32"/>
          <w:lang w:val="en-US" w:eastAsia="zh-CN" w:bidi="ar-SA"/>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b w:val="0"/>
          <w:bCs w:val="0"/>
          <w:kern w:val="2"/>
          <w:sz w:val="32"/>
          <w:szCs w:val="32"/>
          <w:lang w:val="en-US" w:eastAsia="zh-CN" w:bidi="ar-SA"/>
        </w:rPr>
        <w:t>基本工资，津贴补贴奖金，社会保障缴费。</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59.48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与2023年度相比，减少2.49万元，下降4.0%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b w:val="0"/>
          <w:bCs w:val="0"/>
          <w:kern w:val="2"/>
          <w:sz w:val="32"/>
          <w:szCs w:val="32"/>
          <w:lang w:val="en-US" w:eastAsia="zh-CN" w:bidi="ar-SA"/>
        </w:rPr>
        <w:t>学生人数减少。</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b w:val="0"/>
          <w:bCs w:val="0"/>
          <w:kern w:val="2"/>
          <w:sz w:val="32"/>
          <w:szCs w:val="32"/>
          <w:lang w:val="en-US" w:eastAsia="zh-CN" w:bidi="ar-SA"/>
        </w:rPr>
        <w:t>办公费、手续费、水电费、物业管理费、差旅费、维修（护）费、会议费、培训费、公务接待费和劳务费、工会经费、其他商品和服务支出等。</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与2023年度相比，增加1.99万元，增长132.7%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kern w:val="2"/>
          <w:sz w:val="32"/>
          <w:szCs w:val="32"/>
          <w:lang w:val="en-US" w:eastAsia="zh-CN" w:bidi="ar-SA"/>
        </w:rPr>
        <w:t>政府性基金拨款增加。</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与2023年度相比，增加1.99万元，增长132.7%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kern w:val="2"/>
          <w:sz w:val="32"/>
          <w:szCs w:val="32"/>
          <w:lang w:val="en-US" w:eastAsia="zh-CN" w:bidi="ar-SA"/>
        </w:rPr>
        <w:t>政府性基金拨款增加。</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Times New Roman" w:hAnsi="Times New Roman" w:eastAsia="方正仿宋_GBK" w:cs="Times New Roman"/>
          <w:b w:val="0"/>
          <w:bCs w:val="0"/>
          <w:kern w:val="2"/>
          <w:sz w:val="32"/>
          <w:szCs w:val="32"/>
          <w:lang w:val="en-US" w:eastAsia="zh-CN" w:bidi="ar-SA"/>
        </w:rPr>
        <w:t>本单位2024年度无国有资本经营预算财政拨款支出。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较年初预算数增加4.49万元，增长100.0%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kern w:val="2"/>
          <w:sz w:val="32"/>
          <w:szCs w:val="32"/>
          <w:lang w:val="en-US" w:eastAsia="zh-CN" w:bidi="ar-SA"/>
        </w:rPr>
        <w:t>公务接待增加。</w:t>
      </w:r>
      <w:r>
        <w:rPr>
          <w:rFonts w:hint="default" w:ascii="Times New Roman" w:hAnsi="Times New Roman" w:eastAsia="方正仿宋_GBK"/>
          <w:sz w:val="32"/>
          <w:szCs w:val="32"/>
          <w:shd w:val="clear" w:color="auto" w:fill="FFFFFF"/>
        </w:rPr>
        <w:t>较上年支出数增加3.80万元，增长550.7%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kern w:val="2"/>
          <w:sz w:val="32"/>
          <w:szCs w:val="32"/>
          <w:lang w:val="en-US" w:eastAsia="zh-CN" w:bidi="ar-SA"/>
        </w:rPr>
        <w:t>公务接待增加。</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Times New Roman"/>
          <w:b w:val="0"/>
          <w:bCs w:val="0"/>
          <w:kern w:val="2"/>
          <w:sz w:val="32"/>
          <w:szCs w:val="32"/>
          <w:lang w:val="en-US" w:eastAsia="zh-CN" w:bidi="ar-SA"/>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Times New Roman"/>
          <w:b w:val="0"/>
          <w:bCs w:val="0"/>
          <w:kern w:val="2"/>
          <w:sz w:val="32"/>
          <w:szCs w:val="32"/>
          <w:lang w:val="en-US" w:eastAsia="zh-CN" w:bidi="ar-SA"/>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Times New Roman"/>
          <w:b w:val="0"/>
          <w:bCs w:val="0"/>
          <w:kern w:val="2"/>
          <w:sz w:val="32"/>
          <w:szCs w:val="32"/>
          <w:lang w:val="en-US" w:eastAsia="zh-CN" w:bidi="ar-SA"/>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4.49</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各项活动到校领导及嘉宾</w:t>
      </w:r>
      <w:r>
        <w:rPr>
          <w:rFonts w:hint="eastAsia" w:ascii="Times New Roman" w:hAnsi="Times New Roman" w:eastAsia="方正仿宋_GBK" w:cs="Times New Roman"/>
          <w:b w:val="0"/>
          <w:bCs w:val="0"/>
          <w:kern w:val="2"/>
          <w:sz w:val="32"/>
          <w:szCs w:val="32"/>
          <w:lang w:val="en-US" w:eastAsia="zh-CN" w:bidi="ar-SA"/>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较年初预算数增加4.49万元，增长100.0%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本年度学校承接活动较多</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sz w:val="32"/>
          <w:szCs w:val="32"/>
          <w:shd w:val="clear" w:color="auto" w:fill="FFFFFF"/>
        </w:rPr>
        <w:t>较上年支出数增加3.80万元，增长550.7%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本年度学校承接活动较多</w:t>
      </w:r>
      <w:r>
        <w:rPr>
          <w:rFonts w:hint="eastAsia" w:ascii="Times New Roman" w:hAnsi="Times New Roman" w:eastAsia="方正仿宋_GBK" w:cs="Times New Roman"/>
          <w:b w:val="0"/>
          <w:bCs w:val="0"/>
          <w:kern w:val="2"/>
          <w:sz w:val="32"/>
          <w:szCs w:val="32"/>
          <w:lang w:val="en-US" w:eastAsia="zh-CN" w:bidi="ar-SA"/>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74.77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kern w:val="2"/>
          <w:sz w:val="32"/>
          <w:szCs w:val="32"/>
          <w:lang w:val="en-US" w:eastAsia="zh-CN" w:bidi="ar-SA"/>
        </w:rPr>
        <w:t>会议次数增加</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与2023年度相比，增加0.54万元，增长22.3%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培训活动增加</w:t>
      </w:r>
      <w:r>
        <w:rPr>
          <w:rFonts w:ascii="方正仿宋_GBK" w:hAnsi="方正仿宋_GBK" w:eastAsia="方正仿宋_GBK" w:cs="方正仿宋_GBK"/>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6.35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与2023年度相比，减少0.55万元，下降8.0%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出差人数减少</w:t>
      </w:r>
      <w:r>
        <w:rPr>
          <w:rFonts w:ascii="方正仿宋_GBK" w:hAnsi="方正仿宋_GBK" w:eastAsia="方正仿宋_GBK" w:cs="方正仿宋_GBK"/>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不在机关运行经费统计范围之内。</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15"/>
        <w:keepNext w:val="0"/>
        <w:keepLines w:val="0"/>
        <w:pageBreakBefore w:val="0"/>
        <w:widowControl/>
        <w:suppressLineNumbers w:val="0"/>
        <w:shd w:val="clear"/>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val="en-US" w:eastAsia="zh-CN" w:bidi="ar-SA"/>
        </w:rPr>
        <w:t>因本单位属于学校，无国有资产，我单位资产未纳入部门决算报表。</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9"/>
        <w:keepNext w:val="0"/>
        <w:keepLines w:val="0"/>
        <w:pageBreakBefore w:val="0"/>
        <w:widowControl/>
        <w:suppressLineNumbers w:val="0"/>
        <w:shd w:val="clear"/>
        <w:kinsoku/>
        <w:wordWrap/>
        <w:overflowPunct/>
        <w:topLinePunct w:val="0"/>
        <w:autoSpaceDE w:val="0"/>
        <w:autoSpaceDN/>
        <w:bidi w:val="0"/>
        <w:adjustRightInd/>
        <w:spacing w:before="0" w:beforeAutospacing="0" w:after="0" w:afterAutospacing="0" w:line="579" w:lineRule="exact"/>
        <w:ind w:left="0" w:right="0" w:firstLine="640" w:firstLineChars="200"/>
        <w:jc w:val="left"/>
        <w:textAlignment w:val="auto"/>
        <w:rPr>
          <w:rFonts w:hint="eastAsia" w:ascii="楷体" w:hAnsi="楷体" w:eastAsia="楷体" w:cs="楷体"/>
          <w:b/>
          <w:bCs/>
          <w:kern w:val="0"/>
          <w:sz w:val="32"/>
          <w:szCs w:val="32"/>
          <w:shd w:val="clear" w:fill="FFFFFF"/>
        </w:rPr>
      </w:pPr>
      <w:r>
        <w:rPr>
          <w:rFonts w:hint="default" w:ascii="方正仿宋_GBK" w:hAnsi="方正仿宋_GBK" w:eastAsia="方正仿宋_GBK" w:cs="方正仿宋_GBK"/>
          <w:kern w:val="0"/>
          <w:sz w:val="32"/>
          <w:szCs w:val="32"/>
          <w:shd w:val="clear" w:fill="FFFFFF"/>
          <w:lang w:val="en-US" w:eastAsia="zh-CN" w:bidi="ar"/>
        </w:rPr>
        <w:t>根据预算绩效管理要求，我单位对部门</w:t>
      </w:r>
      <w:r>
        <w:rPr>
          <w:rFonts w:hint="default" w:ascii="Times New Roman" w:hAnsi="Times New Roman" w:eastAsia="方正仿宋_GBK"/>
          <w:sz w:val="32"/>
          <w:szCs w:val="32"/>
          <w:shd w:val="clear" w:color="auto" w:fill="FFFFFF"/>
          <w:lang w:val="en-US" w:eastAsia="zh-CN"/>
        </w:rPr>
        <w:t>整体</w:t>
      </w:r>
      <w:r>
        <w:rPr>
          <w:rFonts w:hint="default" w:ascii="Times New Roman" w:hAnsi="Times New Roman" w:eastAsia="方正仿宋_GBK"/>
          <w:sz w:val="32"/>
          <w:szCs w:val="32"/>
          <w:shd w:val="clear" w:color="auto" w:fill="FFFFFF"/>
          <w:lang w:eastAsia="zh-CN"/>
        </w:rPr>
        <w:t>20</w:t>
      </w:r>
      <w:r>
        <w:rPr>
          <w:rFonts w:hint="default" w:ascii="Times New Roman" w:hAnsi="Times New Roman" w:eastAsia="方正仿宋_GBK"/>
          <w:sz w:val="32"/>
          <w:szCs w:val="32"/>
          <w:shd w:val="clear" w:color="auto" w:fill="FFFFFF"/>
          <w:lang w:val="en-US" w:eastAsia="zh-CN"/>
        </w:rPr>
        <w:t>个二级项目开展了绩效自评，涉及财政拨款项目支出资金</w:t>
      </w:r>
      <w:r>
        <w:rPr>
          <w:rFonts w:hint="default" w:ascii="Times New Roman" w:hAnsi="Times New Roman" w:eastAsia="方正仿宋_GBK"/>
          <w:sz w:val="32"/>
          <w:szCs w:val="32"/>
          <w:shd w:val="clear" w:color="auto" w:fill="FFFFFF"/>
          <w:lang w:eastAsia="zh-CN"/>
        </w:rPr>
        <w:t>304.85</w:t>
      </w:r>
      <w:r>
        <w:rPr>
          <w:rFonts w:hint="default" w:ascii="方正仿宋_GBK" w:hAnsi="方正仿宋_GBK" w:eastAsia="方正仿宋_GBK" w:cs="方正仿宋_GBK"/>
          <w:kern w:val="0"/>
          <w:sz w:val="32"/>
          <w:szCs w:val="32"/>
          <w:shd w:val="clear" w:fill="FFFFFF"/>
          <w:lang w:val="en-US" w:eastAsia="zh-CN" w:bidi="ar"/>
        </w:rPr>
        <w:t>万元</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项目支出绩效自评表（</w:t>
      </w:r>
      <w:r>
        <w:rPr>
          <w:rFonts w:hint="default" w:ascii="方正仿宋_GBK" w:hAnsi="方正仿宋_GBK" w:eastAsia="方正仿宋_GBK" w:cs="方正仿宋_GBK"/>
          <w:b w:val="0"/>
          <w:bCs w:val="0"/>
          <w:kern w:val="0"/>
          <w:sz w:val="32"/>
          <w:szCs w:val="32"/>
          <w:shd w:val="clear" w:fill="FFFFFF"/>
        </w:rPr>
        <w:t>二</w:t>
      </w:r>
      <w:r>
        <w:rPr>
          <w:rFonts w:hint="eastAsia" w:ascii="方正仿宋_GBK" w:hAnsi="方正仿宋_GBK" w:eastAsia="方正仿宋_GBK" w:cs="方正仿宋_GBK"/>
          <w:b w:val="0"/>
          <w:bCs w:val="0"/>
          <w:kern w:val="0"/>
          <w:sz w:val="32"/>
          <w:szCs w:val="32"/>
          <w:shd w:val="clear" w:fill="FFFFFF"/>
        </w:rPr>
        <w:t>级项目）</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320" w:firstLineChars="100"/>
        <w:textAlignment w:val="auto"/>
        <w:rPr>
          <w:rFonts w:hint="default" w:ascii="方正仿宋_GBK" w:hAnsi="方正仿宋_GBK" w:eastAsia="方正仿宋_GBK" w:cs="方正仿宋_GBK"/>
          <w:kern w:val="0"/>
          <w:sz w:val="32"/>
          <w:szCs w:val="32"/>
          <w:lang w:val="en-US" w:eastAsia="zh-CN"/>
        </w:rPr>
      </w:pPr>
      <w:r>
        <w:rPr>
          <w:rFonts w:hint="default" w:ascii="方正仿宋_GBK" w:hAnsi="方正仿宋_GBK" w:eastAsia="方正仿宋_GBK" w:cs="方正仿宋_GBK"/>
          <w:kern w:val="0"/>
          <w:sz w:val="32"/>
          <w:szCs w:val="32"/>
          <w:lang w:eastAsia="zh-CN"/>
        </w:rPr>
        <w:t xml:space="preserve">  </w:t>
      </w:r>
      <w:r>
        <w:rPr>
          <w:rFonts w:hint="eastAsia" w:ascii="方正仿宋_GBK" w:hAnsi="方正仿宋_GBK" w:eastAsia="方正仿宋_GBK" w:cs="方正仿宋_GBK"/>
          <w:kern w:val="0"/>
          <w:sz w:val="32"/>
          <w:szCs w:val="32"/>
          <w:lang w:val="en-US" w:eastAsia="zh-CN"/>
        </w:rPr>
        <w:t>详见附件</w:t>
      </w:r>
      <w:r>
        <w:rPr>
          <w:rFonts w:hint="eastAsia" w:ascii="Times New Roman" w:hAnsi="Times New Roman" w:eastAsia="方正仿宋_GBK" w:cs="Times New Roman"/>
          <w:b w:val="0"/>
          <w:bCs w:val="0"/>
          <w:kern w:val="2"/>
          <w:sz w:val="32"/>
          <w:szCs w:val="32"/>
          <w:lang w:val="en-US" w:eastAsia="zh-CN" w:bidi="ar-SA"/>
        </w:rPr>
        <w:t>。</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4"/>
        <w:keepNext w:val="0"/>
        <w:keepLines w:val="0"/>
        <w:pageBreakBefore w:val="0"/>
        <w:widowControl/>
        <w:numPr>
          <w:ilvl w:val="0"/>
          <w:numId w:val="0"/>
        </w:numPr>
        <w:shd w:val="clear"/>
        <w:kinsoku/>
        <w:wordWrap/>
        <w:overflowPunct/>
        <w:topLinePunct w:val="0"/>
        <w:autoSpaceDE w:val="0"/>
        <w:autoSpaceDN/>
        <w:bidi w:val="0"/>
        <w:adjustRightInd/>
        <w:snapToGrid/>
        <w:spacing w:beforeAutospacing="0" w:afterAutospacing="0" w:line="579" w:lineRule="exact"/>
        <w:ind w:leftChars="0" w:firstLine="640" w:firstLineChars="200"/>
        <w:textAlignment w:val="auto"/>
        <w:rPr>
          <w:rFonts w:hint="eastAsia" w:ascii="Times New Roman" w:hAnsi="Times New Roman" w:eastAsia="方正仿宋_GBK"/>
          <w:b w:val="0"/>
          <w:bCs w:val="0"/>
          <w:sz w:val="32"/>
          <w:szCs w:val="32"/>
          <w:shd w:val="clear" w:color="auto" w:fill="FFFFFF"/>
          <w:lang w:val="en-US" w:eastAsia="zh-CN"/>
        </w:rPr>
      </w:pPr>
      <w:r>
        <w:rPr>
          <w:rFonts w:hint="eastAsia" w:ascii="Times New Roman" w:hAnsi="Times New Roman" w:eastAsia="方正仿宋_GBK"/>
          <w:b w:val="0"/>
          <w:bCs w:val="0"/>
          <w:sz w:val="32"/>
          <w:szCs w:val="32"/>
          <w:shd w:val="clear" w:color="auto" w:fill="FFFFFF"/>
          <w:lang w:val="en-US" w:eastAsia="zh-CN"/>
        </w:rPr>
        <w:t>我单位未组织开展绩效评价。</w:t>
      </w:r>
    </w:p>
    <w:p>
      <w:pPr>
        <w:pStyle w:val="19"/>
        <w:keepNext w:val="0"/>
        <w:keepLines w:val="0"/>
        <w:pageBreakBefore w:val="0"/>
        <w:widowControl/>
        <w:shd w:val="clear"/>
        <w:kinsoku/>
        <w:wordWrap/>
        <w:overflowPunct/>
        <w:topLinePunct w:val="0"/>
        <w:autoSpaceDE w:val="0"/>
        <w:autoSpaceDN/>
        <w:bidi w:val="0"/>
        <w:adjustRightInd/>
        <w:snapToGrid/>
        <w:spacing w:after="0" w:afterAutospacing="0" w:line="579"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4"/>
        <w:keepNext w:val="0"/>
        <w:keepLines w:val="0"/>
        <w:pageBreakBefore w:val="0"/>
        <w:widowControl/>
        <w:numPr>
          <w:ilvl w:val="0"/>
          <w:numId w:val="0"/>
        </w:numPr>
        <w:shd w:val="clear"/>
        <w:kinsoku/>
        <w:wordWrap/>
        <w:overflowPunct/>
        <w:topLinePunct w:val="0"/>
        <w:autoSpaceDE w:val="0"/>
        <w:autoSpaceDN/>
        <w:bidi w:val="0"/>
        <w:adjustRightInd/>
        <w:spacing w:beforeAutospacing="0" w:afterAutospacing="0" w:line="579" w:lineRule="exact"/>
        <w:ind w:leftChars="0" w:firstLine="640" w:firstLineChars="200"/>
        <w:textAlignment w:val="auto"/>
        <w:rPr>
          <w:rFonts w:hint="eastAsia" w:ascii="楷体" w:hAnsi="楷体" w:eastAsia="楷体" w:cs="楷体"/>
          <w:b w:val="0"/>
          <w:bCs w:val="0"/>
          <w:sz w:val="32"/>
          <w:szCs w:val="32"/>
          <w:shd w:val="clear" w:color="auto" w:fill="FFFFFF"/>
        </w:rPr>
      </w:pPr>
      <w:r>
        <w:rPr>
          <w:rFonts w:hint="eastAsia" w:ascii="Times New Roman" w:hAnsi="Times New Roman" w:eastAsia="方正仿宋_GBK"/>
          <w:b w:val="0"/>
          <w:bCs w:val="0"/>
          <w:sz w:val="32"/>
          <w:szCs w:val="32"/>
          <w:shd w:val="clear" w:color="auto" w:fill="FFFFFF"/>
          <w:lang w:val="en-US" w:eastAsia="zh-CN"/>
        </w:rPr>
        <w:t>县财政局未委托第三方对我单位开展绩效评价。</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sz w:val="32"/>
          <w:szCs w:val="32"/>
          <w:shd w:val="clear" w:color="auto" w:fill="FFFFFF"/>
          <w:lang w:val="en-US" w:eastAsia="zh-CN" w:bidi="ar-SA"/>
        </w:rPr>
        <w:t>18723785535</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sz w:val="32"/>
          <w:szCs w:val="32"/>
          <w:shd w:val="clear" w:color="auto" w:fill="FFFFFF"/>
          <w:lang w:val="en-US" w:eastAsia="zh-CN" w:bidi="ar-SA"/>
        </w:rPr>
        <w:t>（此件主动公开</w:t>
      </w:r>
      <w:bookmarkStart w:id="0" w:name="_GoBack"/>
      <w:bookmarkEnd w:id="0"/>
      <w:r>
        <w:rPr>
          <w:rFonts w:hint="eastAsia" w:ascii="Times New Roman" w:hAnsi="Times New Roman" w:eastAsia="方正仿宋_GBK" w:cs="Times New Roman"/>
          <w:sz w:val="32"/>
          <w:szCs w:val="32"/>
          <w:shd w:val="clear" w:color="auto" w:fill="FFFFFF"/>
          <w:lang w:val="en-US" w:eastAsia="zh-CN" w:bidi="ar-SA"/>
        </w:rPr>
        <w:t>）</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城口县咸宜镇中心小学</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1,436.13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1,436.13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城口县咸宜镇中心小学</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1,176.91</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1,076.87</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53.93</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955.20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855.17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53.93</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955.20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855.17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53.93</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53.93</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845.27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城口县咸宜镇中心小学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1,369.28</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976.67</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392.61</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758.46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389.12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758.46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389.12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1,088.86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746.46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342.41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城口县咸宜镇中心小学</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城口县咸宜镇中心小学</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1,073.38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819.27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601.06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601.06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591.76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137.11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137.11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城口县咸宜镇中心小学</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759.79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城口县咸宜镇中心小学</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城口县咸宜镇中心小学</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城口县咸宜镇中心小学</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BDC101E"/>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3C657E"/>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594635"/>
    <w:rsid w:val="5DA80C2C"/>
    <w:rsid w:val="5EFFE8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6D77568"/>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EF7B3334"/>
    <w:rsid w:val="FFF73E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4603</Words>
  <Characters>5200</Characters>
  <Lines>1</Lines>
  <Paragraphs>1</Paragraphs>
  <TotalTime>6</TotalTime>
  <ScaleCrop>false</ScaleCrop>
  <LinksUpToDate>false</LinksUpToDate>
  <CharactersWithSpaces>5248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ckuos</cp:lastModifiedBy>
  <dcterms:modified xsi:type="dcterms:W3CDTF">2025-11-11T10:24:58Z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A5EE75F7D7DC4045845CAA9B56C7367C_13</vt:lpwstr>
  </property>
  <property fmtid="{D5CDD505-2E9C-101B-9397-08002B2CF9AE}" pid="4" name="KSOTemplateDocerSaveRecord">
    <vt:lpwstr>eyJoZGlkIjoiOGJjNzI0MGY2ZTU3YjA3ZGYxYjBmZTVlOGYxNWQyZTIiLCJ1c2VySWQiOiIxNjYzODQxNTM1In0=</vt:lpwstr>
  </property>
</Properties>
</file>