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城口县双河乡中心小学</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pPr>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w:t>
      </w:r>
      <w:r>
        <w:rPr>
          <w:rFonts w:hint="eastAsia" w:ascii="方正仿宋_GBK" w:hAnsi="方正仿宋_GBK" w:eastAsia="方正仿宋_GBK" w:cs="方正仿宋_GBK"/>
          <w:b w:val="0"/>
          <w:bCs w:val="0"/>
          <w:sz w:val="32"/>
          <w:szCs w:val="32"/>
          <w:shd w:val="clear" w:color="auto" w:fill="FFFFFF"/>
        </w:rPr>
        <w:t>正确贯彻执行党和国家的教育方针、政策、法规。</w:t>
      </w:r>
    </w:p>
    <w:p>
      <w:pPr>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2.维护学校的教学秩序，为学生创造良好的学习环境；</w:t>
      </w:r>
    </w:p>
    <w:p>
      <w:pPr>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3.积极稳妥地推进教育改革，按教育规律办事，不断提高教育质量；</w:t>
      </w:r>
    </w:p>
    <w:p>
      <w:pPr>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4.根据学校规模，设置学校管理机构，建立健全各项规章制度和岗位责任制。</w:t>
      </w:r>
    </w:p>
    <w:p>
      <w:pPr>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5.坚持教书育人，服务育人，环境育人方针，加强对学生的思想品德教育，使学生的德智体全面发展。</w:t>
      </w:r>
    </w:p>
    <w:p>
      <w:pPr>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6.抓好教师队伍建设，使每个教师都热心于教育事业；</w:t>
      </w:r>
    </w:p>
    <w:p>
      <w:pPr>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7.做好安全防范，保证学生的</w:t>
      </w:r>
      <w:r>
        <w:rPr>
          <w:rFonts w:hint="eastAsia" w:ascii="Times New Roman" w:hAnsi="Times New Roman" w:eastAsia="方正仿宋_GBK" w:cs="Times New Roman"/>
          <w:b w:val="0"/>
          <w:bCs w:val="0"/>
          <w:sz w:val="32"/>
          <w:szCs w:val="32"/>
          <w:shd w:val="clear" w:color="auto" w:fill="FFFFFF"/>
          <w:lang w:eastAsia="zh-CN"/>
        </w:rPr>
        <w:t>人身安全</w:t>
      </w:r>
      <w:r>
        <w:rPr>
          <w:rFonts w:hint="eastAsia"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Style w:val="13"/>
          <w:rFonts w:ascii="黑体" w:hAnsi="黑体" w:eastAsia="黑体" w:cs="黑体"/>
          <w:sz w:val="32"/>
          <w:szCs w:val="32"/>
          <w:shd w:val="clear" w:color="auto" w:fill="FFFFFF"/>
        </w:rPr>
      </w:pPr>
      <w:r>
        <w:rPr>
          <w:rFonts w:hint="eastAsia" w:ascii="Times New Roman" w:hAnsi="Times New Roman" w:eastAsia="方正仿宋_GBK" w:cs="Times New Roman"/>
          <w:b w:val="0"/>
          <w:bCs w:val="0"/>
          <w:sz w:val="32"/>
          <w:szCs w:val="32"/>
          <w:shd w:val="clear" w:color="auto" w:fill="FFFFFF"/>
          <w:lang w:val="en-US" w:eastAsia="zh-CN" w:bidi="ar-SA"/>
        </w:rPr>
        <w:t>本部门机构由学校一个单位构成，学校设正职领导1名，副职领导1名。单位内设机构：教导处、校务处，内设机构领导正职1名。</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883.49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收、支与2023年度相比，减少90.12万元，下降9.3%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lang w:val="en-US" w:eastAsia="zh-CN"/>
        </w:rPr>
        <w:t>年补发以前年度绩效工资。</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883.49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与2023年度相比，减少90.12万元，下降9.3%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lang w:val="en-US" w:eastAsia="zh-CN"/>
        </w:rPr>
        <w:t>年补发以前年度绩效工资。</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875.20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99.1%</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8.29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0.9%</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883.49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与2023年度相比，减少90.12万元，下降9.3%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lang w:val="en-US" w:eastAsia="zh-CN"/>
        </w:rPr>
        <w:t>年补发以前年度绩效工资。</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744.52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84.3%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138.97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b w:val="0"/>
          <w:bCs/>
          <w:sz w:val="32"/>
          <w:szCs w:val="32"/>
          <w:shd w:val="clear" w:color="auto" w:fill="FFFFFF"/>
          <w:lang w:val="en-US" w:eastAsia="zh-CN"/>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本年全部实现支出。</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875.20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财政拨款收、支总计各减少83.83万元，下降8.7%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2023年补发以前年度绩效工资。</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871.70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与2023年度相比，减少86.55万元，下降9.0%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年补发以前年度绩效工资。</w:t>
      </w:r>
      <w:r>
        <w:rPr>
          <w:rFonts w:hint="default" w:ascii="Times New Roman" w:hAnsi="Times New Roman" w:eastAsia="方正仿宋_GBK"/>
          <w:sz w:val="32"/>
          <w:szCs w:val="32"/>
          <w:shd w:val="clear" w:color="auto" w:fill="FFFFFF"/>
        </w:rPr>
        <w:t>较年初预算数增加109.37万元，增长14.4%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调整</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年学生助学金。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Style w:val="13"/>
          <w:rFonts w:hint="default"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871.70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与2023年度相比，减少86.55万元，下降9.0%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年补发以前年度绩效工资。</w:t>
      </w:r>
      <w:r>
        <w:rPr>
          <w:rFonts w:hint="default" w:ascii="Times New Roman" w:hAnsi="Times New Roman" w:eastAsia="方正仿宋_GBK"/>
          <w:sz w:val="32"/>
          <w:szCs w:val="32"/>
          <w:shd w:val="clear" w:color="auto" w:fill="FFFFFF"/>
        </w:rPr>
        <w:t>较年初预算数增加109.37万元，增长14.4%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调整</w:t>
      </w:r>
      <w:r>
        <w:rPr>
          <w:rFonts w:hint="eastAsia" w:ascii="Times New Roman" w:hAnsi="Times New Roman" w:eastAsia="方正仿宋_GBK"/>
          <w:sz w:val="32"/>
          <w:szCs w:val="32"/>
          <w:shd w:val="clear" w:color="auto" w:fill="FFFFFF"/>
          <w:lang w:val="en-US" w:eastAsia="zh-CN"/>
        </w:rPr>
        <w:t>2024年学生助学金。</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numPr>
          <w:ilvl w:val="0"/>
          <w:numId w:val="1"/>
        </w:numPr>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3.15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较年初预算数减少79.18万元，下降96.2%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lang w:val="en-US" w:eastAsia="zh-CN"/>
        </w:rPr>
        <w:t>年补发以前年度绩效工资。</w:t>
      </w:r>
    </w:p>
    <w:p>
      <w:pPr>
        <w:pStyle w:val="9"/>
        <w:keepNext w:val="0"/>
        <w:keepLines w:val="0"/>
        <w:pageBreakBefore w:val="0"/>
        <w:widowControl/>
        <w:numPr>
          <w:ilvl w:val="0"/>
          <w:numId w:val="1"/>
        </w:numPr>
        <w:shd w:val="clear"/>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教育支出642.32万元，占73.7%，较年初预算数增加165.04万元，增长34.6%，主要原因是</w:t>
      </w:r>
      <w:r>
        <w:rPr>
          <w:rFonts w:hint="eastAsia" w:ascii="Times New Roman" w:hAnsi="Times New Roman" w:eastAsia="方正仿宋_GBK"/>
          <w:sz w:val="32"/>
          <w:szCs w:val="32"/>
          <w:shd w:val="clear" w:color="auto" w:fill="FFFFFF"/>
          <w:lang w:val="en-US" w:eastAsia="zh-CN"/>
        </w:rPr>
        <w:t>调整2024年学生助学金及教师岗位薪级工资调整。</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140.62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较年初预算数增加4.52万元，增长3.3%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年退休教师职业年金记实</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30.77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按年初预算实现支出</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19.00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调整本年费用支出。</w:t>
      </w:r>
    </w:p>
    <w:p>
      <w:pPr>
        <w:keepNext w:val="0"/>
        <w:keepLines w:val="0"/>
        <w:pageBreakBefore w:val="0"/>
        <w:widowControl/>
        <w:shd w:val="clear"/>
        <w:kinsoku/>
        <w:wordWrap/>
        <w:overflowPunct/>
        <w:topLinePunct w:val="0"/>
        <w:autoSpaceDN/>
        <w:bidi w:val="0"/>
        <w:adjustRightInd/>
        <w:spacing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35.85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按年初预算实现支出</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按预算实现支出。</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736.23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numPr>
          <w:ilvl w:val="0"/>
          <w:numId w:val="0"/>
        </w:numPr>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678.67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与2023年度相比，减少151.94万元，下降18.3%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年补发以前年度绩效</w:t>
      </w:r>
      <w:bookmarkStart w:id="0" w:name="_GoBack"/>
      <w:bookmarkEnd w:id="0"/>
      <w:r>
        <w:rPr>
          <w:rFonts w:hint="eastAsia" w:ascii="方正仿宋_GBK" w:hAnsi="方正仿宋_GBK" w:eastAsia="方正仿宋_GBK" w:cs="方正仿宋_GBK"/>
          <w:sz w:val="32"/>
          <w:szCs w:val="32"/>
          <w:shd w:val="clear" w:color="auto" w:fill="FFFFFF"/>
          <w:lang w:val="en-US" w:eastAsia="zh-CN"/>
        </w:rPr>
        <w:t>工资。</w:t>
      </w:r>
      <w:r>
        <w:rPr>
          <w:rFonts w:ascii="方正仿宋_GBK" w:hAnsi="方正仿宋_GBK" w:eastAsia="方正仿宋_GBK" w:cs="方正仿宋_GBK"/>
          <w:sz w:val="32"/>
          <w:szCs w:val="32"/>
          <w:shd w:val="clear" w:color="auto" w:fill="FFFFFF"/>
        </w:rPr>
        <w:t>人员经费用途</w:t>
      </w:r>
      <w:r>
        <w:rPr>
          <w:rFonts w:hint="eastAsia" w:ascii="方正仿宋_GBK" w:hAnsi="方正仿宋_GBK" w:eastAsia="方正仿宋_GBK" w:cs="方正仿宋_GBK"/>
          <w:sz w:val="32"/>
          <w:szCs w:val="32"/>
          <w:shd w:val="clear" w:color="auto" w:fill="FFFFFF"/>
          <w:lang w:eastAsia="zh-CN"/>
        </w:rPr>
        <w:t>主要包括</w:t>
      </w:r>
      <w:r>
        <w:rPr>
          <w:rFonts w:hint="eastAsia" w:ascii="Times New Roman" w:hAnsi="Times New Roman" w:eastAsia="方正仿宋_GBK" w:cs="Times New Roman"/>
          <w:b w:val="0"/>
          <w:bCs w:val="0"/>
          <w:sz w:val="32"/>
          <w:szCs w:val="32"/>
          <w:shd w:val="clear" w:color="auto" w:fill="FFFFFF"/>
          <w:lang w:val="en-US" w:eastAsia="zh-CN" w:bidi="ar-SA"/>
        </w:rPr>
        <w:t>基本工资、津补贴、社会保障费用、住房公积金、绩效工资等。</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57.56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与2023年度相比，减少3.78万元，下降6.2%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bidi="ar-SA"/>
        </w:rPr>
        <w:t>学生人数减少，公用经费减少。</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Times New Roman"/>
          <w:b w:val="0"/>
          <w:bCs w:val="0"/>
          <w:sz w:val="32"/>
          <w:szCs w:val="32"/>
          <w:shd w:val="clear" w:color="auto" w:fill="FFFFFF"/>
          <w:lang w:val="en-US" w:eastAsia="zh-CN" w:bidi="ar-SA"/>
        </w:rPr>
        <w:t>办公费、水费、电费、邮电费、差旅费、维修（护）费、会议费、公务接待费、工会经费、福利费、党建经费、其他商品和服务支出。</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与2023年度相比，增加2.72万元，增长348.7%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bidi="ar-SA"/>
        </w:rPr>
        <w:t>乡村少年宫资金本年度支出增加。</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与2023年度相比，增加2.72万元，增长348.7%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bidi="ar-SA"/>
        </w:rPr>
        <w:t>乡村少年宫资金本年度支出增加。</w:t>
      </w:r>
    </w:p>
    <w:p>
      <w:pPr>
        <w:pStyle w:val="14"/>
        <w:keepNext w:val="0"/>
        <w:keepLines w:val="0"/>
        <w:pageBreakBefore w:val="0"/>
        <w:widowControl/>
        <w:numPr>
          <w:ilvl w:val="0"/>
          <w:numId w:val="2"/>
        </w:numPr>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国有资本经营预算财政拨款支出决算情况说明</w:t>
      </w:r>
    </w:p>
    <w:p>
      <w:pPr>
        <w:pStyle w:val="9"/>
        <w:keepNext w:val="0"/>
        <w:keepLines w:val="0"/>
        <w:pageBreakBefore w:val="0"/>
        <w:widowControl/>
        <w:shd w:val="clear" w:color="auto"/>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ascii="黑体" w:hAnsi="黑体" w:eastAsia="黑体" w:cs="黑体"/>
          <w:sz w:val="32"/>
          <w:szCs w:val="32"/>
          <w:shd w:val="clear" w:color="auto" w:fill="FFFFFF"/>
        </w:rPr>
      </w:pPr>
      <w:r>
        <w:rPr>
          <w:rFonts w:hint="eastAsia" w:ascii="Times New Roman" w:hAnsi="Times New Roman" w:eastAsia="方正仿宋_GBK" w:cs="Times New Roman"/>
          <w:b w:val="0"/>
          <w:bCs w:val="0"/>
          <w:sz w:val="32"/>
          <w:szCs w:val="32"/>
          <w:shd w:val="clear" w:color="auto" w:fill="FFFFFF"/>
          <w:lang w:val="en-US" w:eastAsia="zh-CN" w:bidi="ar-SA"/>
        </w:rPr>
        <w:t>本单位2024年度无国有资本经营预算财政拨款支出。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黑体" w:hAnsi="黑体" w:eastAsia="黑体" w:cs="黑体"/>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bidi="ar-SA"/>
        </w:rPr>
        <w:t>严格控制“三公”经费，减少不必要的接待。</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bidi="ar-SA"/>
        </w:rPr>
        <w:t>严格控制“三公”经费，减少不必要的接待。</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Fonts w:hint="eastAsia" w:ascii="Times New Roman" w:hAnsi="Times New Roman" w:eastAsia="方正仿宋_GBK" w:cs="Times New Roman"/>
          <w:b w:val="0"/>
          <w:bCs w:val="0"/>
          <w:sz w:val="32"/>
          <w:szCs w:val="32"/>
          <w:shd w:val="clear" w:color="auto" w:fill="FFFFFF"/>
          <w:lang w:val="en-US" w:eastAsia="zh-CN" w:bidi="ar-SA"/>
        </w:rPr>
        <w:t>2024年度本单位因公出国（境）费用0.00万元。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Fonts w:hint="eastAsia" w:ascii="Times New Roman" w:hAnsi="Times New Roman" w:eastAsia="方正仿宋_GBK" w:cs="Times New Roman"/>
          <w:b w:val="0"/>
          <w:bCs w:val="0"/>
          <w:sz w:val="32"/>
          <w:szCs w:val="32"/>
          <w:shd w:val="clear" w:color="auto" w:fill="FFFFFF"/>
          <w:lang w:val="en-US" w:eastAsia="zh-CN" w:bidi="ar-SA"/>
        </w:rPr>
        <w:t>公务用车购置费0.00万元。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Fonts w:hint="eastAsia" w:ascii="Times New Roman" w:hAnsi="Times New Roman" w:eastAsia="方正仿宋_GBK" w:cs="Times New Roman"/>
          <w:b w:val="0"/>
          <w:bCs w:val="0"/>
          <w:sz w:val="32"/>
          <w:szCs w:val="32"/>
          <w:shd w:val="clear" w:color="auto" w:fill="FFFFFF"/>
          <w:lang w:val="en-US" w:eastAsia="zh-CN" w:bidi="ar-SA"/>
        </w:rPr>
        <w:t>公务用车运行维护费0.00万元。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接受相关部门检查指导工作发生的相关支出。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bidi="ar-SA"/>
        </w:rPr>
        <w:t>严格控制“三公”经费，减少不必要的接待。</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bidi="ar-SA"/>
        </w:rPr>
        <w:t>严格控制“三公”经费，减少不必要的接待。</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ascii="黑体" w:hAnsi="黑体" w:eastAsia="黑体" w:cs="黑体"/>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bidi="ar-SA"/>
        </w:rPr>
        <w:t>本年度未开展会议活动。</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与2023年度相比，减少1.06万元，下降26.5%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教师外出培训减</w:t>
      </w:r>
      <w:r>
        <w:rPr>
          <w:rFonts w:hint="eastAsia" w:ascii="Times New Roman" w:hAnsi="Times New Roman" w:eastAsia="方正仿宋_GBK"/>
          <w:sz w:val="32"/>
          <w:szCs w:val="32"/>
          <w:shd w:val="clear" w:color="auto" w:fill="FFFFFF"/>
          <w:lang w:eastAsia="zh-CN"/>
        </w:rPr>
        <w:t>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2.57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与2023年度相比，减少0.35万元，下降12.0%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教师出差减少。</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15"/>
        <w:keepNext w:val="0"/>
        <w:keepLines w:val="0"/>
        <w:pageBreakBefore w:val="0"/>
        <w:widowControl/>
        <w:shd w:val="clear"/>
        <w:kinsoku/>
        <w:wordWrap/>
        <w:overflowPunct/>
        <w:topLinePunct w:val="0"/>
        <w:autoSpaceDE w:val="0"/>
        <w:autoSpaceDN/>
        <w:bidi w:val="0"/>
        <w:adjustRightInd/>
        <w:spacing w:before="0" w:beforeAutospacing="0" w:after="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按照部门决算列报口径，我单位不在机关运行经费统计范围之内。</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黑体" w:hAnsi="黑体" w:eastAsia="黑体" w:cs="黑体"/>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11.40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11.40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11.40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11.40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w:t>
      </w:r>
      <w:r>
        <w:rPr>
          <w:rFonts w:hint="default" w:ascii="Times New Roman" w:hAnsi="Times New Roman" w:eastAsia="方正仿宋_GBK"/>
          <w:sz w:val="32"/>
          <w:szCs w:val="32"/>
          <w:shd w:val="clear" w:color="auto" w:fill="FFFFFF"/>
        </w:rPr>
        <w:t>购</w:t>
      </w:r>
      <w:r>
        <w:rPr>
          <w:rFonts w:hint="eastAsia" w:ascii="Times New Roman" w:hAnsi="Times New Roman" w:eastAsia="方正仿宋_GBK"/>
          <w:sz w:val="32"/>
          <w:szCs w:val="32"/>
          <w:shd w:val="clear" w:color="auto" w:fill="FFFFFF"/>
          <w:lang w:eastAsia="zh-CN"/>
        </w:rPr>
        <w:t>学生食堂设备、幼儿园玩具设备、打印机、空调。</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w:t>
      </w:r>
      <w:r>
        <w:rPr>
          <w:rFonts w:hint="eastAsia" w:ascii="Times New Roman" w:hAnsi="Times New Roman" w:eastAsia="方正仿宋_GBK"/>
          <w:sz w:val="32"/>
          <w:szCs w:val="32"/>
          <w:shd w:val="clear" w:color="auto" w:fill="FFFFFF"/>
          <w:lang w:val="en-US" w:eastAsia="zh-CN"/>
        </w:rPr>
        <w:t>2024</w:t>
      </w:r>
      <w:r>
        <w:rPr>
          <w:rStyle w:val="13"/>
          <w:rFonts w:hint="eastAsia" w:ascii="方正黑体_GBK" w:hAnsi="方正黑体_GBK" w:eastAsia="方正黑体_GBK" w:cs="方正黑体_GBK"/>
          <w:b w:val="0"/>
          <w:bCs/>
          <w:sz w:val="32"/>
          <w:szCs w:val="32"/>
          <w:shd w:val="clear" w:color="auto" w:fill="FFFFFF"/>
          <w:lang w:val="en-US" w:eastAsia="zh-CN"/>
        </w:rPr>
        <w:t>年度预算绩效管理情况说明</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960" w:firstLineChars="300"/>
        <w:jc w:val="left"/>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根据预算绩效管理要求，我单位</w:t>
      </w:r>
      <w:r>
        <w:rPr>
          <w:rFonts w:hint="eastAsia" w:ascii="Times New Roman" w:hAnsi="Times New Roman" w:eastAsia="方正仿宋_GBK" w:cs="Times New Roman"/>
          <w:b w:val="0"/>
          <w:bCs w:val="0"/>
          <w:sz w:val="32"/>
          <w:szCs w:val="32"/>
          <w:shd w:val="clear" w:color="auto" w:fill="FFFFFF"/>
          <w:lang w:val="en-US" w:eastAsia="zh-CN" w:bidi="ar-SA"/>
        </w:rPr>
        <w:t>20</w:t>
      </w:r>
      <w:r>
        <w:rPr>
          <w:rFonts w:hint="default" w:ascii="Times New Roman" w:hAnsi="Times New Roman" w:eastAsia="方正仿宋_GBK" w:cs="Times New Roman"/>
          <w:b w:val="0"/>
          <w:bCs w:val="0"/>
          <w:sz w:val="32"/>
          <w:szCs w:val="32"/>
          <w:shd w:val="clear" w:color="auto" w:fill="FFFFFF"/>
          <w:lang w:val="en-US" w:eastAsia="zh-CN" w:bidi="ar-SA"/>
        </w:rPr>
        <w:t>个二级项目开展了绩效自评，涉及财政拨款项目支出资金</w:t>
      </w:r>
      <w:r>
        <w:rPr>
          <w:rFonts w:hint="eastAsia" w:ascii="Times New Roman" w:hAnsi="Times New Roman" w:eastAsia="方正仿宋_GBK" w:cs="Times New Roman"/>
          <w:b w:val="0"/>
          <w:bCs w:val="0"/>
          <w:sz w:val="32"/>
          <w:szCs w:val="32"/>
          <w:shd w:val="clear" w:color="auto" w:fill="FFFFFF"/>
          <w:lang w:val="en-US" w:eastAsia="zh-CN" w:bidi="ar-SA"/>
        </w:rPr>
        <w:t>116.83</w:t>
      </w:r>
      <w:r>
        <w:rPr>
          <w:rFonts w:hint="default" w:ascii="Times New Roman" w:hAnsi="Times New Roman" w:eastAsia="方正仿宋_GBK" w:cs="Times New Roman"/>
          <w:b w:val="0"/>
          <w:bCs w:val="0"/>
          <w:sz w:val="32"/>
          <w:szCs w:val="32"/>
          <w:shd w:val="clear" w:color="auto" w:fill="FFFFFF"/>
          <w:lang w:val="en-US" w:eastAsia="zh-CN" w:bidi="ar-SA"/>
        </w:rPr>
        <w:t>万元。</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项目支出绩效自评表（</w:t>
      </w:r>
      <w:r>
        <w:rPr>
          <w:rFonts w:hint="eastAsia" w:ascii="Times New Roman" w:hAnsi="Times New Roman" w:eastAsia="方正仿宋_GBK" w:cs="Times New Roman"/>
          <w:b w:val="0"/>
          <w:bCs w:val="0"/>
          <w:kern w:val="0"/>
          <w:sz w:val="32"/>
          <w:szCs w:val="32"/>
          <w:shd w:val="clear" w:fill="FFFFFF"/>
          <w:lang w:val="en-US" w:eastAsia="zh-CN"/>
        </w:rPr>
        <w:t>二</w:t>
      </w:r>
      <w:r>
        <w:rPr>
          <w:rFonts w:hint="default" w:ascii="Times New Roman" w:hAnsi="Times New Roman" w:eastAsia="方正仿宋_GBK" w:cs="Times New Roman"/>
          <w:b w:val="0"/>
          <w:bCs w:val="0"/>
          <w:kern w:val="0"/>
          <w:sz w:val="32"/>
          <w:szCs w:val="32"/>
          <w:shd w:val="clear" w:fill="FFFFFF"/>
        </w:rPr>
        <w:t>级项目）</w:t>
      </w:r>
    </w:p>
    <w:p>
      <w:pPr>
        <w:pStyle w:val="1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79"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fill="FFFFFF"/>
          <w:lang w:val="en-US" w:eastAsia="zh-CN"/>
        </w:rPr>
        <w:t>见附件。</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9"/>
        <w:keepNext w:val="0"/>
        <w:keepLines w:val="0"/>
        <w:pageBreakBefore w:val="0"/>
        <w:widowControl/>
        <w:shd w:val="clear"/>
        <w:kinsoku/>
        <w:wordWrap/>
        <w:overflowPunct/>
        <w:topLinePunct w:val="0"/>
        <w:autoSpaceDE w:val="0"/>
        <w:autoSpaceDN/>
        <w:bidi w:val="0"/>
        <w:adjustRightInd/>
        <w:snapToGrid/>
        <w:spacing w:after="0" w:afterAutospacing="0" w:line="579" w:lineRule="exact"/>
        <w:ind w:left="0" w:firstLine="640" w:firstLineChars="200"/>
        <w:textAlignment w:val="auto"/>
        <w:rPr>
          <w:rStyle w:val="13"/>
          <w:rFonts w:hint="eastAsia" w:ascii="方正楷体_GBK" w:hAnsi="方正楷体_GBK" w:eastAsia="方正楷体_GBK" w:cs="方正楷体_GBK"/>
          <w:b w:val="0"/>
          <w:bCs/>
          <w:kern w:val="0"/>
          <w:sz w:val="32"/>
          <w:szCs w:val="32"/>
          <w:shd w:val="clear" w:color="auto" w:fill="FFFFFF"/>
          <w:lang w:val="en-US" w:eastAsia="zh-CN" w:bidi="ar-SA"/>
        </w:rPr>
      </w:pPr>
      <w:r>
        <w:rPr>
          <w:rStyle w:val="13"/>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Style w:val="13"/>
          <w:rFonts w:hint="eastAsia" w:ascii="黑体" w:hAnsi="黑体" w:eastAsia="黑体" w:cs="黑体"/>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eastAsia="zh-CN"/>
        </w:rPr>
        <w:t>朱毅</w:t>
      </w:r>
      <w:r>
        <w:rPr>
          <w:rFonts w:hint="eastAsia" w:ascii="方正仿宋_GBK" w:hAnsi="方正仿宋_GBK" w:eastAsia="方正仿宋_GBK" w:cs="方正仿宋_GBK"/>
          <w:kern w:val="0"/>
          <w:sz w:val="32"/>
          <w:szCs w:val="32"/>
          <w:shd w:val="clear" w:fill="FFFFFF"/>
          <w:lang w:val="en-US" w:eastAsia="zh-CN"/>
        </w:rPr>
        <w:t xml:space="preserve">  </w:t>
      </w:r>
      <w:r>
        <w:rPr>
          <w:rFonts w:hint="eastAsia" w:ascii="Times New Roman" w:hAnsi="Times New Roman" w:eastAsia="方正仿宋_GBK" w:cs="Times New Roman"/>
          <w:sz w:val="32"/>
          <w:szCs w:val="32"/>
          <w:shd w:val="clear" w:color="auto" w:fill="FFFFFF"/>
          <w:lang w:val="en-US" w:eastAsia="zh-CN" w:bidi="ar-SA"/>
        </w:rPr>
        <w:t>023-59295577</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（此件主动公开）</w:t>
      </w: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Style w:val="13"/>
          <w:rFonts w:ascii="方正仿宋_GBK" w:hAnsi="方正仿宋_GBK" w:eastAsia="方正仿宋_GBK" w:cs="方正仿宋_GBK"/>
          <w:sz w:val="32"/>
          <w:szCs w:val="32"/>
          <w:shd w:val="clear" w:color="auto" w:fill="FFFF00"/>
        </w:rPr>
      </w:pPr>
    </w:p>
    <w:p>
      <w:pPr>
        <w:pStyle w:val="14"/>
        <w:keepNext w:val="0"/>
        <w:keepLines w:val="0"/>
        <w:pageBreakBefore w:val="0"/>
        <w:widowControl/>
        <w:shd w:val="clear"/>
        <w:tabs>
          <w:tab w:val="left" w:pos="1128"/>
        </w:tabs>
        <w:kinsoku/>
        <w:wordWrap/>
        <w:overflowPunct/>
        <w:topLinePunct w:val="0"/>
        <w:autoSpaceDE w:val="0"/>
        <w:autoSpaceDN/>
        <w:bidi w:val="0"/>
        <w:adjustRightInd/>
        <w:snapToGrid/>
        <w:spacing w:beforeAutospacing="0" w:afterAutospacing="0" w:line="579" w:lineRule="exact"/>
        <w:ind w:firstLine="640"/>
        <w:jc w:val="both"/>
        <w:textAlignment w:val="auto"/>
        <w:rPr>
          <w:rStyle w:val="13"/>
          <w:rFonts w:hint="default" w:ascii="方正仿宋_GBK" w:hAnsi="方正仿宋_GBK" w:eastAsia="方正仿宋_GBK" w:cs="方正仿宋_GBK"/>
          <w:b w:val="0"/>
          <w:bCs/>
          <w:color w:val="000000" w:themeColor="text1"/>
          <w:sz w:val="32"/>
          <w:szCs w:val="32"/>
          <w:shd w:val="clear" w:color="auto" w:fill="FFFF00"/>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城口县双河乡中心小学</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871.70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883.49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城口县双河乡中心小学</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883.49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875.20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8.29</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603.18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603.18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城口县双河乡中心小学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883.49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744.52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138.97</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603.18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522.75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城口县双河乡中心小学</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871.70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城口县双河乡中心小学</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871.70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736.23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603.18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城口县双河乡中心小学</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678.67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57.56</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城口县双河乡中心小学</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城口县双河乡中心小学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城口县双河乡中心小学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581A0"/>
    <w:multiLevelType w:val="singleLevel"/>
    <w:tmpl w:val="D60581A0"/>
    <w:lvl w:ilvl="0" w:tentative="0">
      <w:start w:val="6"/>
      <w:numFmt w:val="chineseCounting"/>
      <w:suff w:val="nothing"/>
      <w:lvlText w:val="（%1）"/>
      <w:lvlJc w:val="left"/>
      <w:rPr>
        <w:rFonts w:hint="eastAsia"/>
      </w:rPr>
    </w:lvl>
  </w:abstractNum>
  <w:abstractNum w:abstractNumId="1">
    <w:nsid w:val="F109CE6E"/>
    <w:multiLevelType w:val="singleLevel"/>
    <w:tmpl w:val="F109CE6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377E52"/>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4645C7"/>
    <w:rsid w:val="15E2148B"/>
    <w:rsid w:val="163A6CEE"/>
    <w:rsid w:val="173708E3"/>
    <w:rsid w:val="17C374FC"/>
    <w:rsid w:val="17F378CF"/>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82CE9"/>
    <w:rsid w:val="3FCD675E"/>
    <w:rsid w:val="3FEF6B77"/>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DF4623"/>
    <w:rsid w:val="5F2D4A41"/>
    <w:rsid w:val="60C74F6C"/>
    <w:rsid w:val="61015958"/>
    <w:rsid w:val="61025A59"/>
    <w:rsid w:val="613D5BBC"/>
    <w:rsid w:val="61536C39"/>
    <w:rsid w:val="62944DD7"/>
    <w:rsid w:val="6319381F"/>
    <w:rsid w:val="63471E49"/>
    <w:rsid w:val="63C25DC5"/>
    <w:rsid w:val="63C62057"/>
    <w:rsid w:val="64571EF5"/>
    <w:rsid w:val="64FB113D"/>
    <w:rsid w:val="651323B8"/>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F321CA"/>
    <w:rsid w:val="7B420052"/>
    <w:rsid w:val="7BD06A28"/>
    <w:rsid w:val="7C3A7C0B"/>
    <w:rsid w:val="7C5248E4"/>
    <w:rsid w:val="7C566698"/>
    <w:rsid w:val="7C5866A3"/>
    <w:rsid w:val="7D7406BB"/>
    <w:rsid w:val="7DE94331"/>
    <w:rsid w:val="7F446A19"/>
    <w:rsid w:val="7F7452B9"/>
    <w:rsid w:val="AF9FDB6C"/>
    <w:rsid w:val="BFF75AB7"/>
    <w:rsid w:val="D7FDFE28"/>
    <w:rsid w:val="FCDE8A5F"/>
    <w:rsid w:val="FDFBB895"/>
    <w:rsid w:val="FDFF9B4B"/>
    <w:rsid w:val="FF77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4766</Words>
  <Characters>5363</Characters>
  <Lines>186</Lines>
  <Paragraphs>52</Paragraphs>
  <TotalTime>7</TotalTime>
  <ScaleCrop>false</ScaleCrop>
  <LinksUpToDate>false</LinksUpToDate>
  <CharactersWithSpaces>5419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2025-11-11T10:19:44Z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