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重庆市城口县庙坝镇第二中心小学</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hint="eastAsia"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一、单位基本情况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（一）职能职责</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在城口县教育委员会的正确领导和关心支持下，在社会各界的大力配合下，坚持以</w:t>
      </w:r>
      <w:r>
        <w:rPr>
          <w:rFonts w:hint="eastAsia" w:ascii="方正仿宋_GBK" w:hAnsi="方正仿宋_GBK" w:eastAsia="方正仿宋_GBK" w:cs="方正仿宋_GBK"/>
          <w:sz w:val="32"/>
          <w:szCs w:val="32"/>
          <w:lang w:eastAsia="zh-CN"/>
        </w:rPr>
        <w:t>习近平新时代中国特色社会主义</w:t>
      </w:r>
      <w:r>
        <w:rPr>
          <w:rFonts w:hint="eastAsia" w:ascii="方正仿宋_GBK" w:hAnsi="方正仿宋_GBK" w:eastAsia="方正仿宋_GBK" w:cs="方正仿宋_GBK"/>
          <w:sz w:val="32"/>
          <w:szCs w:val="32"/>
        </w:rPr>
        <w:t>思想为指导，认真贯彻执行党的教育方针、政策，有计划、有步骤地开展学校的各项工作。我校在教育设施不尽完善的情况下，牢牢抓好全乡教育教学质量关，注重学校安全教育，各项工作都取得了明显的进步，较好地完成了学期初制定的工作目标。</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宣传贯彻执行党和国家的教育方针、政策、法律法规等，坚持依法治教、依法治学，贯彻执行县教委的行政规章制度。</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配合县、乡人民政府制定符合党的教育方针和国家教育法律法规以及本校实际的教育发展规划和学校布局调整规划，并抓好组织实施和落实工作。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巩固提高“均衡教育”工作成果和整体水平，配合各级人民政府依法动员、组织适龄儿童少年入学，严格控制辍学。</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组织开展本校的教育教学科研和教育教学改革，科研兴教，科研兴校。负责对本校教育教学业务的具体管理和教育教学及教研教改工作，全力推进素质教育实施。</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按照干部和教师的职数、编制和管理权限，负责本校教师人事管理、继续教育、考核考评等工作。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负责本校财务和基建管理，筹措资金，改善办学条件等工作。</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rPr>
      </w:pP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指导、管理、检查、评价本校的教育教学工作，提高办学质量和办学效益。按照义务教育课程计划，开齐课程，开足课时，认真实施中小学的教育教学管理，全面推进素质教育，全面提高教育教学质量。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（二）机构设置</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独立编制机构数</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独立核算机构数</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财政补助拨款事业单位</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单位编制人数</w:t>
      </w:r>
      <w:r>
        <w:rPr>
          <w:rFonts w:hint="eastAsia"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人。实有职工</w:t>
      </w:r>
      <w:r>
        <w:rPr>
          <w:rFonts w:hint="eastAsia"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人，其中：在职</w:t>
      </w:r>
      <w:r>
        <w:rPr>
          <w:rFonts w:hint="eastAsia"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人，退休</w:t>
      </w:r>
      <w:r>
        <w:rPr>
          <w:rFonts w:hint="eastAsia" w:ascii="Times New Roman" w:hAnsi="Times New Roman" w:eastAsia="方正仿宋_GBK" w:cs="Times New Roman"/>
          <w:sz w:val="32"/>
          <w:szCs w:val="32"/>
        </w:rPr>
        <w:t>17</w:t>
      </w:r>
      <w:r>
        <w:rPr>
          <w:rFonts w:hint="eastAsia" w:ascii="方正仿宋_GBK" w:hAnsi="方正仿宋_GBK" w:eastAsia="方正仿宋_GBK" w:cs="方正仿宋_GBK"/>
          <w:sz w:val="32"/>
          <w:szCs w:val="32"/>
        </w:rPr>
        <w:t>人，与上年比较，在职增加</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人，退休减少</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人。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二、单位决算情况说明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总体情况。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年度收入总计</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万元，支出总计</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万元。收支较上年决算数增加</w:t>
      </w:r>
      <w:r>
        <w:rPr>
          <w:rFonts w:hint="eastAsia" w:ascii="Times New Roman" w:hAnsi="Times New Roman" w:eastAsia="方正仿宋_GBK" w:cs="Times New Roman"/>
          <w:sz w:val="32"/>
          <w:szCs w:val="32"/>
          <w:lang w:val="en-US" w:eastAsia="zh-CN" w:bidi="ar-SA"/>
        </w:rPr>
        <w:t>77.32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20.44%</w:t>
      </w:r>
      <w:r>
        <w:rPr>
          <w:rFonts w:hint="eastAsia" w:ascii="方正仿宋_GBK" w:hAnsi="方正仿宋_GBK" w:eastAsia="方正仿宋_GBK" w:cs="方正仿宋_GBK"/>
          <w:sz w:val="32"/>
          <w:szCs w:val="32"/>
          <w:shd w:val="clear" w:color="auto" w:fill="FFFFFF"/>
        </w:rPr>
        <w:t>，主要原因是增加一名教师 ，增加一笔抚恤费用。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lang w:val="en-US" w:eastAsia="zh-CN" w:bidi="ar-SA"/>
        </w:rPr>
        <w:t>2.</w:t>
      </w:r>
      <w:r>
        <w:rPr>
          <w:rFonts w:hint="eastAsia" w:ascii="方正仿宋_GBK" w:hAnsi="方正仿宋_GBK" w:eastAsia="方正仿宋_GBK" w:cs="方正仿宋_GBK"/>
          <w:sz w:val="32"/>
          <w:szCs w:val="32"/>
          <w:shd w:val="clear" w:color="auto" w:fill="FFFFFF"/>
        </w:rPr>
        <w:t>收入情况。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年度收入合计</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lang w:val="en-US" w:eastAsia="zh-CN" w:bidi="ar-SA"/>
        </w:rPr>
        <w:t>77.32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20.44%</w:t>
      </w:r>
      <w:r>
        <w:rPr>
          <w:rFonts w:hint="eastAsia" w:ascii="方正仿宋_GBK" w:hAnsi="方正仿宋_GBK" w:eastAsia="方正仿宋_GBK" w:cs="方正仿宋_GBK"/>
          <w:sz w:val="32"/>
          <w:szCs w:val="32"/>
          <w:shd w:val="clear" w:color="auto" w:fill="FFFFFF"/>
        </w:rPr>
        <w:t>，主要原因是增加一名教师。其中：财政拨款收入</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100.00%</w:t>
      </w:r>
      <w:r>
        <w:rPr>
          <w:rFonts w:hint="eastAsia" w:ascii="方正仿宋_GBK" w:hAnsi="方正仿宋_GBK" w:eastAsia="方正仿宋_GBK" w:cs="方正仿宋_GBK"/>
          <w:sz w:val="32"/>
          <w:szCs w:val="32"/>
          <w:shd w:val="clear" w:color="auto" w:fill="FFFFFF"/>
        </w:rPr>
        <w:t>；事业收入</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；经营收入</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；其他收入</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。此外，使用非财政拨款结余和专用结余</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万元，年初结转和结余</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3.</w:t>
      </w:r>
      <w:r>
        <w:rPr>
          <w:rFonts w:hint="eastAsia" w:ascii="方正仿宋_GBK" w:hAnsi="方正仿宋_GBK" w:eastAsia="方正仿宋_GBK" w:cs="方正仿宋_GBK"/>
          <w:sz w:val="32"/>
          <w:szCs w:val="32"/>
          <w:shd w:val="clear" w:color="auto" w:fill="FFFFFF"/>
        </w:rPr>
        <w:t>支出情况。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lang w:val="en-US" w:eastAsia="zh-CN" w:bidi="ar-SA"/>
        </w:rPr>
        <w:t>77.32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20.44%</w:t>
      </w:r>
      <w:r>
        <w:rPr>
          <w:rFonts w:hint="eastAsia" w:ascii="方正仿宋_GBK" w:hAnsi="方正仿宋_GBK" w:eastAsia="方正仿宋_GBK" w:cs="方正仿宋_GBK"/>
          <w:sz w:val="32"/>
          <w:szCs w:val="32"/>
          <w:shd w:val="clear" w:color="auto" w:fill="FFFFFF"/>
        </w:rPr>
        <w:t>，主要原因是新增一名教师。其中：基本支出</w:t>
      </w:r>
      <w:r>
        <w:rPr>
          <w:rFonts w:hint="eastAsia" w:ascii="Times New Roman" w:hAnsi="Times New Roman" w:eastAsia="方正仿宋_GBK" w:cs="Times New Roman"/>
          <w:sz w:val="32"/>
          <w:szCs w:val="32"/>
          <w:lang w:val="en-US" w:eastAsia="zh-CN" w:bidi="ar-SA"/>
        </w:rPr>
        <w:t>440.81</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96.77%</w:t>
      </w:r>
      <w:r>
        <w:rPr>
          <w:rFonts w:hint="eastAsia" w:ascii="方正仿宋_GBK" w:hAnsi="方正仿宋_GBK" w:eastAsia="方正仿宋_GBK" w:cs="方正仿宋_GBK"/>
          <w:sz w:val="32"/>
          <w:szCs w:val="32"/>
          <w:shd w:val="clear" w:color="auto" w:fill="FFFFFF"/>
        </w:rPr>
        <w:t>；项目支出</w:t>
      </w:r>
      <w:r>
        <w:rPr>
          <w:rFonts w:hint="eastAsia" w:ascii="Times New Roman" w:hAnsi="Times New Roman" w:eastAsia="方正仿宋_GBK" w:cs="Times New Roman"/>
          <w:sz w:val="32"/>
          <w:szCs w:val="32"/>
          <w:lang w:val="en-US" w:eastAsia="zh-CN" w:bidi="ar-SA"/>
        </w:rPr>
        <w:t>14.69</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3.23%</w:t>
      </w:r>
      <w:r>
        <w:rPr>
          <w:rFonts w:hint="eastAsia" w:ascii="方正仿宋_GBK" w:hAnsi="方正仿宋_GBK" w:eastAsia="方正仿宋_GBK" w:cs="方正仿宋_GBK"/>
          <w:sz w:val="32"/>
          <w:szCs w:val="32"/>
          <w:shd w:val="clear" w:color="auto" w:fill="FFFFFF"/>
        </w:rPr>
        <w:t>；经营支出</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。此外，结余分配</w:t>
      </w:r>
      <w:r>
        <w:rPr>
          <w:rFonts w:hint="eastAsia" w:ascii="Times New Roman" w:hAnsi="Times New Roman" w:eastAsia="方正仿宋_GBK" w:cs="Times New Roman"/>
          <w:sz w:val="32"/>
          <w:szCs w:val="32"/>
          <w:lang w:val="en-US" w:eastAsia="zh-CN" w:bidi="ar-SA"/>
        </w:rPr>
        <w:t>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bidi="ar-SA"/>
        </w:rPr>
        <w:t>4.</w:t>
      </w:r>
      <w:r>
        <w:rPr>
          <w:rFonts w:hint="eastAsia" w:ascii="方正仿宋_GBK" w:hAnsi="方正仿宋_GBK" w:eastAsia="方正仿宋_GBK" w:cs="方正仿宋_GBK"/>
          <w:sz w:val="32"/>
          <w:szCs w:val="32"/>
          <w:shd w:val="clear" w:color="auto" w:fill="FFFFFF"/>
        </w:rPr>
        <w:t>结转结余情况。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年度年末结转和结余</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年度财政拨款收、支总计</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万元。与</w:t>
      </w:r>
      <w:r>
        <w:rPr>
          <w:rFonts w:hint="eastAsia" w:ascii="Times New Roman" w:hAnsi="Times New Roman" w:eastAsia="方正仿宋_GBK" w:cs="Times New Roman"/>
          <w:sz w:val="32"/>
          <w:szCs w:val="32"/>
          <w:lang w:val="en-US" w:eastAsia="zh-CN" w:bidi="ar-SA"/>
        </w:rPr>
        <w:t>2022</w:t>
      </w:r>
      <w:r>
        <w:rPr>
          <w:rFonts w:hint="eastAsia" w:ascii="方正仿宋_GBK" w:hAnsi="方正仿宋_GBK" w:eastAsia="方正仿宋_GBK" w:cs="方正仿宋_GBK"/>
          <w:sz w:val="32"/>
          <w:szCs w:val="32"/>
          <w:shd w:val="clear" w:color="auto" w:fill="FFFFFF"/>
        </w:rPr>
        <w:t>年相比，财政拨款收、支总计各增加</w:t>
      </w:r>
      <w:r>
        <w:rPr>
          <w:rFonts w:hint="eastAsia" w:ascii="Times New Roman" w:hAnsi="Times New Roman" w:eastAsia="方正仿宋_GBK" w:cs="Times New Roman"/>
          <w:sz w:val="32"/>
          <w:szCs w:val="32"/>
          <w:lang w:val="en-US" w:eastAsia="zh-CN" w:bidi="ar-SA"/>
        </w:rPr>
        <w:t>77.32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20.44%</w:t>
      </w:r>
      <w:r>
        <w:rPr>
          <w:rFonts w:hint="eastAsia" w:ascii="方正仿宋_GBK" w:hAnsi="方正仿宋_GBK" w:eastAsia="方正仿宋_GBK" w:cs="方正仿宋_GBK"/>
          <w:sz w:val="32"/>
          <w:szCs w:val="32"/>
          <w:shd w:val="clear" w:color="auto" w:fill="FFFFFF"/>
        </w:rPr>
        <w:t>。主要原因是增加一名教师。</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（三）一般公共预算财政拨款收入支出决算情况说明</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rPr>
      </w:pP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lang w:val="en-US" w:eastAsia="zh-CN" w:bidi="ar-SA"/>
        </w:rPr>
        <w:t>收入情况。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lang w:val="en-US" w:eastAsia="zh-CN" w:bidi="ar-SA"/>
        </w:rPr>
        <w:t>77.32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20.44%</w:t>
      </w:r>
      <w:r>
        <w:rPr>
          <w:rFonts w:hint="eastAsia" w:ascii="方正仿宋_GBK" w:hAnsi="方正仿宋_GBK" w:eastAsia="方正仿宋_GBK" w:cs="方正仿宋_GBK"/>
          <w:sz w:val="32"/>
          <w:szCs w:val="32"/>
          <w:shd w:val="clear" w:color="auto" w:fill="FFFFFF"/>
        </w:rPr>
        <w:t>。主要原因是增加一名教师。较年初预算数减少</w:t>
      </w:r>
      <w:r>
        <w:rPr>
          <w:rFonts w:hint="eastAsia" w:ascii="Times New Roman" w:hAnsi="Times New Roman" w:eastAsia="方正仿宋_GBK" w:cs="Times New Roman"/>
          <w:sz w:val="32"/>
          <w:szCs w:val="32"/>
          <w:lang w:val="en-US" w:eastAsia="zh-CN" w:bidi="ar-SA"/>
        </w:rPr>
        <w:t>25.21</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lang w:val="en-US" w:eastAsia="zh-CN" w:bidi="ar-SA"/>
        </w:rPr>
        <w:t>5.24%</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人员经费支出及学生补助支出减少。</w:t>
      </w:r>
      <w:r>
        <w:rPr>
          <w:rFonts w:hint="eastAsia" w:ascii="方正仿宋_GBK" w:hAnsi="方正仿宋_GBK" w:eastAsia="方正仿宋_GBK" w:cs="方正仿宋_GBK"/>
          <w:sz w:val="32"/>
          <w:szCs w:val="32"/>
          <w:shd w:val="clear" w:color="auto" w:fill="FFFFFF"/>
        </w:rPr>
        <w:t>此外，年初财政拨款结转和结余</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bidi="ar-SA"/>
        </w:rPr>
        <w:t>2.</w:t>
      </w:r>
      <w:r>
        <w:rPr>
          <w:rFonts w:hint="eastAsia" w:ascii="方正仿宋_GBK" w:hAnsi="方正仿宋_GBK" w:eastAsia="方正仿宋_GBK" w:cs="方正仿宋_GBK"/>
          <w:sz w:val="32"/>
          <w:szCs w:val="32"/>
          <w:shd w:val="clear" w:color="auto" w:fill="FFFFFF"/>
        </w:rPr>
        <w:t>支出情况。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年度一般公共预算财政拨款支出</w:t>
      </w:r>
      <w:r>
        <w:rPr>
          <w:rFonts w:hint="eastAsia" w:ascii="Times New Roman" w:hAnsi="Times New Roman" w:eastAsia="方正仿宋_GBK" w:cs="Times New Roman"/>
          <w:sz w:val="32"/>
          <w:szCs w:val="32"/>
          <w:lang w:val="en-US" w:eastAsia="zh-CN" w:bidi="ar-SA"/>
        </w:rPr>
        <w:t>455.51</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lang w:val="en-US" w:eastAsia="zh-CN" w:bidi="ar-SA"/>
        </w:rPr>
        <w:t>77.32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20.44%</w:t>
      </w:r>
      <w:r>
        <w:rPr>
          <w:rFonts w:hint="eastAsia" w:ascii="方正仿宋_GBK" w:hAnsi="方正仿宋_GBK" w:eastAsia="方正仿宋_GBK" w:cs="方正仿宋_GBK"/>
          <w:sz w:val="32"/>
          <w:szCs w:val="32"/>
          <w:shd w:val="clear" w:color="auto" w:fill="FFFFFF"/>
        </w:rPr>
        <w:t>。主要原因是增加一名教师。较年初预算数减少</w:t>
      </w:r>
      <w:r>
        <w:rPr>
          <w:rFonts w:hint="eastAsia" w:ascii="Times New Roman" w:hAnsi="Times New Roman" w:eastAsia="方正仿宋_GBK" w:cs="Times New Roman"/>
          <w:sz w:val="32"/>
          <w:szCs w:val="32"/>
          <w:lang w:val="en-US" w:eastAsia="zh-CN" w:bidi="ar-SA"/>
        </w:rPr>
        <w:t>25.21</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lang w:val="en-US" w:eastAsia="zh-CN" w:bidi="ar-SA"/>
        </w:rPr>
        <w:t>5.24%</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rPr>
        <w:t>人员经费支出及学生补助支出减少。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bidi="ar-SA"/>
        </w:rPr>
        <w:t>3.</w:t>
      </w:r>
      <w:r>
        <w:rPr>
          <w:rFonts w:hint="eastAsia" w:ascii="方正仿宋_GBK" w:hAnsi="方正仿宋_GBK" w:eastAsia="方正仿宋_GBK" w:cs="方正仿宋_GBK"/>
          <w:sz w:val="32"/>
          <w:szCs w:val="32"/>
          <w:shd w:val="clear" w:color="auto" w:fill="FFFFFF"/>
        </w:rPr>
        <w:t>结转结余情况。</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年度年末一般公共预算财政拨款结转和结余</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cs="Times New Roman"/>
          <w:sz w:val="32"/>
          <w:szCs w:val="32"/>
          <w:lang w:val="en-US" w:eastAsia="zh-CN" w:bidi="ar-SA"/>
        </w:rPr>
        <w:t>4.</w:t>
      </w:r>
      <w:r>
        <w:rPr>
          <w:rFonts w:hint="eastAsia" w:ascii="方正仿宋_GBK" w:hAnsi="方正仿宋_GBK" w:eastAsia="方正仿宋_GBK" w:cs="方正仿宋_GBK"/>
          <w:sz w:val="32"/>
          <w:szCs w:val="32"/>
          <w:shd w:val="clear" w:color="auto" w:fill="FFFFFF"/>
        </w:rPr>
        <w:t>比较情况。本单位</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）一般公共服务支出</w:t>
      </w:r>
      <w:r>
        <w:rPr>
          <w:rFonts w:hint="eastAsia" w:ascii="Times New Roman" w:hAnsi="Times New Roman" w:eastAsia="方正仿宋_GBK" w:cs="Times New Roman"/>
          <w:sz w:val="32"/>
          <w:szCs w:val="32"/>
          <w:lang w:val="en-US" w:eastAsia="zh-CN" w:bidi="ar-SA"/>
        </w:rPr>
        <w:t>3.71</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0.81%</w:t>
      </w:r>
      <w:r>
        <w:rPr>
          <w:rFonts w:hint="eastAsia"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lang w:val="en-US" w:eastAsia="zh-CN" w:bidi="ar-SA"/>
        </w:rPr>
        <w:t>2.12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133.33%</w:t>
      </w:r>
      <w:r>
        <w:rPr>
          <w:rFonts w:hint="eastAsia" w:ascii="方正仿宋_GBK" w:hAnsi="方正仿宋_GBK" w:eastAsia="方正仿宋_GBK" w:cs="方正仿宋_GBK"/>
          <w:sz w:val="32"/>
          <w:szCs w:val="32"/>
          <w:shd w:val="clear" w:color="auto" w:fill="FFFFFF"/>
        </w:rPr>
        <w:t>，主要原因是办公费用增加。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lang w:val="en-US" w:eastAsia="zh-CN" w:bidi="ar-SA"/>
        </w:rPr>
        <w:t>2</w:t>
      </w:r>
      <w:r>
        <w:rPr>
          <w:rFonts w:hint="eastAsia" w:ascii="方正仿宋_GBK" w:hAnsi="方正仿宋_GBK" w:eastAsia="方正仿宋_GBK" w:cs="方正仿宋_GBK"/>
          <w:sz w:val="32"/>
          <w:szCs w:val="32"/>
          <w:shd w:val="clear" w:color="auto" w:fill="FFFFFF"/>
        </w:rPr>
        <w:t>）教育支出</w:t>
      </w:r>
      <w:r>
        <w:rPr>
          <w:rFonts w:hint="eastAsia" w:ascii="Times New Roman" w:hAnsi="Times New Roman" w:eastAsia="方正仿宋_GBK" w:cs="Times New Roman"/>
          <w:sz w:val="32"/>
          <w:szCs w:val="32"/>
          <w:lang w:val="en-US" w:eastAsia="zh-CN" w:bidi="ar-SA"/>
        </w:rPr>
        <w:t>339.71</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74.58%</w:t>
      </w:r>
      <w:r>
        <w:rPr>
          <w:rFonts w:hint="eastAsia"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32"/>
          <w:lang w:val="en-US" w:eastAsia="zh-CN" w:bidi="ar-SA"/>
        </w:rPr>
        <w:t>23.63</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lang w:val="en-US" w:eastAsia="zh-CN" w:bidi="ar-SA"/>
        </w:rPr>
        <w:t>6.50%</w:t>
      </w:r>
      <w:r>
        <w:rPr>
          <w:rFonts w:hint="eastAsia"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lang w:val="en-US" w:eastAsia="zh-CN" w:bidi="ar-SA"/>
        </w:rPr>
        <w:t>3</w:t>
      </w:r>
      <w:r>
        <w:rPr>
          <w:rFonts w:hint="eastAsia" w:ascii="方正仿宋_GBK" w:hAnsi="方正仿宋_GBK" w:eastAsia="方正仿宋_GBK" w:cs="方正仿宋_GBK"/>
          <w:sz w:val="32"/>
          <w:szCs w:val="32"/>
          <w:shd w:val="clear" w:color="auto" w:fill="FFFFFF"/>
        </w:rPr>
        <w:t>月调出</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名教师，</w:t>
      </w:r>
      <w:r>
        <w:rPr>
          <w:rFonts w:hint="eastAsia" w:ascii="Times New Roman" w:hAnsi="Times New Roman" w:eastAsia="方正仿宋_GBK" w:cs="Times New Roman"/>
          <w:sz w:val="32"/>
          <w:szCs w:val="32"/>
          <w:lang w:val="en-US" w:eastAsia="zh-CN" w:bidi="ar-SA"/>
        </w:rPr>
        <w:t>9</w:t>
      </w:r>
      <w:r>
        <w:rPr>
          <w:rFonts w:hint="eastAsia" w:ascii="方正仿宋_GBK" w:hAnsi="方正仿宋_GBK" w:eastAsia="方正仿宋_GBK" w:cs="方正仿宋_GBK"/>
          <w:sz w:val="32"/>
          <w:szCs w:val="32"/>
          <w:shd w:val="clear" w:color="auto" w:fill="FFFFFF"/>
        </w:rPr>
        <w:t>月调出</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名教师。</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lang w:val="en-US" w:eastAsia="zh-CN" w:bidi="ar-SA"/>
        </w:rPr>
        <w:t>3</w:t>
      </w:r>
      <w:r>
        <w:rPr>
          <w:rFonts w:hint="eastAsia"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lang w:val="en-US" w:eastAsia="zh-CN" w:bidi="ar-SA"/>
        </w:rPr>
        <w:t>78.54</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17.24%</w:t>
      </w:r>
      <w:r>
        <w:rPr>
          <w:rFonts w:hint="eastAsia"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32"/>
          <w:lang w:val="en-US" w:eastAsia="zh-CN" w:bidi="ar-SA"/>
        </w:rPr>
        <w:t>3.70</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lang w:val="en-US" w:eastAsia="zh-CN" w:bidi="ar-SA"/>
        </w:rPr>
        <w:t>4.50%</w:t>
      </w:r>
      <w:r>
        <w:rPr>
          <w:rFonts w:hint="eastAsia" w:ascii="方正仿宋_GBK" w:hAnsi="方正仿宋_GBK" w:eastAsia="方正仿宋_GBK" w:cs="方正仿宋_GBK"/>
          <w:sz w:val="32"/>
          <w:szCs w:val="32"/>
          <w:shd w:val="clear" w:color="auto" w:fill="FFFFFF"/>
        </w:rPr>
        <w:t>，主要原因</w:t>
      </w:r>
      <w:r>
        <w:rPr>
          <w:rFonts w:hint="eastAsia" w:ascii="Times New Roman" w:hAnsi="Times New Roman" w:eastAsia="方正仿宋_GBK" w:cs="Times New Roman"/>
          <w:sz w:val="32"/>
          <w:szCs w:val="32"/>
          <w:lang w:val="en-US" w:eastAsia="zh-CN" w:bidi="ar-SA"/>
        </w:rPr>
        <w:t>3</w:t>
      </w:r>
      <w:r>
        <w:rPr>
          <w:rFonts w:hint="eastAsia" w:ascii="方正仿宋_GBK" w:hAnsi="方正仿宋_GBK" w:eastAsia="方正仿宋_GBK" w:cs="方正仿宋_GBK"/>
          <w:sz w:val="32"/>
          <w:szCs w:val="32"/>
          <w:shd w:val="clear" w:color="auto" w:fill="FFFFFF"/>
        </w:rPr>
        <w:t>月调出</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名教师，</w:t>
      </w:r>
      <w:r>
        <w:rPr>
          <w:rFonts w:hint="eastAsia" w:ascii="Times New Roman" w:hAnsi="Times New Roman" w:eastAsia="方正仿宋_GBK" w:cs="Times New Roman"/>
          <w:sz w:val="32"/>
          <w:szCs w:val="32"/>
          <w:lang w:val="en-US" w:eastAsia="zh-CN" w:bidi="ar-SA"/>
        </w:rPr>
        <w:t>9</w:t>
      </w:r>
      <w:r>
        <w:rPr>
          <w:rFonts w:hint="eastAsia" w:ascii="方正仿宋_GBK" w:hAnsi="方正仿宋_GBK" w:eastAsia="方正仿宋_GBK" w:cs="方正仿宋_GBK"/>
          <w:sz w:val="32"/>
          <w:szCs w:val="32"/>
          <w:shd w:val="clear" w:color="auto" w:fill="FFFFFF"/>
        </w:rPr>
        <w:t>月调出</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名教师。</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lang w:val="en-US" w:eastAsia="zh-CN" w:bidi="ar-SA"/>
        </w:rPr>
        <w:t>4</w:t>
      </w:r>
      <w:r>
        <w:rPr>
          <w:rFonts w:hint="eastAsia"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32"/>
          <w:lang w:val="en-US" w:eastAsia="zh-CN" w:bidi="ar-SA"/>
        </w:rPr>
        <w:t>15.25</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3.35%</w:t>
      </w:r>
      <w:r>
        <w:rPr>
          <w:rFonts w:hint="eastAsia" w:ascii="方正仿宋_GBK" w:hAnsi="方正仿宋_GBK" w:eastAsia="方正仿宋_GBK" w:cs="方正仿宋_GBK"/>
          <w:sz w:val="32"/>
          <w:szCs w:val="32"/>
          <w:shd w:val="clear" w:color="auto" w:fill="FFFFFF"/>
        </w:rPr>
        <w:t>，较年初预算数无增减。</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lang w:val="en-US" w:eastAsia="zh-CN" w:bidi="ar-SA"/>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w:t>
      </w:r>
      <w:r>
        <w:rPr>
          <w:rFonts w:hint="eastAsia" w:ascii="Times New Roman" w:hAnsi="Times New Roman" w:eastAsia="方正仿宋_GBK" w:cs="Times New Roman"/>
          <w:sz w:val="32"/>
          <w:szCs w:val="32"/>
          <w:lang w:val="en-US" w:eastAsia="zh-CN" w:bidi="ar-SA"/>
        </w:rPr>
        <w:t>18.30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lang w:val="en-US" w:eastAsia="zh-CN" w:bidi="ar-SA"/>
        </w:rPr>
        <w:t>4.02%</w:t>
      </w:r>
      <w:r>
        <w:rPr>
          <w:rFonts w:hint="eastAsia" w:ascii="方正仿宋_GBK" w:hAnsi="方正仿宋_GBK" w:eastAsia="方正仿宋_GBK" w:cs="方正仿宋_GBK"/>
          <w:sz w:val="32"/>
          <w:szCs w:val="32"/>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（四）一般公共预算财政拨款基本支出决算情况说明</w:t>
      </w:r>
    </w:p>
    <w:p>
      <w:pPr>
        <w:keepNext w:val="0"/>
        <w:keepLines w:val="0"/>
        <w:pageBreakBefore w:val="0"/>
        <w:widowControl/>
        <w:kinsoku/>
        <w:wordWrap/>
        <w:overflowPunct/>
        <w:topLinePunct w:val="0"/>
        <w:autoSpaceDN/>
        <w:bidi w:val="0"/>
        <w:adjustRightInd/>
        <w:spacing w:beforeAutospacing="0" w:afterAutospacing="0" w:line="600" w:lineRule="exac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lang w:val="en-US" w:eastAsia="zh-CN" w:bidi="ar-SA"/>
        </w:rPr>
        <w:t>440.81</w:t>
      </w:r>
      <w:r>
        <w:rPr>
          <w:rFonts w:hint="eastAsia"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32"/>
          <w:lang w:val="en-US" w:eastAsia="zh-CN" w:bidi="ar-SA"/>
        </w:rPr>
        <w:t>425.68</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lang w:val="en-US" w:eastAsia="zh-CN" w:bidi="ar-SA"/>
        </w:rPr>
        <w:t>88.96</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26.42%</w:t>
      </w:r>
      <w:r>
        <w:rPr>
          <w:rFonts w:hint="eastAsia" w:ascii="方正仿宋_GBK" w:hAnsi="方正仿宋_GBK" w:eastAsia="方正仿宋_GBK" w:cs="方正仿宋_GBK"/>
          <w:sz w:val="32"/>
          <w:szCs w:val="32"/>
          <w:shd w:val="clear" w:color="auto" w:fill="FFFFFF"/>
        </w:rPr>
        <w:t>，主要原因是新增</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名教师，及在编教师社保基数的增加。人员经费用途主要包括社保及工资、福利费用、绩效费用等的支出。公用经费</w:t>
      </w:r>
      <w:r>
        <w:rPr>
          <w:rFonts w:hint="eastAsia" w:ascii="Times New Roman" w:hAnsi="Times New Roman" w:eastAsia="方正仿宋_GBK" w:cs="Times New Roman"/>
          <w:sz w:val="32"/>
          <w:szCs w:val="32"/>
          <w:lang w:val="en-US" w:eastAsia="zh-CN" w:bidi="ar-SA"/>
        </w:rPr>
        <w:t>15.13</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lang w:val="en-US" w:eastAsia="zh-CN" w:bidi="ar-SA"/>
        </w:rPr>
        <w:t>0.85</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lang w:val="en-US" w:eastAsia="zh-CN" w:bidi="ar-SA"/>
        </w:rPr>
        <w:t>5.95%</w:t>
      </w:r>
      <w:r>
        <w:rPr>
          <w:rFonts w:hint="eastAsia" w:ascii="方正仿宋_GBK" w:hAnsi="方正仿宋_GBK" w:eastAsia="方正仿宋_GBK" w:cs="方正仿宋_GBK"/>
          <w:sz w:val="32"/>
          <w:szCs w:val="32"/>
          <w:shd w:val="clear" w:color="auto" w:fill="FFFFFF"/>
        </w:rPr>
        <w:t>，主要原因是公用支出增加。公用经费用途主要包括办公费、水费、电费、邮电费、差旅费、维修费、培训费、工会费等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年度无政府性基金预算财政拨款收支。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本单位</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2023年度“三公”经费支出共计0.00万元，较年初预算数无增减，主要原因是单位严控“三公”经费。较上年支出数无增减，主要原因</w:t>
      </w:r>
      <w:r>
        <w:rPr>
          <w:rStyle w:val="10"/>
          <w:rFonts w:hint="eastAsia" w:ascii="Times New Roman" w:hAnsi="Times New Roman" w:eastAsia="方正仿宋_GBK" w:cs="Times New Roman"/>
          <w:b w:val="0"/>
          <w:bCs w:val="0"/>
          <w:sz w:val="32"/>
          <w:szCs w:val="32"/>
          <w:shd w:val="clear" w:color="auto" w:fill="FFFFFF"/>
          <w:lang w:eastAsia="zh-CN"/>
        </w:rPr>
        <w:t>是</w:t>
      </w:r>
      <w:bookmarkStart w:id="0" w:name="_GoBack"/>
      <w:bookmarkEnd w:id="0"/>
      <w:r>
        <w:rPr>
          <w:rStyle w:val="10"/>
          <w:rFonts w:hint="default" w:ascii="Times New Roman" w:hAnsi="Times New Roman" w:eastAsia="方正仿宋_GBK" w:cs="Times New Roman"/>
          <w:b w:val="0"/>
          <w:bCs w:val="0"/>
          <w:sz w:val="32"/>
          <w:szCs w:val="32"/>
          <w:shd w:val="clear" w:color="auto" w:fill="FFFFFF"/>
        </w:rPr>
        <w:t>单位严控“三公”经费。</w:t>
      </w:r>
    </w:p>
    <w:p>
      <w:pPr>
        <w:pStyle w:val="6"/>
        <w:snapToGrid w:val="0"/>
        <w:spacing w:before="0" w:beforeAutospacing="0" w:after="0" w:afterAutospacing="0" w:line="579"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本单位2023年度无因公出国（境）费用。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本单位2023年度无公务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default" w:ascii="Times New Roman" w:hAnsi="Times New Roman" w:eastAsia="方正仿宋_GBK" w:cs="Times New Roman"/>
          <w:b w:val="0"/>
          <w:bCs w:val="0"/>
          <w:sz w:val="32"/>
          <w:szCs w:val="32"/>
          <w:shd w:val="clear" w:color="auto" w:fill="FFFFFF"/>
        </w:rPr>
        <w:t>车购置费用。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本单位2023年度无公务</w:t>
      </w:r>
      <w:r>
        <w:rPr>
          <w:rStyle w:val="10"/>
          <w:rFonts w:hint="eastAsia" w:ascii="Times New Roman" w:hAnsi="Times New Roman" w:eastAsia="方正仿宋_GBK" w:cs="Times New Roman"/>
          <w:b w:val="0"/>
          <w:bCs w:val="0"/>
          <w:sz w:val="32"/>
          <w:szCs w:val="32"/>
          <w:shd w:val="clear" w:color="auto" w:fill="FFFFFF"/>
          <w:lang w:eastAsia="zh-CN"/>
        </w:rPr>
        <w:t>用</w:t>
      </w:r>
      <w:r>
        <w:rPr>
          <w:rStyle w:val="10"/>
          <w:rFonts w:hint="default" w:ascii="Times New Roman" w:hAnsi="Times New Roman" w:eastAsia="方正仿宋_GBK" w:cs="Times New Roman"/>
          <w:b w:val="0"/>
          <w:bCs w:val="0"/>
          <w:sz w:val="32"/>
          <w:szCs w:val="32"/>
          <w:shd w:val="clear" w:color="auto" w:fill="FFFFFF"/>
        </w:rPr>
        <w:t>车运行维护费用。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本单位2023年度无公务接待费用。</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Times New Roman" w:hAnsi="Times New Roman" w:eastAsia="方正楷体_GBK" w:cs="Times New Roman"/>
          <w:sz w:val="32"/>
          <w:szCs w:val="32"/>
          <w:lang w:val="en-US" w:eastAsia="zh-CN" w:bidi="ar-SA"/>
        </w:rPr>
      </w:pPr>
      <w:r>
        <w:rPr>
          <w:rFonts w:hint="eastAsia" w:ascii="Times New Roman" w:hAnsi="Times New Roman" w:eastAsia="方正楷体_GBK" w:cs="Times New Roman"/>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10"/>
          <w:rFonts w:hint="default" w:ascii="Times New Roman" w:hAnsi="Times New Roman" w:eastAsia="方正仿宋_GBK" w:cs="Times New Roman"/>
          <w:b w:val="0"/>
          <w:bCs w:val="0"/>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本年度培训费支出</w:t>
      </w:r>
      <w:r>
        <w:rPr>
          <w:rFonts w:hint="eastAsia" w:ascii="Times New Roman" w:hAnsi="Times New Roman" w:eastAsia="方正仿宋_GBK" w:cs="Times New Roman"/>
          <w:sz w:val="32"/>
          <w:szCs w:val="32"/>
          <w:lang w:val="en-US" w:eastAsia="zh-CN" w:bidi="ar-SA"/>
        </w:rPr>
        <w:t>0.00</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lang w:val="en-US" w:eastAsia="zh-CN" w:bidi="ar-SA"/>
        </w:rPr>
        <w:t>0.65</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lang w:val="en-US" w:eastAsia="zh-CN" w:bidi="ar-SA"/>
        </w:rPr>
        <w:t>100.00%</w:t>
      </w:r>
      <w:r>
        <w:rPr>
          <w:rFonts w:hint="eastAsia" w:ascii="方正仿宋_GBK" w:hAnsi="方正仿宋_GBK" w:eastAsia="方正仿宋_GBK" w:cs="方正仿宋_GBK"/>
          <w:sz w:val="32"/>
          <w:szCs w:val="32"/>
          <w:shd w:val="clear" w:color="auto" w:fill="FFFFFF"/>
        </w:rPr>
        <w:t>，主要原因是我校培训减少。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财政未保障我单位机关运行经费。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截至</w:t>
      </w: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w:t>
      </w:r>
      <w:r>
        <w:rPr>
          <w:rFonts w:hint="eastAsia" w:ascii="Times New Roman" w:hAnsi="Times New Roman" w:eastAsia="方正仿宋_GBK" w:cs="Times New Roman"/>
          <w:sz w:val="32"/>
          <w:szCs w:val="32"/>
          <w:lang w:val="en-US" w:eastAsia="zh-CN" w:bidi="ar-SA"/>
        </w:rPr>
        <w:t>12</w:t>
      </w:r>
      <w:r>
        <w:rPr>
          <w:rFonts w:hint="eastAsia" w:ascii="方正仿宋_GBK" w:hAnsi="方正仿宋_GBK" w:eastAsia="方正仿宋_GBK" w:cs="方正仿宋_GBK"/>
          <w:sz w:val="32"/>
          <w:szCs w:val="32"/>
          <w:shd w:val="clear" w:color="auto" w:fill="FFFFFF"/>
        </w:rPr>
        <w:t>月</w:t>
      </w:r>
      <w:r>
        <w:rPr>
          <w:rFonts w:hint="eastAsia" w:ascii="Times New Roman" w:hAnsi="Times New Roman" w:eastAsia="方正仿宋_GBK" w:cs="Times New Roman"/>
          <w:sz w:val="32"/>
          <w:szCs w:val="32"/>
          <w:lang w:val="en-US" w:eastAsia="zh-CN" w:bidi="ar-SA"/>
        </w:rPr>
        <w:t>31</w:t>
      </w:r>
      <w:r>
        <w:rPr>
          <w:rFonts w:hint="eastAsia" w:ascii="方正仿宋_GBK" w:hAnsi="方正仿宋_GBK" w:eastAsia="方正仿宋_GBK" w:cs="方正仿宋_GBK"/>
          <w:sz w:val="32"/>
          <w:szCs w:val="32"/>
          <w:shd w:val="clear" w:color="auto" w:fill="FFFFFF"/>
        </w:rPr>
        <w:t>日，本单位共有车辆</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辆，其中，副部（省）级及以上领导用车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辆、主要负责人用车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辆、机要通信用车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辆、应急保障用车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辆、执法执勤用车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辆，特种专业技术用车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辆，离退休干部用车</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辆。单价</w:t>
      </w:r>
      <w:r>
        <w:rPr>
          <w:rFonts w:hint="eastAsia" w:ascii="Times New Roman" w:hAnsi="Times New Roman" w:eastAsia="方正仿宋_GBK" w:cs="Times New Roman"/>
          <w:sz w:val="32"/>
          <w:szCs w:val="32"/>
          <w:lang w:val="en-US" w:eastAsia="zh-CN" w:bidi="ar-SA"/>
        </w:rPr>
        <w:t>100</w:t>
      </w:r>
      <w:r>
        <w:rPr>
          <w:rFonts w:hint="eastAsia" w:ascii="方正仿宋_GBK" w:hAnsi="方正仿宋_GBK" w:eastAsia="方正仿宋_GBK" w:cs="方正仿宋_GBK"/>
          <w:sz w:val="32"/>
          <w:szCs w:val="32"/>
          <w:shd w:val="clear" w:color="auto" w:fill="FFFFFF"/>
        </w:rPr>
        <w:t>万元（含）以上专用设备</w:t>
      </w:r>
      <w:r>
        <w:rPr>
          <w:rFonts w:hint="eastAsia" w:ascii="Times New Roman" w:hAnsi="Times New Roman" w:eastAsia="方正仿宋_GBK" w:cs="Times New Roman"/>
          <w:sz w:val="32"/>
          <w:szCs w:val="32"/>
          <w:lang w:val="en-US" w:eastAsia="zh-CN" w:bidi="ar-SA"/>
        </w:rPr>
        <w:t>0</w:t>
      </w:r>
      <w:r>
        <w:rPr>
          <w:rFonts w:hint="eastAsia" w:ascii="方正仿宋_GBK" w:hAnsi="方正仿宋_GBK" w:eastAsia="方正仿宋_GBK" w:cs="方正仿宋_GBK"/>
          <w:sz w:val="32"/>
          <w:szCs w:val="32"/>
          <w:shd w:val="clear" w:color="auto" w:fill="FFFFFF"/>
        </w:rPr>
        <w:t>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lang w:val="en-US" w:eastAsia="zh-CN" w:bidi="ar-SA"/>
        </w:rPr>
        <w:t>2023</w:t>
      </w:r>
      <w:r>
        <w:rPr>
          <w:rFonts w:hint="eastAsia" w:ascii="方正仿宋_GBK" w:hAnsi="方正仿宋_GBK" w:eastAsia="方正仿宋_GBK" w:cs="方正仿宋_GBK"/>
          <w:sz w:val="32"/>
          <w:szCs w:val="32"/>
          <w:shd w:val="clear" w:color="auto" w:fill="FFFFFF"/>
        </w:rPr>
        <w:t>年度我单位未发生政府采购事项，无相关经费支出。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五、预算绩效管理情况说明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lang w:eastAsia="zh-CN"/>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Times New Roman" w:hAnsi="Times New Roman" w:eastAsia="方正仿宋_GBK" w:cs="Times New Roman"/>
          <w:sz w:val="32"/>
          <w:szCs w:val="32"/>
          <w:lang w:val="en-US" w:eastAsia="zh-CN" w:bidi="ar-SA"/>
        </w:rPr>
        <w:t>4</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lang w:val="en-US" w:eastAsia="zh-CN" w:bidi="ar-SA"/>
        </w:rPr>
        <w:t>12.69</w:t>
      </w:r>
      <w:r>
        <w:rPr>
          <w:rFonts w:hint="eastAsia" w:ascii="方正仿宋_GBK" w:hAnsi="方正仿宋_GBK" w:eastAsia="方正仿宋_GBK" w:cs="方正仿宋_GBK"/>
          <w:sz w:val="32"/>
          <w:szCs w:val="32"/>
          <w:shd w:val="clear" w:color="auto" w:fill="FFFFFF"/>
        </w:rPr>
        <w:t>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我单位对义务教育学生资助金开展了绩效评价，涉及财政拨款项目资金</w:t>
      </w:r>
      <w:r>
        <w:rPr>
          <w:rFonts w:hint="eastAsia" w:ascii="Times New Roman" w:hAnsi="Times New Roman" w:eastAsia="方正仿宋_GBK" w:cs="Times New Roman"/>
          <w:sz w:val="32"/>
          <w:szCs w:val="32"/>
          <w:lang w:val="en-US" w:eastAsia="zh-CN" w:bidi="ar-SA"/>
        </w:rPr>
        <w:t>1.23</w:t>
      </w:r>
      <w:r>
        <w:rPr>
          <w:rFonts w:hint="eastAsia" w:ascii="方正仿宋_GBK" w:hAnsi="方正仿宋_GBK" w:eastAsia="方正仿宋_GBK" w:cs="方正仿宋_GBK"/>
          <w:sz w:val="32"/>
          <w:szCs w:val="32"/>
          <w:shd w:val="clear" w:color="auto" w:fill="FFFFFF"/>
        </w:rPr>
        <w:t>万元，评价得分</w:t>
      </w:r>
      <w:r>
        <w:rPr>
          <w:rFonts w:hint="eastAsia" w:ascii="Times New Roman" w:hAnsi="Times New Roman" w:eastAsia="方正仿宋_GBK" w:cs="Times New Roman"/>
          <w:sz w:val="32"/>
          <w:szCs w:val="32"/>
          <w:lang w:val="en-US" w:eastAsia="zh-CN" w:bidi="ar-SA"/>
        </w:rPr>
        <w:t>100</w:t>
      </w:r>
      <w:r>
        <w:rPr>
          <w:rFonts w:hint="eastAsia" w:ascii="方正仿宋_GBK" w:hAnsi="方正仿宋_GBK" w:eastAsia="方正仿宋_GBK" w:cs="方正仿宋_GBK"/>
          <w:sz w:val="32"/>
          <w:szCs w:val="32"/>
          <w:shd w:val="clear" w:color="auto" w:fill="FFFFFF"/>
        </w:rPr>
        <w:t>分，评价等次为优，绩效评价未发现问题；对农村义务教育营养改善计划开展了绩效评价，涉及财政拨款项目资金</w:t>
      </w:r>
      <w:r>
        <w:rPr>
          <w:rFonts w:hint="eastAsia" w:ascii="Times New Roman" w:hAnsi="Times New Roman" w:eastAsia="方正仿宋_GBK" w:cs="Times New Roman"/>
          <w:sz w:val="32"/>
          <w:szCs w:val="32"/>
          <w:lang w:val="en-US" w:eastAsia="zh-CN" w:bidi="ar-SA"/>
        </w:rPr>
        <w:t>9.39</w:t>
      </w:r>
      <w:r>
        <w:rPr>
          <w:rFonts w:hint="eastAsia" w:ascii="方正仿宋_GBK" w:hAnsi="方正仿宋_GBK" w:eastAsia="方正仿宋_GBK" w:cs="方正仿宋_GBK"/>
          <w:sz w:val="32"/>
          <w:szCs w:val="32"/>
          <w:shd w:val="clear" w:color="auto" w:fill="FFFFFF"/>
        </w:rPr>
        <w:t>万元，评价得分</w:t>
      </w:r>
      <w:r>
        <w:rPr>
          <w:rFonts w:hint="eastAsia" w:ascii="Times New Roman" w:hAnsi="Times New Roman" w:eastAsia="方正仿宋_GBK" w:cs="Times New Roman"/>
          <w:sz w:val="32"/>
          <w:szCs w:val="32"/>
          <w:lang w:val="en-US" w:eastAsia="zh-CN" w:bidi="ar-SA"/>
        </w:rPr>
        <w:t>99.74</w:t>
      </w:r>
      <w:r>
        <w:rPr>
          <w:rFonts w:hint="eastAsia" w:ascii="方正仿宋_GBK" w:hAnsi="方正仿宋_GBK" w:eastAsia="方正仿宋_GBK" w:cs="方正仿宋_GBK"/>
          <w:sz w:val="32"/>
          <w:szCs w:val="32"/>
          <w:shd w:val="clear" w:color="auto" w:fill="FFFFFF"/>
        </w:rPr>
        <w:t>分，评价等次为优，绩效评价发现了因学生就餐天数变化，资金未支付完等主要问题；对“三区”人才支持计划教师专项（银龄计划教师））开展了绩效评价，涉及财政拨款项目资金</w:t>
      </w:r>
      <w:r>
        <w:rPr>
          <w:rFonts w:hint="eastAsia" w:ascii="Times New Roman" w:hAnsi="Times New Roman" w:eastAsia="方正仿宋_GBK" w:cs="Times New Roman"/>
          <w:sz w:val="32"/>
          <w:szCs w:val="32"/>
          <w:lang w:val="en-US" w:eastAsia="zh-CN" w:bidi="ar-SA"/>
        </w:rPr>
        <w:t>1</w:t>
      </w:r>
      <w:r>
        <w:rPr>
          <w:rFonts w:hint="eastAsia" w:ascii="方正仿宋_GBK" w:hAnsi="方正仿宋_GBK" w:eastAsia="方正仿宋_GBK" w:cs="方正仿宋_GBK"/>
          <w:sz w:val="32"/>
          <w:szCs w:val="32"/>
          <w:shd w:val="clear" w:color="auto" w:fill="FFFFFF"/>
        </w:rPr>
        <w:t>万元，评价得分</w:t>
      </w:r>
      <w:r>
        <w:rPr>
          <w:rFonts w:hint="eastAsia" w:ascii="Times New Roman" w:hAnsi="Times New Roman" w:eastAsia="方正仿宋_GBK" w:cs="Times New Roman"/>
          <w:sz w:val="32"/>
          <w:szCs w:val="32"/>
          <w:lang w:val="en-US" w:eastAsia="zh-CN" w:bidi="ar-SA"/>
        </w:rPr>
        <w:t>100</w:t>
      </w:r>
      <w:r>
        <w:rPr>
          <w:rFonts w:hint="eastAsia" w:ascii="方正仿宋_GBK" w:hAnsi="方正仿宋_GBK" w:eastAsia="方正仿宋_GBK" w:cs="方正仿宋_GBK"/>
          <w:sz w:val="32"/>
          <w:szCs w:val="32"/>
          <w:shd w:val="clear" w:color="auto" w:fill="FFFFFF"/>
        </w:rPr>
        <w:t>分，评价等次为优，绩效评价未发现问题；对学前儿童营养改善计划开展了绩效评价，涉及财政拨款项目资金</w:t>
      </w:r>
      <w:r>
        <w:rPr>
          <w:rFonts w:hint="eastAsia" w:ascii="Times New Roman" w:hAnsi="Times New Roman" w:eastAsia="方正仿宋_GBK" w:cs="Times New Roman"/>
          <w:sz w:val="32"/>
          <w:szCs w:val="32"/>
          <w:lang w:val="en-US" w:eastAsia="zh-CN" w:bidi="ar-SA"/>
        </w:rPr>
        <w:t>0.83</w:t>
      </w:r>
      <w:r>
        <w:rPr>
          <w:rFonts w:hint="eastAsia" w:ascii="方正仿宋_GBK" w:hAnsi="方正仿宋_GBK" w:eastAsia="方正仿宋_GBK" w:cs="方正仿宋_GBK"/>
          <w:sz w:val="32"/>
          <w:szCs w:val="32"/>
          <w:shd w:val="clear" w:color="auto" w:fill="FFFFFF"/>
        </w:rPr>
        <w:t>万元，评价得分</w:t>
      </w:r>
      <w:r>
        <w:rPr>
          <w:rFonts w:hint="eastAsia" w:ascii="Times New Roman" w:hAnsi="Times New Roman" w:eastAsia="方正仿宋_GBK" w:cs="Times New Roman"/>
          <w:sz w:val="32"/>
          <w:szCs w:val="32"/>
          <w:lang w:val="en-US" w:eastAsia="zh-CN" w:bidi="ar-SA"/>
        </w:rPr>
        <w:t>95.59</w:t>
      </w:r>
      <w:r>
        <w:rPr>
          <w:rFonts w:hint="eastAsia" w:ascii="方正仿宋_GBK" w:hAnsi="方正仿宋_GBK" w:eastAsia="方正仿宋_GBK" w:cs="方正仿宋_GBK"/>
          <w:sz w:val="32"/>
          <w:szCs w:val="32"/>
          <w:shd w:val="clear" w:color="auto" w:fill="FFFFFF"/>
        </w:rPr>
        <w:t>分，评价等次为优，绩效评价发现了因学生就餐天数变化，资金未支付完等主要问题。</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lang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（四）其他收入：</w:t>
      </w:r>
      <w:r>
        <w:rPr>
          <w:rFonts w:hint="eastAsia"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（五）使用非财政拨款结余：</w:t>
      </w:r>
      <w:r>
        <w:rPr>
          <w:rFonts w:hint="eastAsia"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eastAsia="zh-CN"/>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lang w:eastAsia="zh-CN"/>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Times New Roman" w:hAnsi="Times New Roman" w:eastAsia="方正仿宋_GBK" w:cs="Times New Roman"/>
          <w:sz w:val="32"/>
          <w:szCs w:val="32"/>
          <w:lang w:val="en-US" w:eastAsia="zh-CN" w:bidi="ar-SA"/>
        </w:rPr>
        <w:t>18996587713。</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Times New Roman" w:hAnsi="Times New Roman" w:eastAsia="方正仿宋_GBK" w:cs="Times New Roman"/>
          <w:sz w:val="32"/>
          <w:szCs w:val="32"/>
          <w:lang w:val="en-US" w:eastAsia="zh-CN" w:bidi="ar-SA"/>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lang w:val="en-US" w:eastAsia="zh-CN" w:bidi="ar-SA"/>
        </w:rPr>
        <w:t>（主动公开）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eastAsia" w:ascii="方正仿宋_GBK" w:hAnsi="方正仿宋_GBK" w:eastAsia="方正仿宋_GBK" w:cs="方正仿宋_GBK"/>
          <w:sz w:val="32"/>
          <w:szCs w:val="32"/>
          <w:shd w:val="clear" w:color="auto" w:fill="FFFFFF"/>
        </w:rPr>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pP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重庆市城口县庙坝镇第二中心小学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455.51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339.71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78.54</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455.51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455.51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455.51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455.51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重庆市城口县庙坝镇第二中心小学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455.51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455.51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重庆市城口县庙坝镇第二中心小学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455.51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440.81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337.83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重庆市城口县庙坝镇第二中心小学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455.51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重庆市城口县庙坝镇第二中心小学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455.51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440.81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337.83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325.96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重庆市城口县庙坝镇第二中心小学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425.68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15.13</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重庆市城口县庙坝镇第二中心小学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重庆市城口县庙坝镇第二中心小学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重庆市城口县庙坝镇第二中心小学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ZQ6jy0QAAAAMBAAAPAAAAAAAAAAEAIAAAADgAAABkcnMvZG93bnJldi54bWxQSwEC&#10;FAAUAAAACACHTuJAmN4k3eUBAADAAwAADgAAAAAAAAABACAAAAA2AQAAZHJzL2Uyb0RvYy54bWxQ&#10;SwUGAAAAAAYABgBZAQAAjQU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false" upright="true">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Ml+hQ1gAAAAkBAAAPAAAAAAAAAAEAIAAAADgAAABkcnMvZG93bnJldi54&#10;bWxQSwECFAAUAAAACACHTuJAa6eRHeYBAADAAwAADgAAAAAAAAABACAAAAA7AQAAZHJzL2Uyb0Rv&#10;Yy54bWxQSwUGAAAAAAYABgBZAQAAkwU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0083F"/>
    <w:rsid w:val="00383C32"/>
    <w:rsid w:val="00466C9B"/>
    <w:rsid w:val="00550ABE"/>
    <w:rsid w:val="00770383"/>
    <w:rsid w:val="007819D4"/>
    <w:rsid w:val="007B419D"/>
    <w:rsid w:val="007B7C4B"/>
    <w:rsid w:val="007D3D39"/>
    <w:rsid w:val="00994AF7"/>
    <w:rsid w:val="009B67B8"/>
    <w:rsid w:val="009C24CF"/>
    <w:rsid w:val="009D2B67"/>
    <w:rsid w:val="00A566F9"/>
    <w:rsid w:val="00AF2751"/>
    <w:rsid w:val="00B03CCD"/>
    <w:rsid w:val="00BB59BF"/>
    <w:rsid w:val="00BE2B89"/>
    <w:rsid w:val="00C10E9E"/>
    <w:rsid w:val="00C20C3E"/>
    <w:rsid w:val="00CF2ACF"/>
    <w:rsid w:val="00DC0ECD"/>
    <w:rsid w:val="00F73F90"/>
    <w:rsid w:val="00FB4B3B"/>
    <w:rsid w:val="00FF3E25"/>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E97A6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D10475"/>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A46CA0"/>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8478A"/>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166E5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7E68D"/>
    <w:rsid w:val="6FFB2E76"/>
    <w:rsid w:val="708F6F7F"/>
    <w:rsid w:val="70D94BD3"/>
    <w:rsid w:val="70FDC069"/>
    <w:rsid w:val="71C34D91"/>
    <w:rsid w:val="72DB435C"/>
    <w:rsid w:val="72E2613A"/>
    <w:rsid w:val="72F771F4"/>
    <w:rsid w:val="733D4F25"/>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B268B3"/>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5253</Words>
  <Characters>6001</Characters>
  <Lines>92</Lines>
  <Paragraphs>25</Paragraphs>
  <TotalTime>20</TotalTime>
  <ScaleCrop>false</ScaleCrop>
  <LinksUpToDate>false</LinksUpToDate>
  <CharactersWithSpaces>6247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2024-11-08T20:25:00Z</dcterms:created>
  <dc:creator>Administrator</dc:creator>
  <cp:lastModifiedBy>ckuos</cp:lastModifiedBy>
  <dcterms:modified xsi:type="dcterms:W3CDTF">2024-11-26T20:21:08Z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BB46EABDBB2749749395447164B066B3_12</vt:lpwstr>
  </property>
  <property fmtid="{D5CDD505-2E9C-101B-9397-08002B2CF9AE}" pid="4" name="KSOSaveFontToCloudKey">
    <vt:lpwstr>600748585_embed</vt:lpwstr>
  </property>
</Properties>
</file>