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重庆市城口县庙坝初级中学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城口县庙坝初级中学是经城口县编制委员会批准成立的，在县教育委员会领导下的一所农村中学。实施中学义务教育，中学学历教育，是学校的主要工作职能。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rPr>
        <w:t>（二）机构设置</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城口县庙坝初级中学是独立法人机构，为经费独立核算单位（不存在下属单位）。</w:t>
      </w:r>
      <w:r>
        <w:rPr>
          <w:rFonts w:ascii="方正仿宋_GBK" w:hAnsi="方正仿宋_GBK" w:eastAsia="方正仿宋_GBK" w:cs="方正仿宋_GBK"/>
          <w:sz w:val="32"/>
          <w:szCs w:val="32"/>
        </w:rPr>
        <w:t>单</w:t>
      </w:r>
      <w:r>
        <w:rPr>
          <w:rFonts w:ascii="Times New Roman" w:hAnsi="Times New Roman" w:eastAsia="方正仿宋_GBK"/>
          <w:sz w:val="32"/>
          <w:szCs w:val="32"/>
        </w:rPr>
        <w:t>位在职编制人数56人，其中：在职</w:t>
      </w:r>
      <w:r>
        <w:rPr>
          <w:rFonts w:hint="default" w:ascii="Times New Roman" w:hAnsi="Times New Roman" w:eastAsia="方正仿宋_GBK"/>
          <w:sz w:val="32"/>
          <w:szCs w:val="32"/>
        </w:rPr>
        <w:t>56</w:t>
      </w:r>
      <w:r>
        <w:rPr>
          <w:rFonts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退休人员12人。与上年比较，编制人数</w:t>
      </w:r>
      <w:r>
        <w:rPr>
          <w:rFonts w:hint="eastAsia" w:ascii="Times New Roman" w:hAnsi="Times New Roman" w:eastAsia="方正仿宋_GBK"/>
          <w:sz w:val="32"/>
          <w:szCs w:val="32"/>
          <w:lang w:val="en-US" w:eastAsia="zh-CN"/>
        </w:rPr>
        <w:t>无变化</w:t>
      </w:r>
      <w:r>
        <w:rPr>
          <w:rFonts w:ascii="Times New Roman" w:hAnsi="Times New Roman" w:eastAsia="方正仿宋_GBK"/>
          <w:sz w:val="32"/>
          <w:szCs w:val="32"/>
        </w:rPr>
        <w:t>，其中：退休</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遗属</w:t>
      </w:r>
      <w:r>
        <w:rPr>
          <w:rFonts w:hint="eastAsia" w:ascii="Times New Roman" w:hAnsi="Times New Roman" w:eastAsia="方正仿宋_GBK"/>
          <w:sz w:val="32"/>
          <w:szCs w:val="32"/>
          <w:lang w:val="en-US" w:eastAsia="zh-CN"/>
        </w:rPr>
        <w:t>均无变化</w:t>
      </w:r>
      <w:r>
        <w:rPr>
          <w:rFonts w:ascii="方正仿宋_GBK" w:hAnsi="方正仿宋_GBK" w:eastAsia="方正仿宋_GBK" w:cs="方正仿宋_GBK"/>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0"/>
        <w:textAlignment w:val="auto"/>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（一）收入支出决算总体情况说明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1.总体情况。2023年度收入总计1632.04万元，支出总计1632.04万元。收支较上年决算数增加343.88万元，增长26.70%，主要原因是</w:t>
      </w:r>
      <w:r>
        <w:rPr>
          <w:rFonts w:hint="default" w:ascii="Times New Roman" w:hAnsi="Times New Roman" w:eastAsia="方正仿宋_GBK" w:cs="Times New Roman"/>
          <w:sz w:val="32"/>
          <w:szCs w:val="32"/>
          <w:lang w:val="en-US" w:eastAsia="zh-CN"/>
        </w:rPr>
        <w:t>人员待遇提高</w:t>
      </w:r>
      <w:r>
        <w:rPr>
          <w:rFonts w:hint="default" w:ascii="Times New Roman" w:hAnsi="Times New Roman" w:eastAsia="方正仿宋_GBK" w:cs="Times New Roman"/>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sz w:val="32"/>
          <w:szCs w:val="32"/>
          <w:shd w:val="clear" w:color="auto" w:fill="FFFFFF"/>
        </w:rPr>
      </w:pPr>
      <w:r>
        <w:rPr>
          <w:rStyle w:val="10"/>
          <w:rFonts w:hint="default" w:ascii="Times New Roman" w:hAnsi="Times New Roman" w:eastAsia="方正仿宋_GBK" w:cs="Times New Roman"/>
          <w:b w:val="0"/>
          <w:sz w:val="32"/>
          <w:szCs w:val="32"/>
          <w:shd w:val="clear" w:color="auto" w:fill="FFFFFF"/>
        </w:rPr>
        <w:t>2.收入情况。2023年度收入合计1579.36万元，较上年决算数增加343.88万元，增长27.83%</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Style w:val="10"/>
          <w:rFonts w:hint="default" w:ascii="Times New Roman" w:hAnsi="Times New Roman" w:eastAsia="方正仿宋_GBK" w:cs="Times New Roman"/>
          <w:b w:val="0"/>
          <w:color w:val="auto"/>
          <w:sz w:val="32"/>
          <w:szCs w:val="32"/>
          <w:shd w:val="clear" w:color="auto" w:fill="FFFFFF"/>
        </w:rPr>
        <w:t>。</w:t>
      </w:r>
      <w:r>
        <w:rPr>
          <w:rStyle w:val="10"/>
          <w:rFonts w:hint="default" w:ascii="Times New Roman" w:hAnsi="Times New Roman" w:eastAsia="方正仿宋_GBK" w:cs="Times New Roman"/>
          <w:b w:val="0"/>
          <w:sz w:val="32"/>
          <w:szCs w:val="32"/>
          <w:shd w:val="clear" w:color="auto" w:fill="FFFFFF"/>
        </w:rPr>
        <w:t>其中：财政拨款收入1579.36万元，占100.00%；事业收入0.00万元，占0.00%；经营收入0.00万元，占0.00%；其他收入0.00万元，占0.00%。此外，使用非财政拨款结余和专用结余0.00万元，年初结转和结余52.68万元。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sz w:val="32"/>
          <w:szCs w:val="32"/>
          <w:shd w:val="clear" w:color="auto" w:fill="FFFFFF"/>
        </w:rPr>
      </w:pPr>
      <w:r>
        <w:rPr>
          <w:rStyle w:val="10"/>
          <w:rFonts w:hint="default" w:ascii="Times New Roman" w:hAnsi="Times New Roman" w:eastAsia="方正仿宋_GBK" w:cs="Times New Roman"/>
          <w:b w:val="0"/>
          <w:sz w:val="32"/>
          <w:szCs w:val="32"/>
          <w:shd w:val="clear" w:color="auto" w:fill="FFFFFF"/>
        </w:rPr>
        <w:t>3.支出情况。2023年度支出合计1579.36万元，较上年决算数增加343.88万元，增长27.83%，</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Style w:val="10"/>
          <w:rFonts w:hint="default" w:ascii="Times New Roman" w:hAnsi="Times New Roman" w:eastAsia="方正仿宋_GBK" w:cs="Times New Roman"/>
          <w:b w:val="0"/>
          <w:color w:val="auto"/>
          <w:sz w:val="32"/>
          <w:szCs w:val="32"/>
          <w:shd w:val="clear" w:color="auto" w:fill="FFFFFF"/>
        </w:rPr>
        <w:t>。</w:t>
      </w:r>
      <w:r>
        <w:rPr>
          <w:rStyle w:val="10"/>
          <w:rFonts w:hint="default" w:ascii="Times New Roman" w:hAnsi="Times New Roman" w:eastAsia="方正仿宋_GBK" w:cs="Times New Roman"/>
          <w:b w:val="0"/>
          <w:sz w:val="32"/>
          <w:szCs w:val="32"/>
          <w:shd w:val="clear" w:color="auto" w:fill="FFFFFF"/>
        </w:rPr>
        <w:t>其中：基本支出1395.23万元，占88.34%；项目支出184.13万元，占11.66%；经营支出0.00万元，占0.00%。此外，结余分配0.00万元。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color w:val="FF0000"/>
          <w:sz w:val="32"/>
          <w:szCs w:val="32"/>
          <w:shd w:val="clear" w:color="auto" w:fill="FFFFFF"/>
          <w:lang w:eastAsia="zh-CN"/>
        </w:rPr>
      </w:pPr>
      <w:r>
        <w:rPr>
          <w:rStyle w:val="10"/>
          <w:rFonts w:hint="default" w:ascii="Times New Roman" w:hAnsi="Times New Roman" w:eastAsia="方正仿宋_GBK" w:cs="Times New Roman"/>
          <w:b w:val="0"/>
          <w:sz w:val="32"/>
          <w:szCs w:val="32"/>
          <w:shd w:val="clear" w:color="auto" w:fill="FFFFFF"/>
        </w:rPr>
        <w:t>4.结转结余情况。2023年度年末结转和结余52.68万元，较上年决算数无增减</w:t>
      </w:r>
      <w:r>
        <w:rPr>
          <w:rStyle w:val="10"/>
          <w:rFonts w:hint="default" w:ascii="Times New Roman" w:hAnsi="Times New Roman" w:eastAsia="方正仿宋_GBK" w:cs="Times New Roman"/>
          <w:b w:val="0"/>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2023年度财政拨款收、支总计1613.68万元。与2022年相比，财政拨款收、支总计各增加343.88万元，增长27.08%。</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Style w:val="10"/>
          <w:rFonts w:hint="default" w:ascii="Times New Roman" w:hAnsi="Times New Roman" w:eastAsia="方正仿宋_GBK" w:cs="Times New Roman"/>
          <w:b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val="en-US" w:eastAsia="zh-CN" w:bidi="ar-SA"/>
        </w:rPr>
        <w:t>（三）一般公共预算财政拨款收入支出决算情况说明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1.收入情况。2023年度一般公共预算财政拨款收入1579.36万元，较上年决算数增加343.88万元，增长27.83%。</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sz w:val="32"/>
          <w:szCs w:val="32"/>
        </w:rPr>
        <w:t>。较年初预算数增加64.61万元，增长4.27%。</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sz w:val="32"/>
          <w:szCs w:val="32"/>
        </w:rPr>
        <w:t>。此外，年初财政拨款结转和结余34.32万元。</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2.支出情况。2023年度一般公共预算财政拨款支出1579.36万元，较上年决算数增加343.88万元，增长27.83%。</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sz w:val="32"/>
          <w:szCs w:val="32"/>
        </w:rPr>
        <w:t>。较年初预算数增加64.61万元，增长4.27%。</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3.结转结余情况。2023年度年末一般公共预算财政拨款结转和结余34.32万元，较上年决算数无增减。</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4.比较情况。本单位2023年度一般公共预算财政拨款支出主要用于以下几个方面：</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（1）一般公共服务支出22.92万元，占1.45%，较年初预算数增加17.08万元，增长292.47%，主要原因是</w:t>
      </w:r>
      <w:r>
        <w:rPr>
          <w:rFonts w:ascii="Times New Roman" w:hAnsi="Times New Roman" w:eastAsia="方正仿宋_GBK"/>
          <w:sz w:val="32"/>
          <w:szCs w:val="32"/>
        </w:rPr>
        <w:t>未做调整预算。</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）教育支出1274.11万元，占80.67%，较年初预算数增加38.62万元，增长3.13%，</w:t>
      </w:r>
      <w:r>
        <w:rPr>
          <w:rFonts w:ascii="Times New Roman" w:hAnsi="Times New Roman" w:eastAsia="方正仿宋_GBK"/>
          <w:sz w:val="32"/>
          <w:szCs w:val="32"/>
        </w:rPr>
        <w:t>主要原因是营养改善计划、资助等做了预算调整。</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）社会保障与就业支出164.20万元，占10.40%，较年初预算数增加8.91万元，增长5.74%，</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）卫生健康支出54.56万元，占3.45%，较年初预算数无增减，</w:t>
      </w:r>
      <w:r>
        <w:rPr>
          <w:rFonts w:ascii="Times New Roman" w:hAnsi="Times New Roman" w:eastAsia="方正仿宋_GBK"/>
          <w:sz w:val="32"/>
          <w:szCs w:val="32"/>
        </w:rPr>
        <w:t>主要原因是未做调整预算。</w:t>
      </w:r>
    </w:p>
    <w:p>
      <w:pPr>
        <w:keepNext w:val="0"/>
        <w:keepLines w:val="0"/>
        <w:pageBreakBefore w:val="0"/>
        <w:widowControl/>
        <w:kinsoku/>
        <w:wordWrap/>
        <w:overflowPunct/>
        <w:topLinePunct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）住房保障支出63.57万元，占4.03%，较年初预算数无增减，</w:t>
      </w:r>
      <w:r>
        <w:rPr>
          <w:rFonts w:ascii="Times New Roman" w:hAnsi="Times New Roman" w:eastAsia="方正仿宋_GBK"/>
          <w:sz w:val="32"/>
          <w:szCs w:val="32"/>
        </w:rPr>
        <w:t>主要原因是未做预算调整。</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2023年度一般公共财政拨款基本支出1395.23万元。其中：人员经费1308.58万元，较上年决算数增加322.07万元，增长32.65%，</w:t>
      </w:r>
      <w:r>
        <w:rPr>
          <w:rStyle w:val="10"/>
          <w:rFonts w:hint="default" w:ascii="Times New Roman" w:hAnsi="Times New Roman" w:eastAsia="方正仿宋_GBK" w:cs="Times New Roman"/>
          <w:b w:val="0"/>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sz w:val="32"/>
          <w:szCs w:val="32"/>
          <w:lang w:val="en-US" w:eastAsia="zh-CN"/>
        </w:rPr>
        <w:t>员待遇提</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sz w:val="32"/>
          <w:szCs w:val="32"/>
          <w:shd w:val="clear" w:color="auto" w:fill="FFFFFF"/>
        </w:rPr>
        <w:t>。人员经费用途主要包括</w:t>
      </w:r>
      <w:r>
        <w:rPr>
          <w:rFonts w:hint="eastAsia" w:ascii="Times New Roman" w:hAnsi="Times New Roman" w:eastAsia="方正仿宋_GBK"/>
          <w:sz w:val="32"/>
          <w:szCs w:val="32"/>
          <w:shd w:val="clear" w:color="auto" w:fill="FFFFFF"/>
          <w:lang w:val="en-US" w:eastAsia="zh-CN"/>
        </w:rPr>
        <w:t>人员工资、社会保险</w:t>
      </w:r>
      <w:r>
        <w:rPr>
          <w:rFonts w:hint="default" w:ascii="Times New Roman" w:hAnsi="Times New Roman" w:eastAsia="方正仿宋_GBK"/>
          <w:sz w:val="32"/>
          <w:szCs w:val="32"/>
          <w:shd w:val="clear" w:color="auto" w:fill="FFFFFF"/>
        </w:rPr>
        <w:t>。公用经费86.65万元，较上年决算数减少2.59万元，下降2.90%，</w:t>
      </w:r>
      <w:r>
        <w:rPr>
          <w:rFonts w:ascii="Times New Roman" w:hAnsi="Times New Roman" w:eastAsia="方正仿宋_GBK"/>
          <w:sz w:val="32"/>
          <w:szCs w:val="32"/>
        </w:rPr>
        <w:t>主要原因是维修费用、培训费用、会议费用</w:t>
      </w:r>
      <w:r>
        <w:rPr>
          <w:rFonts w:hint="eastAsia" w:ascii="Times New Roman" w:hAnsi="Times New Roman" w:eastAsia="方正仿宋_GBK"/>
          <w:sz w:val="32"/>
          <w:szCs w:val="32"/>
          <w:lang w:val="en-US" w:eastAsia="zh-CN"/>
        </w:rPr>
        <w:t>减少</w:t>
      </w:r>
      <w:r>
        <w:rPr>
          <w:rFonts w:ascii="Times New Roman" w:hAnsi="Times New Roman" w:eastAsia="方正仿宋_GBK"/>
          <w:sz w:val="32"/>
          <w:szCs w:val="32"/>
        </w:rPr>
        <w:t>。公用经费用途主要包括办公费、差旅费、邮电费、水费、电费、培训费、会议费、维修费等。</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本单位2023年度无政府性基金预算财政拨款收支。</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本部门202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eastAsia" w:ascii="方正仿宋_GBK" w:hAnsi="方正仿宋_GBK" w:eastAsia="方正仿宋_GBK" w:cs="方正仿宋_GBK"/>
          <w:sz w:val="32"/>
          <w:szCs w:val="32"/>
          <w:shd w:val="clear" w:color="auto" w:fill="FFFFFF"/>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万元，较年初预算数减少2.00万元，下降100.00%，主要原因是无</w:t>
      </w:r>
      <w:r>
        <w:rPr>
          <w:rFonts w:hint="eastAsia" w:ascii="方正仿宋_GBK" w:hAnsi="方正仿宋_GBK" w:eastAsia="方正仿宋_GBK" w:cs="方正仿宋_GBK"/>
          <w:sz w:val="32"/>
          <w:szCs w:val="32"/>
          <w:shd w:val="clear" w:color="auto" w:fill="FFFFFF"/>
        </w:rPr>
        <w:t>“三公”</w:t>
      </w:r>
      <w:r>
        <w:rPr>
          <w:rFonts w:hint="default" w:ascii="Times New Roman" w:hAnsi="Times New Roman" w:eastAsia="方正仿宋_GBK" w:cs="Times New Roman"/>
          <w:sz w:val="32"/>
          <w:szCs w:val="32"/>
          <w:shd w:val="clear" w:color="auto" w:fill="FFFFFF"/>
        </w:rPr>
        <w:t>经费支出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eastAsia" w:ascii="Times New Roman" w:hAnsi="Times New Roman" w:eastAsia="方正仿宋_GBK" w:cs="Times New Roman"/>
          <w:sz w:val="32"/>
          <w:szCs w:val="32"/>
          <w:shd w:val="clear" w:color="auto" w:fill="FFFFFF"/>
          <w:lang w:eastAsia="zh-CN"/>
        </w:rPr>
        <w:t>用车</w:t>
      </w:r>
      <w:r>
        <w:rPr>
          <w:rFonts w:hint="default" w:ascii="Times New Roman" w:hAnsi="Times New Roman" w:eastAsia="方正仿宋_GBK" w:cs="Times New Roman"/>
          <w:sz w:val="32"/>
          <w:szCs w:val="32"/>
          <w:shd w:val="clear" w:color="auto" w:fill="FFFFFF"/>
        </w:rPr>
        <w:t>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eastAsia" w:ascii="Times New Roman" w:hAnsi="Times New Roman" w:eastAsia="方正仿宋_GBK" w:cs="Times New Roman"/>
          <w:sz w:val="32"/>
          <w:szCs w:val="32"/>
          <w:shd w:val="clear" w:color="auto" w:fill="FFFFFF"/>
          <w:lang w:eastAsia="zh-CN"/>
        </w:rPr>
        <w:t>用车</w:t>
      </w:r>
      <w:r>
        <w:rPr>
          <w:rFonts w:hint="default" w:ascii="Times New Roman" w:hAnsi="Times New Roman" w:eastAsia="方正仿宋_GBK" w:cs="Times New Roman"/>
          <w:sz w:val="32"/>
          <w:szCs w:val="32"/>
          <w:shd w:val="clear" w:color="auto" w:fill="FFFFFF"/>
        </w:rPr>
        <w:t>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万元，费用支出较年初预算数减少2.00万元，下降100.00%，主要原因是</w:t>
      </w:r>
      <w:r>
        <w:rPr>
          <w:rFonts w:hint="eastAsia" w:ascii="Times New Roman" w:hAnsi="Times New Roman" w:eastAsia="方正仿宋_GBK" w:cs="Times New Roman"/>
          <w:color w:val="auto"/>
          <w:sz w:val="32"/>
          <w:szCs w:val="32"/>
          <w:shd w:val="clear" w:color="auto" w:fill="FFFFFF"/>
          <w:lang w:val="en-US" w:eastAsia="zh-CN"/>
        </w:rPr>
        <w:t>无公务接待，</w:t>
      </w:r>
      <w:r>
        <w:rPr>
          <w:rFonts w:hint="default" w:ascii="Times New Roman" w:hAnsi="Times New Roman" w:eastAsia="方正仿宋_GBK" w:cs="Times New Roman"/>
          <w:color w:val="auto"/>
          <w:sz w:val="32"/>
          <w:szCs w:val="32"/>
          <w:shd w:val="clear" w:color="auto" w:fill="FFFFFF"/>
        </w:rPr>
        <w:t>较上年支出数无增减</w:t>
      </w:r>
      <w:r>
        <w:rPr>
          <w:rFonts w:hint="eastAsia"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w:t>
      </w:r>
      <w:r>
        <w:rPr>
          <w:rFonts w:hint="eastAsia" w:ascii="Times New Roman" w:hAnsi="Times New Roman" w:eastAsia="方正仿宋_GBK" w:cs="Times New Roman"/>
          <w:sz w:val="32"/>
          <w:szCs w:val="32"/>
          <w:shd w:val="clear" w:color="auto" w:fill="FFFFFF"/>
          <w:lang w:eastAsia="zh-CN"/>
        </w:rPr>
        <w:t>用</w:t>
      </w:r>
      <w:bookmarkStart w:id="0" w:name="_GoBack"/>
      <w:bookmarkEnd w:id="0"/>
      <w:r>
        <w:rPr>
          <w:rFonts w:hint="default" w:ascii="Times New Roman" w:hAnsi="Times New Roman" w:eastAsia="方正仿宋_GBK" w:cs="Times New Roman"/>
          <w:sz w:val="32"/>
          <w:szCs w:val="32"/>
          <w:shd w:val="clear" w:color="auto" w:fill="FFFFFF"/>
        </w:rPr>
        <w:t>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0"/>
        <w:textAlignment w:val="auto"/>
        <w:rPr>
          <w:rFonts w:ascii="Times New Roman" w:hAnsi="Times New Roman" w:eastAsia="方正黑体_GBK"/>
          <w:bCs/>
          <w:sz w:val="32"/>
          <w:szCs w:val="32"/>
        </w:rPr>
      </w:pPr>
      <w:r>
        <w:rPr>
          <w:rFonts w:ascii="Times New Roman" w:hAnsi="Times New Roman" w:eastAsia="方正黑体_GBK"/>
          <w:bCs/>
          <w:sz w:val="32"/>
          <w:szCs w:val="32"/>
        </w:rPr>
        <w:t>四、其他需要说明的事项</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0"/>
        <w:textAlignment w:val="auto"/>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活动开展减少</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1.67</w:t>
      </w:r>
      <w:r>
        <w:rPr>
          <w:rFonts w:hint="default" w:ascii="Times New Roman" w:hAnsi="Times New Roman" w:eastAsia="方正仿宋_GBK" w:cs="Times New Roman"/>
          <w:sz w:val="32"/>
          <w:szCs w:val="32"/>
          <w:shd w:val="clear" w:color="auto" w:fill="FFFFFF"/>
        </w:rPr>
        <w:t>万元，较上年决算数增加1.20万元，增长255.32%，主要原因是</w:t>
      </w:r>
      <w:r>
        <w:rPr>
          <w:rFonts w:hint="eastAsia" w:ascii="Times New Roman" w:hAnsi="Times New Roman" w:eastAsia="方正仿宋_GBK" w:cs="Times New Roman"/>
          <w:sz w:val="32"/>
          <w:szCs w:val="32"/>
          <w:shd w:val="clear" w:color="auto" w:fill="FFFFFF"/>
          <w:lang w:val="en-US" w:eastAsia="zh-CN"/>
        </w:rPr>
        <w:t>各类培训增多</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0"/>
        <w:textAlignment w:val="auto"/>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（二）机关运行经费情况说明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cs="Times New Roman"/>
          <w:color w:val="FF0000"/>
          <w:sz w:val="32"/>
          <w:szCs w:val="32"/>
        </w:rPr>
      </w:pPr>
      <w:r>
        <w:rPr>
          <w:rFonts w:ascii="方正仿宋_GBK" w:hAnsi="方正仿宋_GBK" w:eastAsia="方正仿宋_GBK" w:cs="方正仿宋_GBK"/>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0"/>
        <w:textAlignment w:val="auto"/>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hint="default" w:ascii="Times New Roman" w:hAnsi="Times New Roman" w:eastAsia="方正楷体_GBK"/>
          <w:bCs/>
          <w:sz w:val="32"/>
          <w:szCs w:val="32"/>
          <w:shd w:val="clear" w:color="auto" w:fill="FFFFFF"/>
        </w:rPr>
      </w:pPr>
      <w:r>
        <w:rPr>
          <w:rFonts w:hint="default" w:ascii="Times New Roman" w:hAnsi="Times New Roman" w:eastAsia="方正楷体_GBK"/>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20.73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20.73</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20.73万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20.73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eastAsia" w:ascii="Times New Roman" w:hAnsi="Times New Roman" w:eastAsia="方正仿宋_GBK" w:cs="Times New Roman"/>
          <w:sz w:val="32"/>
          <w:szCs w:val="32"/>
          <w:shd w:val="clear" w:color="auto" w:fill="FFFFFF"/>
          <w:lang w:val="en-US" w:eastAsia="zh-CN"/>
        </w:rPr>
        <w:t>办公室桌椅、校园广播系统、办公设备。</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五、预算绩效管理情况说明</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（一）单位自评情况</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根据预算绩效管理要求，我单位对学生资助、校舍排危购等4个二级项目开展了绩效自评，涉及财政拨款项目支出资金153.3055万元。</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（二）单位绩效评价情况</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我单位未组织开展绩效评价。</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（三）财政绩效评价情况</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ascii="方正仿宋_GBK" w:eastAsia="方正仿宋_GBK" w:cs="宋体"/>
          <w:sz w:val="32"/>
          <w:szCs w:val="32"/>
        </w:rPr>
      </w:pPr>
      <w:r>
        <w:rPr>
          <w:rFonts w:hint="eastAsia" w:ascii="方正仿宋_GBK" w:eastAsia="方正仿宋_GBK" w:cs="宋体"/>
          <w:sz w:val="32"/>
          <w:szCs w:val="32"/>
          <w:lang w:eastAsia="zh-CN"/>
        </w:rPr>
        <w:t>县</w:t>
      </w:r>
      <w:r>
        <w:rPr>
          <w:rFonts w:hint="eastAsia" w:ascii="方正仿宋_GBK" w:eastAsia="方正仿宋_GBK" w:cs="宋体"/>
          <w:sz w:val="32"/>
          <w:szCs w:val="32"/>
        </w:rPr>
        <w:t>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（一）财政拨款收入：</w:t>
      </w: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rPr>
      </w:pPr>
      <w:r>
        <w:rPr>
          <w:rFonts w:ascii="方正楷体_GBK" w:hAnsi="方正楷体_GBK" w:eastAsia="方正楷体_GBK" w:cs="方正楷体_GBK"/>
          <w:sz w:val="32"/>
          <w:szCs w:val="32"/>
        </w:rPr>
        <w:t>（二）事业收入：</w:t>
      </w: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（三）经营收入：</w:t>
      </w:r>
      <w:r>
        <w:rPr>
          <w:rFonts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（四）其他收入：</w:t>
      </w:r>
      <w:r>
        <w:rPr>
          <w:rFonts w:ascii="方正仿宋_GBK" w:hAnsi="方正仿宋_GBK" w:eastAsia="方正仿宋_GBK" w:cs="方正仿宋_GBK"/>
          <w:sz w:val="32"/>
          <w:szCs w:val="32"/>
        </w:rPr>
        <w:t>指单位取得的除“财政拨款收入</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（五）使用非财政拨款结余：</w:t>
      </w:r>
      <w:r>
        <w:rPr>
          <w:rFonts w:ascii="方正仿宋_GBK" w:hAnsi="方正仿宋_GBK" w:eastAsia="方正仿宋_GBK" w:cs="方正仿宋_GBK"/>
          <w:sz w:val="32"/>
          <w:szCs w:val="32"/>
        </w:rPr>
        <w:t>指单位在当年的“财政拨款收入</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经营收入</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（六）年初结转和结余：</w:t>
      </w:r>
      <w:r>
        <w:rPr>
          <w:rFonts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（七）结余分配：</w:t>
      </w:r>
      <w:r>
        <w:rPr>
          <w:rFonts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（八）年末结转和结余：</w:t>
      </w:r>
      <w:r>
        <w:rPr>
          <w:rFonts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（九）基本支出：</w:t>
      </w: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（十）项目支出：</w:t>
      </w:r>
      <w:r>
        <w:rPr>
          <w:rFonts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rPr>
      </w:pPr>
      <w:r>
        <w:rPr>
          <w:rFonts w:ascii="方正楷体_GBK" w:hAnsi="方正楷体_GBK" w:eastAsia="方正楷体_GBK" w:cs="方正楷体_GBK"/>
          <w:sz w:val="32"/>
          <w:szCs w:val="32"/>
        </w:rPr>
        <w:t>（十一）经营支出：</w:t>
      </w:r>
      <w:r>
        <w:rPr>
          <w:rFonts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（十二）“三公”经费：</w:t>
      </w: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（十三）机关运行经费：</w:t>
      </w: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（十四）工资福利支出（支出经济分类科目类级）：</w:t>
      </w: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（十五）商品和服务支出（支出经济分类科目类级）：</w:t>
      </w:r>
      <w:r>
        <w:rPr>
          <w:rFonts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（十六）对个人和家庭的补助（支出经济分类科目类级）：</w:t>
      </w:r>
      <w:r>
        <w:rPr>
          <w:rFonts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Times New Roman" w:hAnsi="Times New Roman" w:eastAsia="方正仿宋_GBK" w:cs="Times New Roman"/>
          <w:sz w:val="32"/>
          <w:szCs w:val="32"/>
        </w:rPr>
      </w:pPr>
      <w:r>
        <w:rPr>
          <w:rFonts w:ascii="方正楷体_GBK" w:hAnsi="方正楷体_GBK" w:eastAsia="方正楷体_GBK" w:cs="方正楷体_GBK"/>
          <w:sz w:val="32"/>
          <w:szCs w:val="32"/>
        </w:rPr>
        <w:t>（十七）其他资本性支出（支出经济分类科目类级）：</w:t>
      </w: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N/>
        <w:bidi w:val="0"/>
        <w:adjustRightInd/>
        <w:spacing w:afterAutospacing="0" w:line="600" w:lineRule="exact"/>
        <w:ind w:firstLine="640" w:firstLineChars="200"/>
        <w:textAlignment w:val="auto"/>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after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ascii="方正仿宋_GBK" w:hAnsi="方正仿宋_GBK" w:eastAsia="方正仿宋_GBK" w:cs="方正仿宋_GBK"/>
          <w:sz w:val="32"/>
          <w:szCs w:val="32"/>
        </w:rPr>
        <w:t>本单位决算公开信息反馈和联系方式：</w:t>
      </w:r>
      <w:r>
        <w:rPr>
          <w:rFonts w:hint="default" w:ascii="Times New Roman" w:hAnsi="Times New Roman" w:eastAsia="方正仿宋_GBK" w:cs="Times New Roman"/>
          <w:sz w:val="32"/>
          <w:szCs w:val="32"/>
          <w:lang w:val="en-US" w:eastAsia="zh-CN"/>
        </w:rPr>
        <w:t>19923787360</w:t>
      </w:r>
    </w:p>
    <w:p>
      <w:pPr>
        <w:pStyle w:val="11"/>
        <w:keepNext w:val="0"/>
        <w:keepLines w:val="0"/>
        <w:pageBreakBefore w:val="0"/>
        <w:widowControl/>
        <w:kinsoku/>
        <w:wordWrap/>
        <w:overflowPunct/>
        <w:topLinePunct w:val="0"/>
        <w:autoSpaceDE w:val="0"/>
        <w:autoSpaceDN/>
        <w:bidi w:val="0"/>
        <w:adjustRightInd/>
        <w:snapToGrid/>
        <w:spacing w:after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spacing w:after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spacing w:afterAutospacing="0"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b w:val="0"/>
          <w:bCs w:val="0"/>
          <w:color w:val="000000"/>
          <w:kern w:val="0"/>
          <w:sz w:val="32"/>
          <w:szCs w:val="32"/>
          <w:lang w:val="en-US" w:eastAsia="zh-CN" w:bidi="ar-SA"/>
        </w:rPr>
        <w:t>（主动公开）</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重庆市城口县庙坝初级中学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1,579.36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1,274.11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1,579.36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1,579.36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52.68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1,632.04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1,632.04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重庆市城口县庙坝初级中学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1,579.36</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1,579.36</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1,274.11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1,274.11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重庆市城口县庙坝初级中学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1,579.36</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1,395.23</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184.13</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1,101.03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1,101.03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173.07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1,274.11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1,101.03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重庆市城口县庙坝初级中学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1,579.36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1,274.11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1,274.11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164.20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164.20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1,579.36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1,579.36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1,579.36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1,613.68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1,613.68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1,613.68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重庆市城口县庙坝初级中学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1,579.36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1,395.23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184.13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11.86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1,101.03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1,274.11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1,101.03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173.07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1,274.11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1,101.03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164.20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54.32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63.57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63.57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重庆市城口县庙坝初级中学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1,282.41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81.62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641.43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84.76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1,308.58</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86.65</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重庆市城口县庙坝初级中学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重庆市城口县庙坝初级中学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重庆市城口县庙坝初级中学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20.73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20.73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20.73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20.73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C6014D"/>
    <w:rsid w:val="06F80EE2"/>
    <w:rsid w:val="07001CCA"/>
    <w:rsid w:val="075678DB"/>
    <w:rsid w:val="079D7CC7"/>
    <w:rsid w:val="08051BCA"/>
    <w:rsid w:val="086C12F4"/>
    <w:rsid w:val="08705944"/>
    <w:rsid w:val="08BA052C"/>
    <w:rsid w:val="08DB07BA"/>
    <w:rsid w:val="0969353F"/>
    <w:rsid w:val="098305D0"/>
    <w:rsid w:val="09B0056E"/>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42BF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4E0C7A"/>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DD3C0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800BF"/>
    <w:rsid w:val="578867FC"/>
    <w:rsid w:val="5842572D"/>
    <w:rsid w:val="5A3B59D6"/>
    <w:rsid w:val="5AD134D8"/>
    <w:rsid w:val="5C263CE4"/>
    <w:rsid w:val="5C5D2777"/>
    <w:rsid w:val="5CF66BF3"/>
    <w:rsid w:val="5D290C69"/>
    <w:rsid w:val="5F2D4A41"/>
    <w:rsid w:val="606212CE"/>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1E0DE8"/>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67EF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4762</Words>
  <Characters>5579</Characters>
  <Lines>190</Lines>
  <Paragraphs>53</Paragraphs>
  <TotalTime>1</TotalTime>
  <ScaleCrop>false</ScaleCrop>
  <LinksUpToDate>false</LinksUpToDate>
  <CharactersWithSpaces>5793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2024-11-26T19:50:39Z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