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_GBK" w:hAnsi="Times New Roman" w:eastAsia="方正小标宋_GBK" w:cs="Times New Roman"/>
          <w:sz w:val="44"/>
          <w:szCs w:val="44"/>
        </w:rPr>
      </w:pPr>
    </w:p>
    <w:p>
      <w:pPr>
        <w:widowControl/>
        <w:spacing w:line="56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重庆师范大学附属城口实验中学校</w:t>
      </w:r>
    </w:p>
    <w:p>
      <w:pPr>
        <w:widowControl/>
        <w:spacing w:line="56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2022年度部门决算情况说明</w:t>
      </w:r>
    </w:p>
    <w:p>
      <w:pPr>
        <w:pStyle w:val="4"/>
        <w:widowControl/>
        <w:snapToGrid w:val="0"/>
        <w:spacing w:beforeAutospacing="0" w:afterAutospacing="0" w:line="560" w:lineRule="exact"/>
        <w:jc w:val="both"/>
        <w:rPr>
          <w:rStyle w:val="7"/>
          <w:rFonts w:ascii="宋体" w:hAnsi="宋体" w:cs="宋体"/>
          <w:sz w:val="44"/>
          <w:szCs w:val="44"/>
          <w:shd w:val="clear" w:color="auto" w:fill="FFFFFF"/>
          <w:lang w:bidi="ar"/>
        </w:rPr>
      </w:pPr>
    </w:p>
    <w:p>
      <w:pPr>
        <w:pStyle w:val="8"/>
        <w:spacing w:line="560" w:lineRule="exact"/>
        <w:ind w:left="640" w:firstLine="0" w:firstLineChars="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一、部门基本情况</w:t>
      </w:r>
    </w:p>
    <w:p>
      <w:pPr>
        <w:pStyle w:val="4"/>
        <w:widowControl/>
        <w:snapToGrid w:val="0"/>
        <w:spacing w:beforeAutospacing="0" w:afterAutospacing="0" w:line="560" w:lineRule="exact"/>
        <w:ind w:firstLine="640" w:firstLineChars="200"/>
        <w:jc w:val="both"/>
        <w:rPr>
          <w:rFonts w:ascii="方正楷体_GBK" w:hAnsi="Times New Roman" w:eastAsia="方正楷体_GBK"/>
          <w:kern w:val="2"/>
          <w:sz w:val="32"/>
          <w:szCs w:val="32"/>
        </w:rPr>
      </w:pPr>
      <w:r>
        <w:rPr>
          <w:rFonts w:hint="eastAsia" w:ascii="方正楷体_GBK" w:hAnsi="Times New Roman" w:eastAsia="方正楷体_GBK"/>
          <w:kern w:val="2"/>
          <w:sz w:val="32"/>
          <w:szCs w:val="32"/>
        </w:rPr>
        <w:t>（一）职能职责</w:t>
      </w:r>
    </w:p>
    <w:p>
      <w:pPr>
        <w:pStyle w:val="4"/>
        <w:widowControl/>
        <w:snapToGrid w:val="0"/>
        <w:spacing w:beforeAutospacing="0" w:afterAutospacing="0" w:line="560" w:lineRule="exact"/>
        <w:ind w:firstLine="640" w:firstLineChars="200"/>
        <w:jc w:val="both"/>
        <w:rPr>
          <w:rFonts w:ascii="方正仿宋_GBK" w:hAnsi="Times New Roman" w:eastAsia="方正仿宋_GBK"/>
          <w:color w:val="000000"/>
          <w:kern w:val="2"/>
          <w:sz w:val="32"/>
          <w:szCs w:val="32"/>
        </w:rPr>
      </w:pPr>
      <w:r>
        <w:rPr>
          <w:rFonts w:hint="eastAsia" w:ascii="方正仿宋_GBK" w:hAnsi="Times New Roman" w:eastAsia="方正仿宋_GBK"/>
          <w:color w:val="000000"/>
          <w:kern w:val="2"/>
          <w:sz w:val="32"/>
          <w:szCs w:val="32"/>
        </w:rPr>
        <w:t>重庆师范大学附属城口实验中学校创建于2017年，是重庆师范大学与城口县人民政府采取“协议管理、整体委托、自主办学”的创新模式，按照省级重点学校的标准，共同举办的一所高标准、高质量、实验性、示范性公办完全中学。学校主要实施初中义务教育和高中学历教育。在县委县政府及县教委的正确引领下，通过全校师生不懈的努力，学校面貌年年更新，办学条件年年升级。学校以“传承经典文化、奠定人生基石”为办学理念，做有温度的教育；以“厚德笃学，砺志创新”为校训；以“塑造完整人格、成就每位师生”为办学目标，为学生一生负责；践行“因材施教”教育方针；制定“名校跟岗学习、期末专题培训、国培市培轮训、青蓝工程”等四大保障措施，促进基础教育发展，做好初中、高中阶段教育教学工作，积极开展教育科研与改革，全面推行素质教育：制定学校工作计划，培养德、智、体、美全面发展的学生，提高教育教学质量。</w:t>
      </w:r>
    </w:p>
    <w:p>
      <w:pPr>
        <w:pStyle w:val="4"/>
        <w:widowControl/>
        <w:snapToGrid w:val="0"/>
        <w:spacing w:beforeAutospacing="0" w:afterAutospacing="0" w:line="560" w:lineRule="exact"/>
        <w:ind w:firstLine="640" w:firstLineChars="200"/>
        <w:jc w:val="both"/>
        <w:rPr>
          <w:rFonts w:ascii="方正楷体_GBK" w:hAnsi="Times New Roman" w:eastAsia="方正楷体_GBK"/>
          <w:kern w:val="2"/>
          <w:sz w:val="32"/>
          <w:szCs w:val="32"/>
        </w:rPr>
      </w:pPr>
      <w:r>
        <w:rPr>
          <w:rFonts w:hint="eastAsia" w:ascii="方正楷体_GBK" w:hAnsi="Times New Roman" w:eastAsia="方正楷体_GBK"/>
          <w:kern w:val="2"/>
          <w:sz w:val="32"/>
          <w:szCs w:val="32"/>
        </w:rPr>
        <w:t>（二）机构设置</w:t>
      </w:r>
    </w:p>
    <w:p>
      <w:pPr>
        <w:pStyle w:val="4"/>
        <w:widowControl/>
        <w:snapToGrid w:val="0"/>
        <w:spacing w:beforeAutospacing="0" w:afterAutospacing="0" w:line="560" w:lineRule="exact"/>
        <w:ind w:firstLine="640" w:firstLineChars="200"/>
        <w:jc w:val="both"/>
        <w:rPr>
          <w:rFonts w:ascii="方正仿宋_GBK" w:hAnsi="Times New Roman" w:eastAsia="方正仿宋_GBK"/>
          <w:color w:val="000000"/>
          <w:kern w:val="2"/>
          <w:sz w:val="32"/>
          <w:szCs w:val="32"/>
        </w:rPr>
      </w:pPr>
      <w:r>
        <w:rPr>
          <w:rFonts w:hint="eastAsia" w:ascii="方正仿宋_GBK" w:hAnsi="Times New Roman" w:eastAsia="方正仿宋_GBK"/>
          <w:color w:val="000000"/>
          <w:kern w:val="2"/>
          <w:sz w:val="32"/>
          <w:szCs w:val="32"/>
        </w:rPr>
        <w:t>学校内设</w:t>
      </w:r>
      <w:r>
        <w:rPr>
          <w:rFonts w:ascii="Times New Roman" w:hAnsi="Times New Roman" w:eastAsia="方正仿宋_GBK"/>
          <w:color w:val="000000"/>
          <w:kern w:val="2"/>
          <w:sz w:val="32"/>
          <w:szCs w:val="32"/>
        </w:rPr>
        <w:t>3</w:t>
      </w:r>
      <w:r>
        <w:rPr>
          <w:rFonts w:hint="eastAsia" w:ascii="方正仿宋_GBK" w:hAnsi="Times New Roman" w:eastAsia="方正仿宋_GBK"/>
          <w:color w:val="000000"/>
          <w:kern w:val="2"/>
          <w:sz w:val="32"/>
          <w:szCs w:val="32"/>
        </w:rPr>
        <w:t>个处室</w:t>
      </w:r>
      <w:r>
        <w:rPr>
          <w:rFonts w:hint="eastAsia" w:ascii="Times New Roman" w:hAnsi="Times New Roman" w:eastAsia="方正仿宋_GBK"/>
          <w:color w:val="000000"/>
          <w:kern w:val="2"/>
          <w:sz w:val="32"/>
          <w:szCs w:val="32"/>
        </w:rPr>
        <w:t>2</w:t>
      </w:r>
      <w:r>
        <w:rPr>
          <w:rFonts w:hint="eastAsia" w:ascii="方正仿宋_GBK" w:hAnsi="Times New Roman" w:eastAsia="方正仿宋_GBK"/>
          <w:color w:val="000000"/>
          <w:kern w:val="2"/>
          <w:sz w:val="32"/>
          <w:szCs w:val="32"/>
        </w:rPr>
        <w:t>个科室，包括教务处、德育处，后勤处，党政办公室，教科室。</w:t>
      </w:r>
    </w:p>
    <w:p>
      <w:pPr>
        <w:pStyle w:val="4"/>
        <w:widowControl/>
        <w:snapToGrid w:val="0"/>
        <w:spacing w:beforeAutospacing="0" w:afterAutospacing="0" w:line="560" w:lineRule="exact"/>
        <w:ind w:firstLine="640" w:firstLineChars="200"/>
        <w:jc w:val="both"/>
        <w:rPr>
          <w:rFonts w:ascii="方正楷体_GBK" w:hAnsi="Times New Roman" w:eastAsia="方正楷体_GBK"/>
          <w:kern w:val="2"/>
          <w:sz w:val="32"/>
          <w:szCs w:val="32"/>
        </w:rPr>
      </w:pPr>
      <w:r>
        <w:rPr>
          <w:rFonts w:hint="eastAsia" w:ascii="方正楷体_GBK" w:hAnsi="Times New Roman" w:eastAsia="方正楷体_GBK"/>
          <w:kern w:val="2"/>
          <w:sz w:val="32"/>
          <w:szCs w:val="32"/>
        </w:rPr>
        <w:t>（三）单位构成</w:t>
      </w:r>
    </w:p>
    <w:p>
      <w:pPr>
        <w:pStyle w:val="4"/>
        <w:widowControl/>
        <w:snapToGrid w:val="0"/>
        <w:spacing w:beforeAutospacing="0" w:afterAutospacing="0" w:line="560" w:lineRule="exact"/>
        <w:ind w:firstLine="640" w:firstLineChars="200"/>
        <w:jc w:val="both"/>
        <w:rPr>
          <w:rFonts w:ascii="方正仿宋_GBK" w:hAnsi="Times New Roman" w:eastAsia="方正仿宋_GBK"/>
          <w:color w:val="000000"/>
          <w:kern w:val="2"/>
          <w:sz w:val="32"/>
          <w:szCs w:val="32"/>
        </w:rPr>
      </w:pPr>
      <w:r>
        <w:rPr>
          <w:rFonts w:hint="eastAsia" w:ascii="方正仿宋_GBK" w:hAnsi="Times New Roman" w:eastAsia="方正仿宋_GBK"/>
          <w:color w:val="000000"/>
          <w:kern w:val="2"/>
          <w:sz w:val="32"/>
          <w:szCs w:val="32"/>
        </w:rPr>
        <w:t xml:space="preserve">从预算单位构成看， </w:t>
      </w:r>
      <w:r>
        <w:rPr>
          <w:rFonts w:hint="eastAsia" w:ascii="Times New Roman" w:hAnsi="Times New Roman" w:eastAsia="方正仿宋_GBK"/>
          <w:color w:val="000000"/>
          <w:kern w:val="2"/>
          <w:sz w:val="32"/>
          <w:szCs w:val="32"/>
        </w:rPr>
        <w:t>纳入本部门2022年决</w:t>
      </w:r>
      <w:r>
        <w:rPr>
          <w:rFonts w:hint="eastAsia" w:ascii="方正仿宋_GBK" w:hAnsi="Times New Roman" w:eastAsia="方正仿宋_GBK"/>
          <w:color w:val="000000"/>
          <w:kern w:val="2"/>
          <w:sz w:val="32"/>
          <w:szCs w:val="32"/>
        </w:rPr>
        <w:t>算编制的单位主要包括重庆师范大学附属城口实验中学校本级预算。</w:t>
      </w:r>
    </w:p>
    <w:p>
      <w:pPr>
        <w:pStyle w:val="4"/>
        <w:widowControl/>
        <w:snapToGrid w:val="0"/>
        <w:spacing w:beforeAutospacing="0" w:afterAutospacing="0" w:line="560" w:lineRule="exact"/>
        <w:jc w:val="both"/>
        <w:rPr>
          <w:rFonts w:cs="宋体"/>
        </w:rPr>
      </w:pPr>
    </w:p>
    <w:p>
      <w:pPr>
        <w:pStyle w:val="8"/>
        <w:spacing w:line="560" w:lineRule="exact"/>
        <w:ind w:left="640" w:firstLine="0" w:firstLineChars="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二、部门决算情况说明</w:t>
      </w:r>
    </w:p>
    <w:p>
      <w:pPr>
        <w:pStyle w:val="4"/>
        <w:widowControl/>
        <w:snapToGrid w:val="0"/>
        <w:spacing w:beforeAutospacing="0" w:afterAutospacing="0" w:line="560" w:lineRule="exact"/>
        <w:ind w:firstLine="640" w:firstLineChars="200"/>
        <w:jc w:val="both"/>
        <w:rPr>
          <w:rFonts w:ascii="方正楷体_GBK" w:hAnsi="Times New Roman" w:eastAsia="方正楷体_GBK"/>
          <w:kern w:val="2"/>
          <w:sz w:val="32"/>
          <w:szCs w:val="32"/>
        </w:rPr>
      </w:pPr>
      <w:r>
        <w:rPr>
          <w:rFonts w:hint="eastAsia" w:ascii="方正楷体_GBK" w:hAnsi="Times New Roman" w:eastAsia="方正楷体_GBK"/>
          <w:kern w:val="2"/>
          <w:sz w:val="32"/>
          <w:szCs w:val="32"/>
        </w:rPr>
        <w:t>（一）收入支出决算总体情况说明</w:t>
      </w:r>
    </w:p>
    <w:p>
      <w:pPr>
        <w:spacing w:line="560" w:lineRule="exact"/>
        <w:ind w:firstLine="645"/>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rPr>
        <w:t>总体情况。</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年度收入合计59</w:t>
      </w:r>
      <w:r>
        <w:rPr>
          <w:rFonts w:hint="eastAsia" w:ascii="Times New Roman" w:hAnsi="Times New Roman" w:eastAsia="方正仿宋_GBK" w:cs="Times New Roman"/>
          <w:color w:val="000000"/>
          <w:sz w:val="32"/>
          <w:szCs w:val="32"/>
          <w:lang w:val="en-US" w:eastAsia="zh-CN"/>
        </w:rPr>
        <w:t>84.03</w:t>
      </w:r>
      <w:r>
        <w:rPr>
          <w:rFonts w:ascii="Times New Roman" w:hAnsi="Times New Roman" w:eastAsia="方正仿宋_GBK" w:cs="Times New Roman"/>
          <w:color w:val="000000"/>
          <w:sz w:val="32"/>
          <w:szCs w:val="32"/>
        </w:rPr>
        <w:t>万元，较上年决算数减少</w:t>
      </w:r>
      <w:r>
        <w:rPr>
          <w:rFonts w:hint="eastAsia" w:ascii="Times New Roman" w:hAnsi="Times New Roman" w:eastAsia="方正仿宋_GBK" w:cs="Times New Roman"/>
          <w:color w:val="000000"/>
          <w:sz w:val="32"/>
          <w:szCs w:val="32"/>
          <w:lang w:val="en-US" w:eastAsia="zh-CN"/>
        </w:rPr>
        <w:t>428.29</w:t>
      </w:r>
      <w:r>
        <w:rPr>
          <w:rFonts w:ascii="Times New Roman" w:hAnsi="Times New Roman" w:eastAsia="方正仿宋_GBK" w:cs="Times New Roman"/>
          <w:color w:val="000000"/>
          <w:sz w:val="32"/>
          <w:szCs w:val="32"/>
        </w:rPr>
        <w:t>万元、下降</w:t>
      </w:r>
      <w:r>
        <w:rPr>
          <w:rFonts w:hint="eastAsia" w:ascii="Times New Roman" w:hAnsi="Times New Roman" w:eastAsia="方正仿宋_GBK" w:cs="Times New Roman"/>
          <w:color w:val="000000"/>
          <w:sz w:val="32"/>
          <w:szCs w:val="32"/>
          <w:lang w:val="en-US" w:eastAsia="zh-CN"/>
        </w:rPr>
        <w:t>6.68</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主要原因为</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rPr>
        <w:t>人员及</w:t>
      </w:r>
      <w:r>
        <w:rPr>
          <w:rFonts w:ascii="Times New Roman" w:hAnsi="Times New Roman" w:eastAsia="方正仿宋_GBK" w:cs="Times New Roman"/>
          <w:color w:val="000000"/>
          <w:sz w:val="32"/>
          <w:szCs w:val="32"/>
        </w:rPr>
        <w:t>项目资金预算减少；202</w:t>
      </w: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年度支出合计5933</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42万元，</w:t>
      </w:r>
      <w:r>
        <w:rPr>
          <w:rFonts w:hint="eastAsia" w:ascii="Times New Roman" w:hAnsi="Times New Roman" w:eastAsia="方正仿宋_GBK" w:cs="Times New Roman"/>
          <w:color w:val="000000"/>
          <w:sz w:val="32"/>
          <w:szCs w:val="32"/>
        </w:rPr>
        <w:t>支出</w:t>
      </w:r>
      <w:r>
        <w:rPr>
          <w:rFonts w:ascii="Times New Roman" w:hAnsi="Times New Roman" w:eastAsia="方正仿宋_GBK" w:cs="Times New Roman"/>
          <w:color w:val="000000"/>
          <w:sz w:val="32"/>
          <w:szCs w:val="32"/>
        </w:rPr>
        <w:t>较上年决算数减少</w:t>
      </w:r>
      <w:r>
        <w:rPr>
          <w:rFonts w:hint="eastAsia" w:ascii="Times New Roman" w:hAnsi="Times New Roman" w:eastAsia="方正仿宋_GBK" w:cs="Times New Roman"/>
          <w:color w:val="000000"/>
          <w:sz w:val="32"/>
          <w:szCs w:val="32"/>
        </w:rPr>
        <w:t>1047.37</w:t>
      </w:r>
      <w:r>
        <w:rPr>
          <w:rFonts w:ascii="Times New Roman" w:hAnsi="Times New Roman" w:eastAsia="方正仿宋_GBK" w:cs="Times New Roman"/>
          <w:color w:val="000000"/>
          <w:sz w:val="32"/>
          <w:szCs w:val="32"/>
        </w:rPr>
        <w:t>万元、下降</w:t>
      </w:r>
      <w:r>
        <w:rPr>
          <w:rFonts w:hint="eastAsia" w:ascii="Times New Roman" w:hAnsi="Times New Roman" w:eastAsia="方正仿宋_GBK" w:cs="Times New Roman"/>
          <w:color w:val="000000"/>
          <w:sz w:val="32"/>
          <w:szCs w:val="32"/>
        </w:rPr>
        <w:t>15.0</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主要原因为</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rPr>
        <w:t>人员及</w:t>
      </w:r>
      <w:r>
        <w:rPr>
          <w:rFonts w:ascii="Times New Roman" w:hAnsi="Times New Roman" w:eastAsia="方正仿宋_GBK" w:cs="Times New Roman"/>
          <w:color w:val="000000"/>
          <w:sz w:val="32"/>
          <w:szCs w:val="32"/>
        </w:rPr>
        <w:t>项目资金预算减少</w:t>
      </w:r>
      <w:r>
        <w:rPr>
          <w:rFonts w:hint="eastAsia" w:ascii="Times New Roman" w:hAnsi="Times New Roman" w:eastAsia="方正仿宋_GBK" w:cs="Times New Roman"/>
          <w:color w:val="000000"/>
          <w:sz w:val="32"/>
          <w:szCs w:val="32"/>
        </w:rPr>
        <w:t>故支出减少</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年度年末结转和结余</w:t>
      </w:r>
      <w:r>
        <w:rPr>
          <w:rFonts w:hint="eastAsia" w:ascii="Times New Roman" w:hAnsi="Times New Roman" w:eastAsia="方正仿宋_GBK" w:cs="Times New Roman"/>
          <w:color w:val="000000"/>
          <w:sz w:val="32"/>
          <w:szCs w:val="32"/>
        </w:rPr>
        <w:t>64.7</w:t>
      </w:r>
      <w:r>
        <w:rPr>
          <w:rFonts w:ascii="Times New Roman" w:hAnsi="Times New Roman" w:eastAsia="方正仿宋_GBK" w:cs="Times New Roman"/>
          <w:color w:val="000000"/>
          <w:sz w:val="32"/>
          <w:szCs w:val="32"/>
        </w:rPr>
        <w:t>万元，较上年决算数</w:t>
      </w:r>
      <w:r>
        <w:rPr>
          <w:rFonts w:hint="eastAsia" w:ascii="Times New Roman" w:hAnsi="Times New Roman" w:eastAsia="方正仿宋_GBK" w:cs="Times New Roman"/>
          <w:color w:val="000000"/>
          <w:sz w:val="32"/>
          <w:szCs w:val="32"/>
        </w:rPr>
        <w:t>增加59.86</w:t>
      </w:r>
      <w:r>
        <w:rPr>
          <w:rFonts w:ascii="Times New Roman" w:hAnsi="Times New Roman" w:eastAsia="方正仿宋_GBK" w:cs="Times New Roman"/>
          <w:color w:val="000000"/>
          <w:sz w:val="32"/>
          <w:szCs w:val="32"/>
        </w:rPr>
        <w:t>万元，主要原因是</w:t>
      </w:r>
      <w:r>
        <w:rPr>
          <w:rFonts w:hint="eastAsia" w:ascii="Times New Roman" w:hAnsi="Times New Roman" w:eastAsia="方正仿宋_GBK" w:cs="Times New Roman"/>
          <w:color w:val="000000"/>
          <w:sz w:val="32"/>
          <w:szCs w:val="32"/>
        </w:rPr>
        <w:t>为本年事业收入暂性结转。</w:t>
      </w:r>
    </w:p>
    <w:p>
      <w:pPr>
        <w:spacing w:line="560" w:lineRule="exact"/>
        <w:ind w:firstLine="645"/>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rPr>
        <w:t>收入情况。</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年度收入合计59</w:t>
      </w:r>
      <w:r>
        <w:rPr>
          <w:rFonts w:hint="eastAsia" w:ascii="Times New Roman" w:hAnsi="Times New Roman" w:eastAsia="方正仿宋_GBK" w:cs="Times New Roman"/>
          <w:color w:val="000000"/>
          <w:sz w:val="32"/>
          <w:szCs w:val="32"/>
          <w:lang w:val="en-US" w:eastAsia="zh-CN"/>
        </w:rPr>
        <w:t>84.03</w:t>
      </w:r>
      <w:r>
        <w:rPr>
          <w:rFonts w:ascii="Times New Roman" w:hAnsi="Times New Roman" w:eastAsia="方正仿宋_GBK" w:cs="Times New Roman"/>
          <w:color w:val="000000"/>
          <w:sz w:val="32"/>
          <w:szCs w:val="32"/>
        </w:rPr>
        <w:t>万元，较上年决算数减少</w:t>
      </w:r>
      <w:r>
        <w:rPr>
          <w:rFonts w:hint="eastAsia" w:ascii="Times New Roman" w:hAnsi="Times New Roman" w:eastAsia="方正仿宋_GBK" w:cs="Times New Roman"/>
          <w:color w:val="000000"/>
          <w:sz w:val="32"/>
          <w:szCs w:val="32"/>
          <w:lang w:val="en-US" w:eastAsia="zh-CN"/>
        </w:rPr>
        <w:t>428.29</w:t>
      </w:r>
      <w:r>
        <w:rPr>
          <w:rFonts w:ascii="Times New Roman" w:hAnsi="Times New Roman" w:eastAsia="方正仿宋_GBK" w:cs="Times New Roman"/>
          <w:color w:val="000000"/>
          <w:sz w:val="32"/>
          <w:szCs w:val="32"/>
        </w:rPr>
        <w:t>万元、下降</w:t>
      </w:r>
      <w:r>
        <w:rPr>
          <w:rFonts w:hint="eastAsia" w:ascii="Times New Roman" w:hAnsi="Times New Roman" w:eastAsia="方正仿宋_GBK" w:cs="Times New Roman"/>
          <w:color w:val="000000"/>
          <w:sz w:val="32"/>
          <w:szCs w:val="32"/>
          <w:lang w:val="en-US" w:eastAsia="zh-CN"/>
        </w:rPr>
        <w:t>6.68</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主要原因为</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rPr>
        <w:t>人员及</w:t>
      </w:r>
      <w:r>
        <w:rPr>
          <w:rFonts w:ascii="Times New Roman" w:hAnsi="Times New Roman" w:eastAsia="方正仿宋_GBK" w:cs="Times New Roman"/>
          <w:color w:val="000000"/>
          <w:sz w:val="32"/>
          <w:szCs w:val="32"/>
        </w:rPr>
        <w:t>项目资金预算减少；其中：财政拨款收入5841</w:t>
      </w:r>
      <w:r>
        <w:rPr>
          <w:rFonts w:hint="eastAsia" w:ascii="Times New Roman" w:hAnsi="Times New Roman" w:eastAsia="方正仿宋_GBK" w:cs="Times New Roman"/>
          <w:color w:val="000000"/>
          <w:sz w:val="32"/>
          <w:szCs w:val="32"/>
        </w:rPr>
        <w:t>.5</w:t>
      </w:r>
      <w:r>
        <w:rPr>
          <w:rFonts w:ascii="Times New Roman" w:hAnsi="Times New Roman" w:eastAsia="方正仿宋_GBK" w:cs="Times New Roman"/>
          <w:color w:val="000000"/>
          <w:sz w:val="32"/>
          <w:szCs w:val="32"/>
        </w:rPr>
        <w:t>万元，占</w:t>
      </w:r>
      <w:r>
        <w:rPr>
          <w:rFonts w:hint="eastAsia" w:ascii="Times New Roman" w:hAnsi="Times New Roman" w:eastAsia="方正仿宋_GBK" w:cs="Times New Roman"/>
          <w:color w:val="000000"/>
          <w:sz w:val="32"/>
          <w:szCs w:val="32"/>
        </w:rPr>
        <w:t>97.4</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2022年春季</w:t>
      </w:r>
      <w:r>
        <w:rPr>
          <w:rFonts w:ascii="Times New Roman" w:hAnsi="Times New Roman" w:eastAsia="方正仿宋_GBK" w:cs="Times New Roman"/>
          <w:color w:val="000000"/>
          <w:sz w:val="32"/>
          <w:szCs w:val="32"/>
        </w:rPr>
        <w:t>事业收入</w:t>
      </w:r>
      <w:r>
        <w:rPr>
          <w:rFonts w:hint="eastAsia" w:ascii="Times New Roman" w:hAnsi="Times New Roman" w:eastAsia="方正仿宋_GBK" w:cs="Times New Roman"/>
          <w:color w:val="000000"/>
          <w:sz w:val="32"/>
          <w:szCs w:val="32"/>
        </w:rPr>
        <w:t>68.39</w:t>
      </w:r>
      <w:r>
        <w:rPr>
          <w:rFonts w:ascii="Times New Roman" w:hAnsi="Times New Roman" w:eastAsia="方正仿宋_GBK" w:cs="Times New Roman"/>
          <w:color w:val="000000"/>
          <w:sz w:val="32"/>
          <w:szCs w:val="32"/>
        </w:rPr>
        <w:t>万元，占</w:t>
      </w:r>
      <w:r>
        <w:rPr>
          <w:rFonts w:hint="eastAsia" w:ascii="Times New Roman" w:hAnsi="Times New Roman" w:eastAsia="方正仿宋_GBK" w:cs="Times New Roman"/>
          <w:color w:val="000000"/>
          <w:sz w:val="32"/>
          <w:szCs w:val="32"/>
        </w:rPr>
        <w:t>1.1</w:t>
      </w:r>
      <w:r>
        <w:rPr>
          <w:rFonts w:ascii="Times New Roman" w:hAnsi="Times New Roman" w:eastAsia="方正仿宋_GBK" w:cs="Times New Roman"/>
          <w:color w:val="000000"/>
          <w:sz w:val="32"/>
          <w:szCs w:val="32"/>
        </w:rPr>
        <w:t>%；其他收入</w:t>
      </w:r>
      <w:r>
        <w:rPr>
          <w:rFonts w:hint="eastAsia" w:ascii="Times New Roman" w:hAnsi="Times New Roman" w:eastAsia="方正仿宋_GBK" w:cs="Times New Roman"/>
          <w:color w:val="000000"/>
          <w:sz w:val="32"/>
          <w:szCs w:val="32"/>
        </w:rPr>
        <w:t>74.14</w:t>
      </w:r>
      <w:r>
        <w:rPr>
          <w:rFonts w:ascii="Times New Roman" w:hAnsi="Times New Roman" w:eastAsia="方正仿宋_GBK" w:cs="Times New Roman"/>
          <w:color w:val="000000"/>
          <w:sz w:val="32"/>
          <w:szCs w:val="32"/>
        </w:rPr>
        <w:t>万元，占</w:t>
      </w:r>
      <w:r>
        <w:rPr>
          <w:rFonts w:hint="eastAsia" w:ascii="Times New Roman" w:hAnsi="Times New Roman" w:eastAsia="方正仿宋_GBK" w:cs="Times New Roman"/>
          <w:color w:val="000000"/>
          <w:sz w:val="32"/>
          <w:szCs w:val="32"/>
        </w:rPr>
        <w:t>1.5</w:t>
      </w:r>
      <w:r>
        <w:rPr>
          <w:rFonts w:ascii="Times New Roman" w:hAnsi="Times New Roman" w:eastAsia="方正仿宋_GBK" w:cs="Times New Roman"/>
          <w:color w:val="000000"/>
          <w:sz w:val="32"/>
          <w:szCs w:val="32"/>
        </w:rPr>
        <w:t>%。此外，年初结转和结余4</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8</w:t>
      </w:r>
      <w:r>
        <w:rPr>
          <w:rFonts w:hint="eastAsia" w:ascii="Times New Roman" w:hAnsi="Times New Roman" w:eastAsia="方正仿宋_GBK" w:cs="Times New Roman"/>
          <w:color w:val="000000"/>
          <w:sz w:val="32"/>
          <w:szCs w:val="32"/>
        </w:rPr>
        <w:t>4</w:t>
      </w:r>
      <w:r>
        <w:rPr>
          <w:rFonts w:ascii="Times New Roman" w:hAnsi="Times New Roman" w:eastAsia="方正仿宋_GBK" w:cs="Times New Roman"/>
          <w:color w:val="000000"/>
          <w:sz w:val="32"/>
          <w:szCs w:val="32"/>
        </w:rPr>
        <w:t>万元。</w:t>
      </w:r>
    </w:p>
    <w:p>
      <w:pPr>
        <w:spacing w:line="560" w:lineRule="exact"/>
        <w:ind w:firstLine="645"/>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rPr>
        <w:t>支出情况。</w:t>
      </w:r>
    </w:p>
    <w:p>
      <w:pPr>
        <w:spacing w:line="560" w:lineRule="exact"/>
        <w:ind w:firstLine="645"/>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年度支出合计5933</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42万元，</w:t>
      </w:r>
      <w:r>
        <w:rPr>
          <w:rFonts w:hint="eastAsia" w:ascii="Times New Roman" w:hAnsi="Times New Roman" w:eastAsia="方正仿宋_GBK" w:cs="Times New Roman"/>
          <w:color w:val="000000"/>
          <w:sz w:val="32"/>
          <w:szCs w:val="32"/>
        </w:rPr>
        <w:t>支出</w:t>
      </w:r>
      <w:r>
        <w:rPr>
          <w:rFonts w:ascii="Times New Roman" w:hAnsi="Times New Roman" w:eastAsia="方正仿宋_GBK" w:cs="Times New Roman"/>
          <w:color w:val="000000"/>
          <w:sz w:val="32"/>
          <w:szCs w:val="32"/>
        </w:rPr>
        <w:t>较上年决算数减少</w:t>
      </w:r>
      <w:r>
        <w:rPr>
          <w:rFonts w:hint="eastAsia" w:ascii="Times New Roman" w:hAnsi="Times New Roman" w:eastAsia="方正仿宋_GBK" w:cs="Times New Roman"/>
          <w:color w:val="000000"/>
          <w:sz w:val="32"/>
          <w:szCs w:val="32"/>
        </w:rPr>
        <w:t>1047.37</w:t>
      </w:r>
      <w:r>
        <w:rPr>
          <w:rFonts w:ascii="Times New Roman" w:hAnsi="Times New Roman" w:eastAsia="方正仿宋_GBK" w:cs="Times New Roman"/>
          <w:color w:val="000000"/>
          <w:sz w:val="32"/>
          <w:szCs w:val="32"/>
        </w:rPr>
        <w:t>万元、下降</w:t>
      </w:r>
      <w:r>
        <w:rPr>
          <w:rFonts w:hint="eastAsia" w:ascii="Times New Roman" w:hAnsi="Times New Roman" w:eastAsia="方正仿宋_GBK" w:cs="Times New Roman"/>
          <w:color w:val="000000"/>
          <w:sz w:val="32"/>
          <w:szCs w:val="32"/>
        </w:rPr>
        <w:t>15.0</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主要原因为</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rPr>
        <w:t>人员及</w:t>
      </w:r>
      <w:r>
        <w:rPr>
          <w:rFonts w:ascii="Times New Roman" w:hAnsi="Times New Roman" w:eastAsia="方正仿宋_GBK" w:cs="Times New Roman"/>
          <w:color w:val="000000"/>
          <w:sz w:val="32"/>
          <w:szCs w:val="32"/>
        </w:rPr>
        <w:t>项目资金预算减少</w:t>
      </w:r>
      <w:r>
        <w:rPr>
          <w:rFonts w:hint="eastAsia" w:ascii="Times New Roman" w:hAnsi="Times New Roman" w:eastAsia="方正仿宋_GBK" w:cs="Times New Roman"/>
          <w:color w:val="000000"/>
          <w:sz w:val="32"/>
          <w:szCs w:val="32"/>
        </w:rPr>
        <w:t>故支出减少，</w:t>
      </w:r>
      <w:r>
        <w:rPr>
          <w:rFonts w:ascii="Times New Roman" w:hAnsi="Times New Roman" w:eastAsia="方正仿宋_GBK" w:cs="Times New Roman"/>
          <w:color w:val="000000"/>
          <w:sz w:val="32"/>
          <w:szCs w:val="32"/>
        </w:rPr>
        <w:t>其中：基本支出4921</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0</w:t>
      </w:r>
      <w:r>
        <w:rPr>
          <w:rFonts w:hint="eastAsia" w:ascii="Times New Roman" w:hAnsi="Times New Roman" w:eastAsia="方正仿宋_GBK" w:cs="Times New Roman"/>
          <w:color w:val="000000"/>
          <w:sz w:val="32"/>
          <w:szCs w:val="32"/>
        </w:rPr>
        <w:t>8</w:t>
      </w:r>
      <w:r>
        <w:rPr>
          <w:rFonts w:ascii="Times New Roman" w:hAnsi="Times New Roman" w:eastAsia="方正仿宋_GBK" w:cs="Times New Roman"/>
          <w:color w:val="000000"/>
          <w:sz w:val="32"/>
          <w:szCs w:val="32"/>
        </w:rPr>
        <w:t>万元，占</w:t>
      </w:r>
      <w:r>
        <w:rPr>
          <w:rFonts w:hint="eastAsia" w:ascii="Times New Roman" w:hAnsi="Times New Roman" w:eastAsia="方正仿宋_GBK" w:cs="Times New Roman"/>
          <w:color w:val="000000"/>
          <w:sz w:val="32"/>
          <w:szCs w:val="32"/>
        </w:rPr>
        <w:t>82.9</w:t>
      </w:r>
      <w:r>
        <w:rPr>
          <w:rFonts w:ascii="Times New Roman" w:hAnsi="Times New Roman" w:eastAsia="方正仿宋_GBK" w:cs="Times New Roman"/>
          <w:color w:val="000000"/>
          <w:sz w:val="32"/>
          <w:szCs w:val="32"/>
        </w:rPr>
        <w:t>%；项目支出1012</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34万元，占</w:t>
      </w:r>
      <w:r>
        <w:rPr>
          <w:rFonts w:hint="eastAsia" w:ascii="Times New Roman" w:hAnsi="Times New Roman" w:eastAsia="方正仿宋_GBK" w:cs="Times New Roman"/>
          <w:color w:val="000000"/>
          <w:sz w:val="32"/>
          <w:szCs w:val="32"/>
        </w:rPr>
        <w:t>17.1</w:t>
      </w:r>
      <w:r>
        <w:rPr>
          <w:rFonts w:ascii="Times New Roman" w:hAnsi="Times New Roman" w:eastAsia="方正仿宋_GBK" w:cs="Times New Roman"/>
          <w:color w:val="000000"/>
          <w:sz w:val="32"/>
          <w:szCs w:val="32"/>
        </w:rPr>
        <w:t>%。</w:t>
      </w:r>
    </w:p>
    <w:p>
      <w:pPr>
        <w:spacing w:line="560" w:lineRule="exact"/>
        <w:ind w:firstLine="645"/>
        <w:rPr>
          <w:rFonts w:ascii="宋体" w:hAnsi="宋体" w:eastAsia="宋体" w:cs="宋体"/>
          <w:color w:val="FF0000"/>
          <w:kern w:val="0"/>
          <w:sz w:val="24"/>
          <w:shd w:val="clear" w:color="auto" w:fill="FFFFFF"/>
          <w:lang w:bidi="ar"/>
        </w:rPr>
      </w:pPr>
      <w:r>
        <w:rPr>
          <w:rFonts w:ascii="Times New Roman" w:hAnsi="Times New Roman" w:eastAsia="方正仿宋_GBK" w:cs="Times New Roman"/>
          <w:color w:val="000000"/>
          <w:sz w:val="32"/>
          <w:szCs w:val="32"/>
        </w:rPr>
        <w:t>4.</w:t>
      </w:r>
      <w:r>
        <w:rPr>
          <w:rFonts w:hint="eastAsia" w:ascii="Times New Roman" w:hAnsi="Times New Roman" w:eastAsia="方正仿宋_GBK" w:cs="Times New Roman"/>
          <w:color w:val="000000"/>
          <w:sz w:val="32"/>
          <w:szCs w:val="32"/>
        </w:rPr>
        <w:t>结转结余情况。</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年度年末结转和结余</w:t>
      </w:r>
      <w:r>
        <w:rPr>
          <w:rFonts w:hint="eastAsia" w:ascii="Times New Roman" w:hAnsi="Times New Roman" w:eastAsia="方正仿宋_GBK" w:cs="Times New Roman"/>
          <w:color w:val="000000"/>
          <w:sz w:val="32"/>
          <w:szCs w:val="32"/>
        </w:rPr>
        <w:t>64.7</w:t>
      </w:r>
      <w:r>
        <w:rPr>
          <w:rFonts w:ascii="Times New Roman" w:hAnsi="Times New Roman" w:eastAsia="方正仿宋_GBK" w:cs="Times New Roman"/>
          <w:color w:val="000000"/>
          <w:sz w:val="32"/>
          <w:szCs w:val="32"/>
        </w:rPr>
        <w:t>万元，较上年决算数</w:t>
      </w:r>
      <w:r>
        <w:rPr>
          <w:rFonts w:hint="eastAsia" w:ascii="Times New Roman" w:hAnsi="Times New Roman" w:eastAsia="方正仿宋_GBK" w:cs="Times New Roman"/>
          <w:color w:val="000000"/>
          <w:sz w:val="32"/>
          <w:szCs w:val="32"/>
        </w:rPr>
        <w:t>增加59.86</w:t>
      </w:r>
      <w:r>
        <w:rPr>
          <w:rFonts w:ascii="Times New Roman" w:hAnsi="Times New Roman" w:eastAsia="方正仿宋_GBK" w:cs="Times New Roman"/>
          <w:color w:val="000000"/>
          <w:sz w:val="32"/>
          <w:szCs w:val="32"/>
        </w:rPr>
        <w:t>万元，主要原因是</w:t>
      </w:r>
      <w:r>
        <w:rPr>
          <w:rFonts w:hint="eastAsia" w:ascii="Times New Roman" w:hAnsi="Times New Roman" w:eastAsia="方正仿宋_GBK" w:cs="Times New Roman"/>
          <w:color w:val="000000"/>
          <w:sz w:val="32"/>
          <w:szCs w:val="32"/>
        </w:rPr>
        <w:t>为本年事业收入暂性结转。</w:t>
      </w:r>
    </w:p>
    <w:p>
      <w:pPr>
        <w:pStyle w:val="4"/>
        <w:widowControl/>
        <w:snapToGrid w:val="0"/>
        <w:spacing w:beforeAutospacing="0" w:afterAutospacing="0" w:line="560" w:lineRule="exact"/>
        <w:ind w:firstLine="640" w:firstLineChars="200"/>
        <w:jc w:val="both"/>
        <w:rPr>
          <w:rFonts w:ascii="方正楷体_GBK" w:hAnsi="Times New Roman" w:eastAsia="方正楷体_GBK"/>
          <w:kern w:val="2"/>
          <w:sz w:val="32"/>
          <w:szCs w:val="32"/>
        </w:rPr>
      </w:pPr>
      <w:r>
        <w:rPr>
          <w:rFonts w:hint="eastAsia" w:ascii="方正楷体_GBK" w:hAnsi="Times New Roman" w:eastAsia="方正楷体_GBK"/>
          <w:kern w:val="2"/>
          <w:sz w:val="32"/>
          <w:szCs w:val="32"/>
        </w:rPr>
        <w:t>（二）财政拨款收入支出决算总体情况说明</w:t>
      </w:r>
    </w:p>
    <w:p>
      <w:pPr>
        <w:spacing w:line="560" w:lineRule="exact"/>
        <w:ind w:firstLine="645"/>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年度财政拨款收、支总计5846</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rPr>
        <w:t>4</w:t>
      </w:r>
      <w:r>
        <w:rPr>
          <w:rFonts w:ascii="Times New Roman" w:hAnsi="Times New Roman" w:eastAsia="方正仿宋_GBK" w:cs="Times New Roman"/>
          <w:color w:val="000000"/>
          <w:sz w:val="32"/>
          <w:szCs w:val="32"/>
        </w:rPr>
        <w:t>万元。与202</w:t>
      </w:r>
      <w:r>
        <w:rPr>
          <w:rFonts w:hint="eastAsia" w:ascii="Times New Roman" w:hAnsi="Times New Roman" w:eastAsia="方正仿宋_GBK" w:cs="Times New Roman"/>
          <w:color w:val="000000"/>
          <w:sz w:val="32"/>
          <w:szCs w:val="32"/>
        </w:rPr>
        <w:t>1</w:t>
      </w:r>
      <w:r>
        <w:rPr>
          <w:rFonts w:ascii="Times New Roman" w:hAnsi="Times New Roman" w:eastAsia="方正仿宋_GBK" w:cs="Times New Roman"/>
          <w:color w:val="000000"/>
          <w:sz w:val="32"/>
          <w:szCs w:val="32"/>
        </w:rPr>
        <w:t>年相比，财政拨款收、支总计各减少</w:t>
      </w:r>
      <w:r>
        <w:rPr>
          <w:rFonts w:hint="eastAsia" w:ascii="Times New Roman" w:hAnsi="Times New Roman" w:eastAsia="方正仿宋_GBK" w:cs="Times New Roman"/>
          <w:color w:val="000000"/>
          <w:sz w:val="32"/>
          <w:szCs w:val="32"/>
        </w:rPr>
        <w:t>808.99</w:t>
      </w:r>
      <w:r>
        <w:rPr>
          <w:rFonts w:ascii="Times New Roman" w:hAnsi="Times New Roman" w:eastAsia="方正仿宋_GBK" w:cs="Times New Roman"/>
          <w:color w:val="000000"/>
          <w:sz w:val="32"/>
          <w:szCs w:val="32"/>
        </w:rPr>
        <w:t>万元，下降</w:t>
      </w:r>
      <w:r>
        <w:rPr>
          <w:rFonts w:hint="eastAsia" w:ascii="Times New Roman" w:hAnsi="Times New Roman" w:eastAsia="方正仿宋_GBK" w:cs="Times New Roman"/>
          <w:color w:val="000000"/>
          <w:sz w:val="32"/>
          <w:szCs w:val="32"/>
        </w:rPr>
        <w:t>12.2</w:t>
      </w:r>
      <w:r>
        <w:rPr>
          <w:rFonts w:ascii="Times New Roman" w:hAnsi="Times New Roman" w:eastAsia="方正仿宋_GBK" w:cs="Times New Roman"/>
          <w:color w:val="000000"/>
          <w:sz w:val="32"/>
          <w:szCs w:val="32"/>
        </w:rPr>
        <w:t>%。主要原因是项目</w:t>
      </w:r>
      <w:r>
        <w:rPr>
          <w:rFonts w:hint="eastAsia" w:ascii="Times New Roman" w:hAnsi="Times New Roman" w:eastAsia="方正仿宋_GBK" w:cs="Times New Roman"/>
          <w:color w:val="000000"/>
          <w:sz w:val="32"/>
          <w:szCs w:val="32"/>
        </w:rPr>
        <w:t>及基本支出</w:t>
      </w:r>
      <w:r>
        <w:rPr>
          <w:rFonts w:ascii="Times New Roman" w:hAnsi="Times New Roman" w:eastAsia="方正仿宋_GBK" w:cs="Times New Roman"/>
          <w:color w:val="000000"/>
          <w:sz w:val="32"/>
          <w:szCs w:val="32"/>
        </w:rPr>
        <w:t>资金预算减少。</w:t>
      </w:r>
    </w:p>
    <w:p>
      <w:pPr>
        <w:pStyle w:val="4"/>
        <w:widowControl/>
        <w:snapToGrid w:val="0"/>
        <w:spacing w:beforeAutospacing="0" w:afterAutospacing="0" w:line="560" w:lineRule="exact"/>
        <w:ind w:firstLine="640" w:firstLineChars="200"/>
        <w:jc w:val="both"/>
        <w:rPr>
          <w:rFonts w:ascii="方正楷体_GBK" w:hAnsi="Times New Roman" w:eastAsia="方正楷体_GBK"/>
          <w:kern w:val="2"/>
          <w:sz w:val="32"/>
          <w:szCs w:val="32"/>
        </w:rPr>
      </w:pPr>
      <w:r>
        <w:rPr>
          <w:rFonts w:hint="eastAsia" w:ascii="方正楷体_GBK" w:hAnsi="Times New Roman" w:eastAsia="方正楷体_GBK"/>
          <w:kern w:val="2"/>
          <w:sz w:val="32"/>
          <w:szCs w:val="32"/>
        </w:rPr>
        <w:t>（三）一般公共预算财政拨款收入支出决算情况说明</w:t>
      </w:r>
    </w:p>
    <w:p>
      <w:pPr>
        <w:spacing w:line="560" w:lineRule="exact"/>
        <w:ind w:firstLine="645"/>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rPr>
        <w:t>收入情况。</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年度一般公共预算财政拨款收入</w:t>
      </w:r>
      <w:r>
        <w:rPr>
          <w:rFonts w:hint="eastAsia" w:ascii="Times New Roman" w:hAnsi="Times New Roman" w:eastAsia="方正仿宋_GBK" w:cs="Times New Roman"/>
          <w:color w:val="000000"/>
          <w:sz w:val="32"/>
          <w:szCs w:val="32"/>
        </w:rPr>
        <w:t>5841.5</w:t>
      </w:r>
      <w:r>
        <w:rPr>
          <w:rFonts w:ascii="Times New Roman" w:hAnsi="Times New Roman" w:eastAsia="方正仿宋_GBK" w:cs="Times New Roman"/>
          <w:color w:val="000000"/>
          <w:sz w:val="32"/>
          <w:szCs w:val="32"/>
        </w:rPr>
        <w:t>万元，较上年决算数减少</w:t>
      </w:r>
      <w:r>
        <w:rPr>
          <w:rFonts w:hint="eastAsia" w:ascii="Times New Roman" w:hAnsi="Times New Roman" w:eastAsia="方正仿宋_GBK" w:cs="Times New Roman"/>
          <w:color w:val="000000"/>
          <w:sz w:val="32"/>
          <w:szCs w:val="32"/>
        </w:rPr>
        <w:t>325.56</w:t>
      </w:r>
      <w:r>
        <w:rPr>
          <w:rFonts w:ascii="Times New Roman" w:hAnsi="Times New Roman" w:eastAsia="方正仿宋_GBK" w:cs="Times New Roman"/>
          <w:color w:val="000000"/>
          <w:sz w:val="32"/>
          <w:szCs w:val="32"/>
        </w:rPr>
        <w:t>万元，下降</w:t>
      </w:r>
      <w:r>
        <w:rPr>
          <w:rFonts w:hint="eastAsia" w:ascii="Times New Roman" w:hAnsi="Times New Roman" w:eastAsia="方正仿宋_GBK" w:cs="Times New Roman"/>
          <w:color w:val="000000"/>
          <w:sz w:val="32"/>
          <w:szCs w:val="32"/>
        </w:rPr>
        <w:t>5.3</w:t>
      </w:r>
      <w:r>
        <w:rPr>
          <w:rFonts w:ascii="Times New Roman" w:hAnsi="Times New Roman" w:eastAsia="方正仿宋_GBK" w:cs="Times New Roman"/>
          <w:color w:val="000000"/>
          <w:sz w:val="32"/>
          <w:szCs w:val="32"/>
        </w:rPr>
        <w:t>%。主要原因是</w:t>
      </w:r>
      <w:r>
        <w:rPr>
          <w:rFonts w:hint="eastAsia" w:ascii="Times New Roman" w:hAnsi="Times New Roman" w:eastAsia="方正仿宋_GBK" w:cs="Times New Roman"/>
          <w:color w:val="000000"/>
          <w:sz w:val="32"/>
          <w:szCs w:val="32"/>
        </w:rPr>
        <w:t>人员及</w:t>
      </w:r>
      <w:r>
        <w:rPr>
          <w:rFonts w:ascii="Times New Roman" w:hAnsi="Times New Roman" w:eastAsia="方正仿宋_GBK" w:cs="Times New Roman"/>
          <w:color w:val="000000"/>
          <w:sz w:val="32"/>
          <w:szCs w:val="32"/>
        </w:rPr>
        <w:t>项目资金预算减少。较年初预算数增加</w:t>
      </w:r>
      <w:r>
        <w:rPr>
          <w:rFonts w:hint="eastAsia" w:ascii="Times New Roman" w:hAnsi="Times New Roman" w:eastAsia="方正仿宋_GBK" w:cs="Times New Roman"/>
          <w:color w:val="000000"/>
          <w:sz w:val="32"/>
          <w:szCs w:val="32"/>
        </w:rPr>
        <w:t>745.46</w:t>
      </w:r>
      <w:r>
        <w:rPr>
          <w:rFonts w:ascii="Times New Roman" w:hAnsi="Times New Roman" w:eastAsia="方正仿宋_GBK" w:cs="Times New Roman"/>
          <w:color w:val="000000"/>
          <w:sz w:val="32"/>
          <w:szCs w:val="32"/>
        </w:rPr>
        <w:t>万元，增长</w:t>
      </w:r>
      <w:r>
        <w:rPr>
          <w:rFonts w:hint="eastAsia" w:ascii="Times New Roman" w:hAnsi="Times New Roman" w:eastAsia="方正仿宋_GBK" w:cs="Times New Roman"/>
          <w:color w:val="000000"/>
          <w:sz w:val="32"/>
          <w:szCs w:val="32"/>
        </w:rPr>
        <w:t>14.6</w:t>
      </w:r>
      <w:r>
        <w:rPr>
          <w:rFonts w:ascii="Times New Roman" w:hAnsi="Times New Roman" w:eastAsia="方正仿宋_GBK" w:cs="Times New Roman"/>
          <w:color w:val="000000"/>
          <w:sz w:val="32"/>
          <w:szCs w:val="32"/>
        </w:rPr>
        <w:t>%。主要原因是高中教育发展经费</w:t>
      </w:r>
      <w:r>
        <w:rPr>
          <w:rFonts w:hint="eastAsia" w:ascii="Times New Roman" w:hAnsi="Times New Roman" w:eastAsia="方正仿宋_GBK" w:cs="Times New Roman"/>
          <w:color w:val="000000"/>
          <w:sz w:val="32"/>
          <w:szCs w:val="32"/>
        </w:rPr>
        <w:t>，学生助学金，部门项目，</w:t>
      </w:r>
      <w:r>
        <w:rPr>
          <w:rFonts w:ascii="Times New Roman" w:hAnsi="Times New Roman" w:eastAsia="方正仿宋_GBK" w:cs="Times New Roman"/>
          <w:color w:val="000000"/>
          <w:sz w:val="32"/>
          <w:szCs w:val="32"/>
        </w:rPr>
        <w:t>人员工资等调整预算。此外，年初财政拨款结转和结余</w:t>
      </w:r>
      <w:r>
        <w:rPr>
          <w:rFonts w:hint="eastAsia" w:ascii="Times New Roman" w:hAnsi="Times New Roman" w:eastAsia="方正仿宋_GBK" w:cs="Times New Roman"/>
          <w:color w:val="000000"/>
          <w:sz w:val="32"/>
          <w:szCs w:val="32"/>
        </w:rPr>
        <w:t>4.84</w:t>
      </w:r>
      <w:r>
        <w:rPr>
          <w:rFonts w:ascii="Times New Roman" w:hAnsi="Times New Roman" w:eastAsia="方正仿宋_GBK" w:cs="Times New Roman"/>
          <w:color w:val="000000"/>
          <w:sz w:val="32"/>
          <w:szCs w:val="32"/>
        </w:rPr>
        <w:t>万元。</w:t>
      </w:r>
    </w:p>
    <w:p>
      <w:pPr>
        <w:spacing w:line="560" w:lineRule="exact"/>
        <w:ind w:firstLine="645"/>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rPr>
        <w:t>支出情况。</w:t>
      </w:r>
      <w:r>
        <w:rPr>
          <w:rFonts w:ascii="Times New Roman" w:hAnsi="Times New Roman" w:eastAsia="方正仿宋_GBK" w:cs="Times New Roman"/>
          <w:color w:val="000000"/>
          <w:sz w:val="32"/>
          <w:szCs w:val="32"/>
        </w:rPr>
        <w:t>20</w:t>
      </w:r>
      <w:r>
        <w:rPr>
          <w:rFonts w:hint="eastAsia" w:ascii="Times New Roman" w:hAnsi="Times New Roman" w:eastAsia="方正仿宋_GBK" w:cs="Times New Roman"/>
          <w:color w:val="000000"/>
          <w:sz w:val="32"/>
          <w:szCs w:val="32"/>
        </w:rPr>
        <w:t>22</w:t>
      </w:r>
      <w:r>
        <w:rPr>
          <w:rFonts w:ascii="Times New Roman" w:hAnsi="Times New Roman" w:eastAsia="方正仿宋_GBK" w:cs="Times New Roman"/>
          <w:color w:val="000000"/>
          <w:sz w:val="32"/>
          <w:szCs w:val="32"/>
        </w:rPr>
        <w:t>年度一般公共预算财政拨款支出</w:t>
      </w:r>
      <w:r>
        <w:rPr>
          <w:rFonts w:hint="eastAsia" w:ascii="Times New Roman" w:hAnsi="Times New Roman" w:eastAsia="方正仿宋_GBK" w:cs="Times New Roman"/>
          <w:color w:val="000000"/>
          <w:sz w:val="32"/>
          <w:szCs w:val="32"/>
        </w:rPr>
        <w:t>5846.3</w:t>
      </w:r>
      <w:r>
        <w:rPr>
          <w:rFonts w:ascii="Times New Roman" w:hAnsi="Times New Roman" w:eastAsia="方正仿宋_GBK" w:cs="Times New Roman"/>
          <w:color w:val="000000"/>
          <w:sz w:val="32"/>
          <w:szCs w:val="32"/>
        </w:rPr>
        <w:t>万元，较上年决算数</w:t>
      </w:r>
      <w:r>
        <w:rPr>
          <w:rFonts w:hint="eastAsia" w:ascii="Times New Roman" w:hAnsi="Times New Roman" w:eastAsia="方正仿宋_GBK" w:cs="Times New Roman"/>
          <w:color w:val="000000"/>
          <w:sz w:val="32"/>
          <w:szCs w:val="32"/>
        </w:rPr>
        <w:t>减少808.99</w:t>
      </w:r>
      <w:r>
        <w:rPr>
          <w:rFonts w:ascii="Times New Roman" w:hAnsi="Times New Roman" w:eastAsia="方正仿宋_GBK" w:cs="Times New Roman"/>
          <w:color w:val="000000"/>
          <w:sz w:val="32"/>
          <w:szCs w:val="32"/>
        </w:rPr>
        <w:t>万元，</w:t>
      </w:r>
      <w:r>
        <w:rPr>
          <w:rFonts w:hint="eastAsia" w:ascii="Times New Roman" w:hAnsi="Times New Roman" w:eastAsia="方正仿宋_GBK" w:cs="Times New Roman"/>
          <w:color w:val="000000"/>
          <w:sz w:val="32"/>
          <w:szCs w:val="32"/>
        </w:rPr>
        <w:t>减少12.2</w:t>
      </w:r>
      <w:r>
        <w:rPr>
          <w:rFonts w:ascii="Times New Roman" w:hAnsi="Times New Roman" w:eastAsia="方正仿宋_GBK" w:cs="Times New Roman"/>
          <w:color w:val="000000"/>
          <w:sz w:val="32"/>
          <w:szCs w:val="32"/>
        </w:rPr>
        <w:t>%。主要原因是</w:t>
      </w:r>
      <w:r>
        <w:rPr>
          <w:rFonts w:hint="eastAsia" w:ascii="Times New Roman" w:hAnsi="Times New Roman" w:eastAsia="方正仿宋_GBK" w:cs="Times New Roman"/>
          <w:color w:val="000000"/>
          <w:sz w:val="32"/>
          <w:szCs w:val="32"/>
        </w:rPr>
        <w:t>人员及</w:t>
      </w:r>
      <w:r>
        <w:rPr>
          <w:rFonts w:ascii="Times New Roman" w:hAnsi="Times New Roman" w:eastAsia="方正仿宋_GBK" w:cs="Times New Roman"/>
          <w:color w:val="000000"/>
          <w:sz w:val="32"/>
          <w:szCs w:val="32"/>
        </w:rPr>
        <w:t>项目</w:t>
      </w:r>
      <w:r>
        <w:rPr>
          <w:rFonts w:hint="eastAsia" w:ascii="Times New Roman" w:hAnsi="Times New Roman" w:eastAsia="方正仿宋_GBK" w:cs="Times New Roman"/>
          <w:color w:val="000000"/>
          <w:sz w:val="32"/>
          <w:szCs w:val="32"/>
        </w:rPr>
        <w:t>基本支出</w:t>
      </w:r>
      <w:r>
        <w:rPr>
          <w:rFonts w:ascii="Times New Roman" w:hAnsi="Times New Roman" w:eastAsia="方正仿宋_GBK" w:cs="Times New Roman"/>
          <w:color w:val="000000"/>
          <w:sz w:val="32"/>
          <w:szCs w:val="32"/>
        </w:rPr>
        <w:t>资金预算减少。较年初预算数增加</w:t>
      </w:r>
      <w:r>
        <w:rPr>
          <w:rFonts w:hint="eastAsia" w:ascii="Times New Roman" w:hAnsi="Times New Roman" w:eastAsia="方正仿宋_GBK" w:cs="Times New Roman"/>
          <w:color w:val="000000"/>
          <w:sz w:val="32"/>
          <w:szCs w:val="32"/>
        </w:rPr>
        <w:t>750.3</w:t>
      </w:r>
      <w:r>
        <w:rPr>
          <w:rFonts w:ascii="Times New Roman" w:hAnsi="Times New Roman" w:eastAsia="方正仿宋_GBK" w:cs="Times New Roman"/>
          <w:color w:val="000000"/>
          <w:sz w:val="32"/>
          <w:szCs w:val="32"/>
        </w:rPr>
        <w:t>万元，增长</w:t>
      </w:r>
      <w:r>
        <w:rPr>
          <w:rFonts w:hint="eastAsia" w:ascii="Times New Roman" w:hAnsi="Times New Roman" w:eastAsia="方正仿宋_GBK" w:cs="Times New Roman"/>
          <w:color w:val="000000"/>
          <w:sz w:val="32"/>
          <w:szCs w:val="32"/>
        </w:rPr>
        <w:t>14.7</w:t>
      </w:r>
      <w:r>
        <w:rPr>
          <w:rFonts w:ascii="Times New Roman" w:hAnsi="Times New Roman" w:eastAsia="方正仿宋_GBK" w:cs="Times New Roman"/>
          <w:color w:val="000000"/>
          <w:sz w:val="32"/>
          <w:szCs w:val="32"/>
        </w:rPr>
        <w:t>%。主要原因是高中教育发展经费</w:t>
      </w:r>
      <w:r>
        <w:rPr>
          <w:rFonts w:hint="eastAsia" w:ascii="Times New Roman" w:hAnsi="Times New Roman" w:eastAsia="方正仿宋_GBK" w:cs="Times New Roman"/>
          <w:color w:val="000000"/>
          <w:sz w:val="32"/>
          <w:szCs w:val="32"/>
        </w:rPr>
        <w:t>，学生助学金，部门项目，</w:t>
      </w:r>
      <w:r>
        <w:rPr>
          <w:rFonts w:ascii="Times New Roman" w:hAnsi="Times New Roman" w:eastAsia="方正仿宋_GBK" w:cs="Times New Roman"/>
          <w:color w:val="000000"/>
          <w:sz w:val="32"/>
          <w:szCs w:val="32"/>
        </w:rPr>
        <w:t>人员工资等调整预算</w:t>
      </w:r>
    </w:p>
    <w:p>
      <w:pPr>
        <w:spacing w:line="560" w:lineRule="exact"/>
        <w:ind w:firstLine="645"/>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rPr>
        <w:t>结转结余情况。</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年度年末一般公共预算财政拨款结转和结余</w:t>
      </w:r>
      <w:r>
        <w:rPr>
          <w:rFonts w:hint="eastAsia" w:ascii="Times New Roman" w:hAnsi="Times New Roman" w:eastAsia="方正仿宋_GBK" w:cs="Times New Roman"/>
          <w:color w:val="000000"/>
          <w:sz w:val="32"/>
          <w:szCs w:val="32"/>
        </w:rPr>
        <w:t>0</w:t>
      </w:r>
      <w:r>
        <w:rPr>
          <w:rFonts w:ascii="Times New Roman" w:hAnsi="Times New Roman" w:eastAsia="方正仿宋_GBK" w:cs="Times New Roman"/>
          <w:color w:val="000000"/>
          <w:sz w:val="32"/>
          <w:szCs w:val="32"/>
        </w:rPr>
        <w:t>万元，较上年决算数减少</w:t>
      </w:r>
      <w:r>
        <w:rPr>
          <w:rFonts w:hint="eastAsia" w:ascii="Times New Roman" w:hAnsi="Times New Roman" w:eastAsia="方正仿宋_GBK" w:cs="Times New Roman"/>
          <w:color w:val="000000"/>
          <w:sz w:val="32"/>
          <w:szCs w:val="32"/>
        </w:rPr>
        <w:t>4.84</w:t>
      </w:r>
      <w:r>
        <w:rPr>
          <w:rFonts w:ascii="Times New Roman" w:hAnsi="Times New Roman" w:eastAsia="方正仿宋_GBK" w:cs="Times New Roman"/>
          <w:color w:val="000000"/>
          <w:sz w:val="32"/>
          <w:szCs w:val="32"/>
        </w:rPr>
        <w:t>万元，下降</w:t>
      </w:r>
      <w:r>
        <w:rPr>
          <w:rFonts w:hint="eastAsia" w:ascii="Times New Roman" w:hAnsi="Times New Roman" w:eastAsia="方正仿宋_GBK" w:cs="Times New Roman"/>
          <w:color w:val="000000"/>
          <w:sz w:val="32"/>
          <w:szCs w:val="32"/>
        </w:rPr>
        <w:t>100.0</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基本及项目支出已按进度执行支付。</w:t>
      </w:r>
    </w:p>
    <w:p>
      <w:pPr>
        <w:spacing w:line="560" w:lineRule="exact"/>
        <w:ind w:firstLine="645"/>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w:t>
      </w:r>
      <w:r>
        <w:rPr>
          <w:rFonts w:hint="eastAsia" w:ascii="Times New Roman" w:hAnsi="Times New Roman" w:eastAsia="方正仿宋_GBK" w:cs="Times New Roman"/>
          <w:color w:val="000000"/>
          <w:sz w:val="32"/>
          <w:szCs w:val="32"/>
        </w:rPr>
        <w:t>比较情况。本部门2022年度一般公共预算财政拨款支出主要用于以下几个方面：</w:t>
      </w:r>
    </w:p>
    <w:p>
      <w:pPr>
        <w:spacing w:line="560" w:lineRule="exact"/>
        <w:ind w:firstLine="645"/>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本部门202</w:t>
      </w: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年度一般公共预算财政拨款支出主要用于以下几个方面：</w:t>
      </w:r>
    </w:p>
    <w:p>
      <w:pPr>
        <w:spacing w:line="560" w:lineRule="exact"/>
        <w:ind w:firstLine="645"/>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（1）一般公共服务支出</w:t>
      </w:r>
      <w:r>
        <w:rPr>
          <w:rFonts w:hint="eastAsia" w:ascii="Times New Roman" w:hAnsi="Times New Roman" w:eastAsia="方正仿宋_GBK" w:cs="Times New Roman"/>
          <w:color w:val="000000"/>
          <w:sz w:val="32"/>
          <w:szCs w:val="32"/>
        </w:rPr>
        <w:t>22.84</w:t>
      </w:r>
      <w:r>
        <w:rPr>
          <w:rFonts w:ascii="Times New Roman" w:hAnsi="Times New Roman" w:eastAsia="方正仿宋_GBK" w:cs="Times New Roman"/>
          <w:color w:val="000000"/>
          <w:sz w:val="32"/>
          <w:szCs w:val="32"/>
        </w:rPr>
        <w:t>万元，占0.</w:t>
      </w:r>
      <w:r>
        <w:rPr>
          <w:rFonts w:hint="eastAsia" w:ascii="Times New Roman" w:hAnsi="Times New Roman" w:eastAsia="方正仿宋_GBK" w:cs="Times New Roman"/>
          <w:color w:val="000000"/>
          <w:sz w:val="32"/>
          <w:szCs w:val="32"/>
        </w:rPr>
        <w:t>4</w:t>
      </w:r>
      <w:r>
        <w:rPr>
          <w:rFonts w:ascii="Times New Roman" w:hAnsi="Times New Roman" w:eastAsia="方正仿宋_GBK" w:cs="Times New Roman"/>
          <w:color w:val="000000"/>
          <w:sz w:val="32"/>
          <w:szCs w:val="32"/>
        </w:rPr>
        <w:t>%，较年初预算数增加0.00万元，增长0</w:t>
      </w:r>
      <w:r>
        <w:rPr>
          <w:rFonts w:hint="eastAsia" w:ascii="Times New Roman" w:hAnsi="Times New Roman" w:eastAsia="方正仿宋_GBK" w:cs="Times New Roman"/>
          <w:color w:val="000000"/>
          <w:sz w:val="32"/>
          <w:szCs w:val="32"/>
        </w:rPr>
        <w:t>.0</w:t>
      </w:r>
      <w:r>
        <w:rPr>
          <w:rFonts w:ascii="Times New Roman" w:hAnsi="Times New Roman" w:eastAsia="方正仿宋_GBK" w:cs="Times New Roman"/>
          <w:color w:val="000000"/>
          <w:sz w:val="32"/>
          <w:szCs w:val="32"/>
        </w:rPr>
        <w:t>%，主要原因是</w:t>
      </w:r>
      <w:r>
        <w:rPr>
          <w:rFonts w:hint="eastAsia" w:ascii="Times New Roman" w:hAnsi="Times New Roman" w:eastAsia="方正仿宋_GBK" w:cs="Times New Roman"/>
          <w:color w:val="000000"/>
          <w:sz w:val="32"/>
          <w:szCs w:val="32"/>
        </w:rPr>
        <w:t>无</w:t>
      </w:r>
      <w:r>
        <w:rPr>
          <w:rFonts w:ascii="Times New Roman" w:hAnsi="Times New Roman" w:eastAsia="方正仿宋_GBK" w:cs="Times New Roman"/>
          <w:color w:val="000000"/>
          <w:sz w:val="32"/>
          <w:szCs w:val="32"/>
        </w:rPr>
        <w:t>预算调整</w:t>
      </w:r>
      <w:r>
        <w:rPr>
          <w:rFonts w:hint="eastAsia" w:ascii="Times New Roman" w:hAnsi="Times New Roman" w:eastAsia="方正仿宋_GBK" w:cs="Times New Roman"/>
          <w:color w:val="000000"/>
          <w:sz w:val="32"/>
          <w:szCs w:val="32"/>
        </w:rPr>
        <w:t>情况</w:t>
      </w:r>
      <w:r>
        <w:rPr>
          <w:rFonts w:ascii="Times New Roman" w:hAnsi="Times New Roman" w:eastAsia="方正仿宋_GBK" w:cs="Times New Roman"/>
          <w:color w:val="000000"/>
          <w:sz w:val="32"/>
          <w:szCs w:val="32"/>
        </w:rPr>
        <w:t>。</w:t>
      </w:r>
    </w:p>
    <w:p>
      <w:pPr>
        <w:spacing w:line="560" w:lineRule="exact"/>
        <w:ind w:firstLine="645"/>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（2）教育支出</w:t>
      </w:r>
      <w:r>
        <w:rPr>
          <w:rFonts w:hint="eastAsia" w:ascii="Times New Roman" w:hAnsi="Times New Roman" w:eastAsia="方正仿宋_GBK" w:cs="Times New Roman"/>
          <w:color w:val="000000"/>
          <w:sz w:val="32"/>
          <w:szCs w:val="32"/>
        </w:rPr>
        <w:t>4730.44</w:t>
      </w:r>
      <w:r>
        <w:rPr>
          <w:rFonts w:ascii="Times New Roman" w:hAnsi="Times New Roman" w:eastAsia="方正仿宋_GBK" w:cs="Times New Roman"/>
          <w:color w:val="000000"/>
          <w:sz w:val="32"/>
          <w:szCs w:val="32"/>
        </w:rPr>
        <w:t>万元，占</w:t>
      </w:r>
      <w:r>
        <w:rPr>
          <w:rFonts w:hint="eastAsia" w:ascii="Times New Roman" w:hAnsi="Times New Roman" w:eastAsia="方正仿宋_GBK" w:cs="Times New Roman"/>
          <w:color w:val="000000"/>
          <w:sz w:val="32"/>
          <w:szCs w:val="32"/>
        </w:rPr>
        <w:t>80.9</w:t>
      </w:r>
      <w:r>
        <w:rPr>
          <w:rFonts w:ascii="Times New Roman" w:hAnsi="Times New Roman" w:eastAsia="方正仿宋_GBK" w:cs="Times New Roman"/>
          <w:color w:val="000000"/>
          <w:sz w:val="32"/>
          <w:szCs w:val="32"/>
        </w:rPr>
        <w:t>%，较年初预算数增加</w:t>
      </w:r>
      <w:r>
        <w:rPr>
          <w:rFonts w:hint="eastAsia" w:ascii="Times New Roman" w:hAnsi="Times New Roman" w:eastAsia="方正仿宋_GBK" w:cs="Times New Roman"/>
          <w:color w:val="000000"/>
          <w:sz w:val="32"/>
          <w:szCs w:val="32"/>
        </w:rPr>
        <w:t>744.9</w:t>
      </w:r>
      <w:r>
        <w:rPr>
          <w:rFonts w:ascii="Times New Roman" w:hAnsi="Times New Roman" w:eastAsia="方正仿宋_GBK" w:cs="Times New Roman"/>
          <w:color w:val="000000"/>
          <w:sz w:val="32"/>
          <w:szCs w:val="32"/>
        </w:rPr>
        <w:t>万元，增长</w:t>
      </w:r>
      <w:r>
        <w:rPr>
          <w:rFonts w:hint="eastAsia" w:ascii="Times New Roman" w:hAnsi="Times New Roman" w:eastAsia="方正仿宋_GBK" w:cs="Times New Roman"/>
          <w:color w:val="000000"/>
          <w:sz w:val="32"/>
          <w:szCs w:val="32"/>
        </w:rPr>
        <w:t>18.7</w:t>
      </w:r>
      <w:r>
        <w:rPr>
          <w:rFonts w:ascii="Times New Roman" w:hAnsi="Times New Roman" w:eastAsia="方正仿宋_GBK" w:cs="Times New Roman"/>
          <w:color w:val="000000"/>
          <w:sz w:val="32"/>
          <w:szCs w:val="32"/>
        </w:rPr>
        <w:t>%，主要原因是学生资助、人员工资等支出有预算调整。</w:t>
      </w:r>
    </w:p>
    <w:p>
      <w:pPr>
        <w:spacing w:line="560" w:lineRule="exact"/>
        <w:ind w:firstLine="645"/>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（3）社会保障与就业支出</w:t>
      </w:r>
      <w:r>
        <w:rPr>
          <w:rFonts w:hint="eastAsia" w:ascii="Times New Roman" w:hAnsi="Times New Roman" w:eastAsia="方正仿宋_GBK" w:cs="Times New Roman"/>
          <w:color w:val="000000"/>
          <w:sz w:val="32"/>
          <w:szCs w:val="32"/>
        </w:rPr>
        <w:t>561.41</w:t>
      </w:r>
      <w:r>
        <w:rPr>
          <w:rFonts w:ascii="Times New Roman" w:hAnsi="Times New Roman" w:eastAsia="方正仿宋_GBK" w:cs="Times New Roman"/>
          <w:color w:val="000000"/>
          <w:sz w:val="32"/>
          <w:szCs w:val="32"/>
        </w:rPr>
        <w:t>万元，占</w:t>
      </w:r>
      <w:r>
        <w:rPr>
          <w:rFonts w:hint="eastAsia" w:ascii="Times New Roman" w:hAnsi="Times New Roman" w:eastAsia="方正仿宋_GBK" w:cs="Times New Roman"/>
          <w:color w:val="000000"/>
          <w:sz w:val="32"/>
          <w:szCs w:val="32"/>
        </w:rPr>
        <w:t>9.6</w:t>
      </w:r>
      <w:r>
        <w:rPr>
          <w:rFonts w:ascii="Times New Roman" w:hAnsi="Times New Roman" w:eastAsia="方正仿宋_GBK" w:cs="Times New Roman"/>
          <w:color w:val="000000"/>
          <w:sz w:val="32"/>
          <w:szCs w:val="32"/>
        </w:rPr>
        <w:t>%，较年初预算数</w:t>
      </w:r>
      <w:r>
        <w:rPr>
          <w:rFonts w:hint="eastAsia" w:ascii="Times New Roman" w:hAnsi="Times New Roman" w:eastAsia="方正仿宋_GBK" w:cs="Times New Roman"/>
          <w:color w:val="000000"/>
          <w:sz w:val="32"/>
          <w:szCs w:val="32"/>
        </w:rPr>
        <w:t>减少4.6</w:t>
      </w:r>
      <w:r>
        <w:rPr>
          <w:rFonts w:ascii="Times New Roman" w:hAnsi="Times New Roman" w:eastAsia="方正仿宋_GBK" w:cs="Times New Roman"/>
          <w:color w:val="000000"/>
          <w:sz w:val="32"/>
          <w:szCs w:val="32"/>
        </w:rPr>
        <w:t>万元，</w:t>
      </w:r>
      <w:r>
        <w:rPr>
          <w:rFonts w:hint="eastAsia" w:ascii="Times New Roman" w:hAnsi="Times New Roman" w:eastAsia="方正仿宋_GBK" w:cs="Times New Roman"/>
          <w:color w:val="000000"/>
          <w:sz w:val="32"/>
          <w:szCs w:val="32"/>
        </w:rPr>
        <w:t>减少</w:t>
      </w:r>
      <w:r>
        <w:rPr>
          <w:rFonts w:ascii="Times New Roman" w:hAnsi="Times New Roman" w:eastAsia="方正仿宋_GBK" w:cs="Times New Roman"/>
          <w:color w:val="000000"/>
          <w:sz w:val="32"/>
          <w:szCs w:val="32"/>
        </w:rPr>
        <w:t>0</w:t>
      </w:r>
      <w:r>
        <w:rPr>
          <w:rFonts w:hint="eastAsia" w:ascii="Times New Roman" w:hAnsi="Times New Roman" w:eastAsia="方正仿宋_GBK" w:cs="Times New Roman"/>
          <w:color w:val="000000"/>
          <w:sz w:val="32"/>
          <w:szCs w:val="32"/>
        </w:rPr>
        <w:t>.1</w:t>
      </w:r>
      <w:r>
        <w:rPr>
          <w:rFonts w:ascii="Times New Roman" w:hAnsi="Times New Roman" w:eastAsia="方正仿宋_GBK" w:cs="Times New Roman"/>
          <w:color w:val="000000"/>
          <w:sz w:val="32"/>
          <w:szCs w:val="32"/>
        </w:rPr>
        <w:t>%，主要原因</w:t>
      </w:r>
      <w:r>
        <w:rPr>
          <w:rFonts w:hint="eastAsia" w:ascii="Times New Roman" w:hAnsi="Times New Roman" w:eastAsia="方正仿宋_GBK" w:cs="Times New Roman"/>
          <w:color w:val="000000"/>
          <w:sz w:val="32"/>
          <w:szCs w:val="32"/>
        </w:rPr>
        <w:t>是调整减少了退休健康</w:t>
      </w:r>
      <w:bookmarkStart w:id="0" w:name="_GoBack"/>
      <w:bookmarkEnd w:id="0"/>
      <w:r>
        <w:rPr>
          <w:rFonts w:hint="eastAsia" w:ascii="Times New Roman" w:hAnsi="Times New Roman" w:eastAsia="方正仿宋_GBK" w:cs="Times New Roman"/>
          <w:color w:val="000000"/>
          <w:sz w:val="32"/>
          <w:szCs w:val="32"/>
          <w:lang w:eastAsia="zh-CN"/>
        </w:rPr>
        <w:t>休养</w:t>
      </w:r>
      <w:r>
        <w:rPr>
          <w:rFonts w:hint="eastAsia" w:ascii="Times New Roman" w:hAnsi="Times New Roman" w:eastAsia="方正仿宋_GBK" w:cs="Times New Roman"/>
          <w:color w:val="000000"/>
          <w:sz w:val="32"/>
          <w:szCs w:val="32"/>
        </w:rPr>
        <w:t>费4.6万元</w:t>
      </w:r>
      <w:r>
        <w:rPr>
          <w:rFonts w:ascii="Times New Roman" w:hAnsi="Times New Roman" w:eastAsia="方正仿宋_GBK" w:cs="Times New Roman"/>
          <w:color w:val="000000"/>
          <w:sz w:val="32"/>
          <w:szCs w:val="32"/>
        </w:rPr>
        <w:t>。</w:t>
      </w:r>
    </w:p>
    <w:p>
      <w:pPr>
        <w:spacing w:line="560" w:lineRule="exact"/>
        <w:ind w:firstLine="645"/>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（4）卫生健康支出</w:t>
      </w:r>
      <w:r>
        <w:rPr>
          <w:rFonts w:hint="eastAsia" w:ascii="Times New Roman" w:hAnsi="Times New Roman" w:eastAsia="方正仿宋_GBK" w:cs="Times New Roman"/>
          <w:color w:val="000000"/>
          <w:sz w:val="32"/>
          <w:szCs w:val="32"/>
        </w:rPr>
        <w:t>240.94</w:t>
      </w:r>
      <w:r>
        <w:rPr>
          <w:rFonts w:ascii="Times New Roman" w:hAnsi="Times New Roman" w:eastAsia="方正仿宋_GBK" w:cs="Times New Roman"/>
          <w:color w:val="000000"/>
          <w:sz w:val="32"/>
          <w:szCs w:val="32"/>
        </w:rPr>
        <w:t>万元，占</w:t>
      </w:r>
      <w:r>
        <w:rPr>
          <w:rFonts w:hint="eastAsia" w:ascii="Times New Roman" w:hAnsi="Times New Roman" w:eastAsia="方正仿宋_GBK" w:cs="Times New Roman"/>
          <w:color w:val="000000"/>
          <w:sz w:val="32"/>
          <w:szCs w:val="32"/>
        </w:rPr>
        <w:t>4.1%</w:t>
      </w:r>
      <w:r>
        <w:rPr>
          <w:rFonts w:ascii="Times New Roman" w:hAnsi="Times New Roman" w:eastAsia="方正仿宋_GBK" w:cs="Times New Roman"/>
          <w:color w:val="000000"/>
          <w:sz w:val="32"/>
          <w:szCs w:val="32"/>
        </w:rPr>
        <w:t>，较年初预算数增加0.00万元，增长0</w:t>
      </w:r>
      <w:r>
        <w:rPr>
          <w:rFonts w:hint="eastAsia" w:ascii="Times New Roman" w:hAnsi="Times New Roman" w:eastAsia="方正仿宋_GBK" w:cs="Times New Roman"/>
          <w:color w:val="000000"/>
          <w:sz w:val="32"/>
          <w:szCs w:val="32"/>
        </w:rPr>
        <w:t>.0</w:t>
      </w:r>
      <w:r>
        <w:rPr>
          <w:rFonts w:ascii="Times New Roman" w:hAnsi="Times New Roman" w:eastAsia="方正仿宋_GBK" w:cs="Times New Roman"/>
          <w:color w:val="000000"/>
          <w:sz w:val="32"/>
          <w:szCs w:val="32"/>
        </w:rPr>
        <w:t>%，主要原因是</w:t>
      </w:r>
      <w:r>
        <w:rPr>
          <w:rFonts w:hint="eastAsia" w:ascii="Times New Roman" w:hAnsi="Times New Roman" w:eastAsia="方正仿宋_GBK" w:cs="Times New Roman"/>
          <w:color w:val="000000"/>
          <w:sz w:val="32"/>
          <w:szCs w:val="32"/>
        </w:rPr>
        <w:t>无</w:t>
      </w:r>
      <w:r>
        <w:rPr>
          <w:rFonts w:ascii="Times New Roman" w:hAnsi="Times New Roman" w:eastAsia="方正仿宋_GBK" w:cs="Times New Roman"/>
          <w:color w:val="000000"/>
          <w:sz w:val="32"/>
          <w:szCs w:val="32"/>
        </w:rPr>
        <w:t>预算调整</w:t>
      </w:r>
      <w:r>
        <w:rPr>
          <w:rFonts w:hint="eastAsia" w:ascii="Times New Roman" w:hAnsi="Times New Roman" w:eastAsia="方正仿宋_GBK" w:cs="Times New Roman"/>
          <w:color w:val="000000"/>
          <w:sz w:val="32"/>
          <w:szCs w:val="32"/>
        </w:rPr>
        <w:t>情况</w:t>
      </w:r>
      <w:r>
        <w:rPr>
          <w:rFonts w:ascii="Times New Roman" w:hAnsi="Times New Roman" w:eastAsia="方正仿宋_GBK" w:cs="Times New Roman"/>
          <w:color w:val="000000"/>
          <w:sz w:val="32"/>
          <w:szCs w:val="32"/>
        </w:rPr>
        <w:t>。</w:t>
      </w:r>
    </w:p>
    <w:p>
      <w:pPr>
        <w:spacing w:line="560" w:lineRule="exact"/>
        <w:ind w:firstLine="645"/>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（5）住房保障支出280.71万元，占4.8%，</w:t>
      </w:r>
      <w:r>
        <w:rPr>
          <w:rFonts w:ascii="Times New Roman" w:hAnsi="Times New Roman" w:eastAsia="方正仿宋_GBK" w:cs="Times New Roman"/>
          <w:color w:val="000000"/>
          <w:sz w:val="32"/>
          <w:szCs w:val="32"/>
        </w:rPr>
        <w:t>较年初预算数增加0.00万元，增长0</w:t>
      </w:r>
      <w:r>
        <w:rPr>
          <w:rFonts w:hint="eastAsia" w:ascii="Times New Roman" w:hAnsi="Times New Roman" w:eastAsia="方正仿宋_GBK" w:cs="Times New Roman"/>
          <w:color w:val="000000"/>
          <w:sz w:val="32"/>
          <w:szCs w:val="32"/>
        </w:rPr>
        <w:t>.0</w:t>
      </w:r>
      <w:r>
        <w:rPr>
          <w:rFonts w:ascii="Times New Roman" w:hAnsi="Times New Roman" w:eastAsia="方正仿宋_GBK" w:cs="Times New Roman"/>
          <w:color w:val="000000"/>
          <w:sz w:val="32"/>
          <w:szCs w:val="32"/>
        </w:rPr>
        <w:t>%，主要原因是</w:t>
      </w:r>
      <w:r>
        <w:rPr>
          <w:rFonts w:hint="eastAsia" w:ascii="Times New Roman" w:hAnsi="Times New Roman" w:eastAsia="方正仿宋_GBK" w:cs="Times New Roman"/>
          <w:color w:val="000000"/>
          <w:sz w:val="32"/>
          <w:szCs w:val="32"/>
        </w:rPr>
        <w:t>无</w:t>
      </w:r>
      <w:r>
        <w:rPr>
          <w:rFonts w:ascii="Times New Roman" w:hAnsi="Times New Roman" w:eastAsia="方正仿宋_GBK" w:cs="Times New Roman"/>
          <w:color w:val="000000"/>
          <w:sz w:val="32"/>
          <w:szCs w:val="32"/>
        </w:rPr>
        <w:t>预算调整</w:t>
      </w:r>
      <w:r>
        <w:rPr>
          <w:rFonts w:hint="eastAsia" w:ascii="Times New Roman" w:hAnsi="Times New Roman" w:eastAsia="方正仿宋_GBK" w:cs="Times New Roman"/>
          <w:color w:val="000000"/>
          <w:sz w:val="32"/>
          <w:szCs w:val="32"/>
        </w:rPr>
        <w:t>情况</w:t>
      </w:r>
      <w:r>
        <w:rPr>
          <w:rFonts w:ascii="Times New Roman" w:hAnsi="Times New Roman" w:eastAsia="方正仿宋_GBK" w:cs="Times New Roman"/>
          <w:color w:val="000000"/>
          <w:sz w:val="32"/>
          <w:szCs w:val="32"/>
        </w:rPr>
        <w:t>。</w:t>
      </w:r>
    </w:p>
    <w:p>
      <w:pPr>
        <w:spacing w:line="560" w:lineRule="exact"/>
        <w:ind w:firstLine="645"/>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（6）文化旅游体育与传媒支出10万元，</w:t>
      </w:r>
      <w:r>
        <w:rPr>
          <w:rFonts w:ascii="Times New Roman" w:hAnsi="Times New Roman" w:eastAsia="方正仿宋_GBK" w:cs="Times New Roman"/>
          <w:color w:val="000000"/>
          <w:sz w:val="32"/>
          <w:szCs w:val="32"/>
        </w:rPr>
        <w:t>占</w:t>
      </w:r>
      <w:r>
        <w:rPr>
          <w:rFonts w:hint="eastAsia" w:ascii="Times New Roman" w:hAnsi="Times New Roman" w:eastAsia="方正仿宋_GBK" w:cs="Times New Roman"/>
          <w:color w:val="000000"/>
          <w:sz w:val="32"/>
          <w:szCs w:val="32"/>
        </w:rPr>
        <w:t>0.2%</w:t>
      </w:r>
      <w:r>
        <w:rPr>
          <w:rFonts w:ascii="Times New Roman" w:hAnsi="Times New Roman" w:eastAsia="方正仿宋_GBK" w:cs="Times New Roman"/>
          <w:color w:val="000000"/>
          <w:sz w:val="32"/>
          <w:szCs w:val="32"/>
        </w:rPr>
        <w:t>，较年初预算数增加</w:t>
      </w:r>
      <w:r>
        <w:rPr>
          <w:rFonts w:hint="eastAsia" w:ascii="Times New Roman" w:hAnsi="Times New Roman" w:eastAsia="方正仿宋_GBK" w:cs="Times New Roman"/>
          <w:color w:val="000000"/>
          <w:sz w:val="32"/>
          <w:szCs w:val="32"/>
        </w:rPr>
        <w:t>10</w:t>
      </w:r>
      <w:r>
        <w:rPr>
          <w:rFonts w:ascii="Times New Roman" w:hAnsi="Times New Roman" w:eastAsia="方正仿宋_GBK" w:cs="Times New Roman"/>
          <w:color w:val="000000"/>
          <w:sz w:val="32"/>
          <w:szCs w:val="32"/>
        </w:rPr>
        <w:t>万元，增长</w:t>
      </w:r>
      <w:r>
        <w:rPr>
          <w:rFonts w:hint="eastAsia" w:ascii="Times New Roman" w:hAnsi="Times New Roman" w:eastAsia="方正仿宋_GBK" w:cs="Times New Roman"/>
          <w:color w:val="000000"/>
          <w:sz w:val="32"/>
          <w:szCs w:val="32"/>
        </w:rPr>
        <w:t>10</w:t>
      </w:r>
      <w:r>
        <w:rPr>
          <w:rFonts w:ascii="Times New Roman" w:hAnsi="Times New Roman" w:eastAsia="方正仿宋_GBK" w:cs="Times New Roman"/>
          <w:color w:val="000000"/>
          <w:sz w:val="32"/>
          <w:szCs w:val="32"/>
        </w:rPr>
        <w:t>0</w:t>
      </w:r>
      <w:r>
        <w:rPr>
          <w:rFonts w:hint="eastAsia" w:ascii="Times New Roman" w:hAnsi="Times New Roman" w:eastAsia="方正仿宋_GBK" w:cs="Times New Roman"/>
          <w:color w:val="000000"/>
          <w:sz w:val="32"/>
          <w:szCs w:val="32"/>
        </w:rPr>
        <w:t>.0</w:t>
      </w:r>
      <w:r>
        <w:rPr>
          <w:rFonts w:ascii="Times New Roman" w:hAnsi="Times New Roman" w:eastAsia="方正仿宋_GBK" w:cs="Times New Roman"/>
          <w:color w:val="000000"/>
          <w:sz w:val="32"/>
          <w:szCs w:val="32"/>
        </w:rPr>
        <w:t>%，主要</w:t>
      </w:r>
      <w:r>
        <w:rPr>
          <w:rFonts w:hint="eastAsia" w:ascii="Times New Roman" w:hAnsi="Times New Roman" w:eastAsia="方正仿宋_GBK" w:cs="Times New Roman"/>
          <w:color w:val="000000"/>
          <w:sz w:val="32"/>
          <w:szCs w:val="32"/>
        </w:rPr>
        <w:t>为项目预算调整，增加2022年公共体育场馆向社会免费或低收费开放项目。</w:t>
      </w:r>
    </w:p>
    <w:p>
      <w:pPr>
        <w:pStyle w:val="4"/>
        <w:widowControl/>
        <w:snapToGrid w:val="0"/>
        <w:spacing w:beforeAutospacing="0" w:afterAutospacing="0" w:line="560" w:lineRule="exact"/>
        <w:ind w:firstLine="640" w:firstLineChars="200"/>
        <w:jc w:val="both"/>
        <w:rPr>
          <w:rFonts w:ascii="方正楷体_GBK" w:hAnsi="Times New Roman" w:eastAsia="方正楷体_GBK"/>
          <w:kern w:val="2"/>
          <w:sz w:val="32"/>
          <w:szCs w:val="32"/>
        </w:rPr>
      </w:pPr>
      <w:r>
        <w:rPr>
          <w:rFonts w:hint="eastAsia" w:ascii="方正楷体_GBK" w:hAnsi="Times New Roman" w:eastAsia="方正楷体_GBK"/>
          <w:kern w:val="2"/>
          <w:sz w:val="32"/>
          <w:szCs w:val="32"/>
        </w:rPr>
        <w:t>（四）一般公共预算财政拨款基本支出决算情况说明</w:t>
      </w:r>
    </w:p>
    <w:p>
      <w:pPr>
        <w:spacing w:line="560" w:lineRule="exact"/>
        <w:ind w:firstLine="645"/>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2022年度一般公共预算财政拨款基本支出4,902.82万元。其中：人员经费4,357.33万元，较上年决算数减少402.58万元，减少8.5%，主要原因是2022年人员绩效预算较2021年减少。人员经费用途主要包括基本工资、津贴补贴、 绩效工资、机关事业单位基本养老保险费，职业年金、职工基本医疗保险缴费、其他社会保障缴费、住房公积金、其他工资  福利支出、离休费、抚恤金、生活补助、奖励金。</w:t>
      </w:r>
    </w:p>
    <w:p>
      <w:pPr>
        <w:spacing w:line="560" w:lineRule="exact"/>
        <w:ind w:firstLine="645"/>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公用经费545.49万元，较上年决算数增加37.49万元，增长7.4%，主要原因是2022年学生人数较2021年增加229人，故公用经费预算增加。公用经费用途主要包括办公费、印刷费、  咨询费、水费、电费、邮电费、物业管理费、差旅费、维修费、 租赁费、会议费、培训费、公务接待费、劳务费、委托业务费、 工会经费、福利费、公务用车运行维护费、其他商品和服务支出。</w:t>
      </w:r>
    </w:p>
    <w:p>
      <w:pPr>
        <w:pStyle w:val="4"/>
        <w:widowControl/>
        <w:snapToGrid w:val="0"/>
        <w:spacing w:beforeAutospacing="0" w:afterAutospacing="0" w:line="560" w:lineRule="exact"/>
        <w:ind w:firstLine="640" w:firstLineChars="200"/>
        <w:jc w:val="both"/>
        <w:rPr>
          <w:rFonts w:ascii="方正楷体_GBK" w:hAnsi="Times New Roman" w:eastAsia="方正楷体_GBK"/>
          <w:kern w:val="2"/>
          <w:sz w:val="32"/>
          <w:szCs w:val="32"/>
        </w:rPr>
      </w:pPr>
      <w:r>
        <w:rPr>
          <w:rFonts w:hint="eastAsia" w:ascii="方正楷体_GBK" w:hAnsi="Times New Roman" w:eastAsia="方正楷体_GBK"/>
          <w:kern w:val="2"/>
          <w:sz w:val="32"/>
          <w:szCs w:val="32"/>
        </w:rPr>
        <w:t>（五）政府性基金预算收支决算情况说明</w:t>
      </w:r>
    </w:p>
    <w:p>
      <w:pPr>
        <w:spacing w:line="560" w:lineRule="exact"/>
        <w:ind w:firstLine="645"/>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本单位</w:t>
      </w:r>
      <w:r>
        <w:rPr>
          <w:rFonts w:ascii="Times New Roman" w:hAnsi="Times New Roman" w:eastAsia="方正仿宋_GBK" w:cs="Times New Roman"/>
          <w:color w:val="000000"/>
          <w:sz w:val="32"/>
          <w:szCs w:val="32"/>
        </w:rPr>
        <w:t>2022</w:t>
      </w:r>
      <w:r>
        <w:rPr>
          <w:rFonts w:hint="eastAsia" w:ascii="Times New Roman" w:hAnsi="Times New Roman" w:eastAsia="方正仿宋_GBK" w:cs="Times New Roman"/>
          <w:color w:val="000000"/>
          <w:sz w:val="32"/>
          <w:szCs w:val="32"/>
        </w:rPr>
        <w:t>年度无政府性基金预算财政拨款收支。</w:t>
      </w:r>
    </w:p>
    <w:p>
      <w:pPr>
        <w:pStyle w:val="4"/>
        <w:widowControl/>
        <w:snapToGrid w:val="0"/>
        <w:spacing w:beforeAutospacing="0" w:afterAutospacing="0" w:line="560" w:lineRule="exact"/>
        <w:ind w:firstLine="640" w:firstLineChars="200"/>
        <w:jc w:val="both"/>
        <w:rPr>
          <w:rFonts w:ascii="方正楷体_GBK" w:hAnsi="Times New Roman" w:eastAsia="方正楷体_GBK"/>
          <w:kern w:val="2"/>
          <w:sz w:val="32"/>
          <w:szCs w:val="32"/>
        </w:rPr>
      </w:pPr>
      <w:r>
        <w:rPr>
          <w:rFonts w:hint="eastAsia" w:ascii="方正楷体_GBK" w:hAnsi="Times New Roman" w:eastAsia="方正楷体_GBK"/>
          <w:kern w:val="2"/>
          <w:sz w:val="32"/>
          <w:szCs w:val="32"/>
        </w:rPr>
        <w:t>（六）国有资本经营预算财政拨款支出决算情况说明</w:t>
      </w:r>
    </w:p>
    <w:p>
      <w:pPr>
        <w:spacing w:line="560" w:lineRule="exact"/>
        <w:ind w:firstLine="645"/>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本单位</w:t>
      </w:r>
      <w:r>
        <w:rPr>
          <w:rFonts w:ascii="Times New Roman" w:hAnsi="Times New Roman" w:eastAsia="方正仿宋_GBK" w:cs="Times New Roman"/>
          <w:color w:val="000000"/>
          <w:sz w:val="32"/>
          <w:szCs w:val="32"/>
        </w:rPr>
        <w:t>2022</w:t>
      </w:r>
      <w:r>
        <w:rPr>
          <w:rFonts w:hint="eastAsia" w:ascii="Times New Roman" w:hAnsi="Times New Roman" w:eastAsia="方正仿宋_GBK" w:cs="Times New Roman"/>
          <w:color w:val="000000"/>
          <w:sz w:val="32"/>
          <w:szCs w:val="32"/>
        </w:rPr>
        <w:t>年度无国有资本经营预算财政拨款支出。</w:t>
      </w:r>
    </w:p>
    <w:p>
      <w:pPr>
        <w:pStyle w:val="8"/>
        <w:spacing w:line="560" w:lineRule="exact"/>
        <w:ind w:left="640" w:firstLine="0" w:firstLineChars="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w:t>
      </w:r>
      <w:r>
        <w:rPr>
          <w:rFonts w:ascii="方正黑体_GBK" w:hAnsi="Times New Roman" w:eastAsia="方正黑体_GBK" w:cs="Times New Roman"/>
          <w:sz w:val="32"/>
          <w:szCs w:val="32"/>
        </w:rPr>
        <w:t>“</w:t>
      </w:r>
      <w:r>
        <w:rPr>
          <w:rFonts w:hint="eastAsia" w:ascii="方正黑体_GBK" w:hAnsi="Times New Roman" w:eastAsia="方正黑体_GBK" w:cs="Times New Roman"/>
          <w:sz w:val="32"/>
          <w:szCs w:val="32"/>
        </w:rPr>
        <w:t>三公</w:t>
      </w:r>
      <w:r>
        <w:rPr>
          <w:rFonts w:ascii="方正黑体_GBK" w:hAnsi="Times New Roman" w:eastAsia="方正黑体_GBK" w:cs="Times New Roman"/>
          <w:sz w:val="32"/>
          <w:szCs w:val="32"/>
        </w:rPr>
        <w:t>”</w:t>
      </w:r>
      <w:r>
        <w:rPr>
          <w:rFonts w:hint="eastAsia" w:ascii="方正黑体_GBK" w:hAnsi="Times New Roman" w:eastAsia="方正黑体_GBK" w:cs="Times New Roman"/>
          <w:sz w:val="32"/>
          <w:szCs w:val="32"/>
        </w:rPr>
        <w:t>经费情况说明</w:t>
      </w:r>
    </w:p>
    <w:p>
      <w:pPr>
        <w:pStyle w:val="4"/>
        <w:widowControl/>
        <w:snapToGrid w:val="0"/>
        <w:spacing w:beforeAutospacing="0" w:afterAutospacing="0" w:line="560" w:lineRule="exact"/>
        <w:ind w:firstLine="640" w:firstLineChars="200"/>
        <w:jc w:val="both"/>
        <w:rPr>
          <w:rFonts w:ascii="方正楷体_GBK" w:hAnsi="Times New Roman" w:eastAsia="方正楷体_GBK"/>
          <w:kern w:val="2"/>
          <w:sz w:val="32"/>
          <w:szCs w:val="32"/>
        </w:rPr>
      </w:pPr>
      <w:r>
        <w:rPr>
          <w:rFonts w:hint="eastAsia" w:ascii="方正楷体_GBK" w:hAnsi="Times New Roman" w:eastAsia="方正楷体_GBK"/>
          <w:kern w:val="2"/>
          <w:sz w:val="32"/>
          <w:szCs w:val="32"/>
        </w:rPr>
        <w:t>（一）</w:t>
      </w:r>
      <w:r>
        <w:rPr>
          <w:rFonts w:ascii="方正楷体_GBK" w:hAnsi="Times New Roman" w:eastAsia="方正楷体_GBK"/>
          <w:kern w:val="2"/>
          <w:sz w:val="32"/>
          <w:szCs w:val="32"/>
        </w:rPr>
        <w:t>“</w:t>
      </w:r>
      <w:r>
        <w:rPr>
          <w:rFonts w:hint="eastAsia" w:ascii="方正楷体_GBK" w:hAnsi="Times New Roman" w:eastAsia="方正楷体_GBK"/>
          <w:kern w:val="2"/>
          <w:sz w:val="32"/>
          <w:szCs w:val="32"/>
        </w:rPr>
        <w:t>三公</w:t>
      </w:r>
      <w:r>
        <w:rPr>
          <w:rFonts w:ascii="方正楷体_GBK" w:hAnsi="Times New Roman" w:eastAsia="方正楷体_GBK"/>
          <w:kern w:val="2"/>
          <w:sz w:val="32"/>
          <w:szCs w:val="32"/>
        </w:rPr>
        <w:t>”</w:t>
      </w:r>
      <w:r>
        <w:rPr>
          <w:rFonts w:hint="eastAsia" w:ascii="方正楷体_GBK" w:hAnsi="Times New Roman" w:eastAsia="方正楷体_GBK"/>
          <w:kern w:val="2"/>
          <w:sz w:val="32"/>
          <w:szCs w:val="32"/>
        </w:rPr>
        <w:t>经费支出总体情况说明</w:t>
      </w:r>
    </w:p>
    <w:p>
      <w:pPr>
        <w:spacing w:line="560" w:lineRule="exact"/>
        <w:ind w:firstLine="645"/>
        <w:rPr>
          <w:rFonts w:ascii="宋体" w:hAnsi="宋体" w:eastAsia="宋体" w:cs="宋体"/>
          <w:kern w:val="0"/>
          <w:sz w:val="24"/>
          <w:shd w:val="clear" w:color="auto" w:fill="FFFFFF"/>
          <w:lang w:bidi="ar"/>
        </w:rPr>
      </w:pPr>
      <w:r>
        <w:rPr>
          <w:rFonts w:hint="eastAsia" w:ascii="Times New Roman" w:hAnsi="Times New Roman" w:eastAsia="方正仿宋_GBK" w:cs="Times New Roman"/>
          <w:color w:val="000000"/>
          <w:sz w:val="32"/>
          <w:szCs w:val="32"/>
        </w:rPr>
        <w:t>2022年度“三公”经费支出共计1.67万元，较年初预算数减少7.33万元，下降81.4%，</w:t>
      </w:r>
      <w:r>
        <w:rPr>
          <w:rFonts w:ascii="Times New Roman" w:hAnsi="Times New Roman" w:eastAsia="方正仿宋_GBK" w:cs="Times New Roman"/>
          <w:color w:val="000000"/>
          <w:sz w:val="32"/>
          <w:szCs w:val="32"/>
        </w:rPr>
        <w:t>主要原因是学校严格执行八项规定，压缩“三公”经费预算支出</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较上年支出数减少</w:t>
      </w:r>
      <w:r>
        <w:rPr>
          <w:rFonts w:hint="eastAsia" w:ascii="Times New Roman" w:hAnsi="Times New Roman" w:eastAsia="方正仿宋_GBK" w:cs="Times New Roman"/>
          <w:color w:val="000000"/>
          <w:sz w:val="32"/>
          <w:szCs w:val="32"/>
        </w:rPr>
        <w:t>1.83</w:t>
      </w:r>
      <w:r>
        <w:rPr>
          <w:rFonts w:ascii="Times New Roman" w:hAnsi="Times New Roman" w:eastAsia="方正仿宋_GBK" w:cs="Times New Roman"/>
          <w:color w:val="000000"/>
          <w:sz w:val="32"/>
          <w:szCs w:val="32"/>
        </w:rPr>
        <w:t>万元，下降</w:t>
      </w:r>
      <w:r>
        <w:rPr>
          <w:rFonts w:hint="eastAsia" w:ascii="Times New Roman" w:hAnsi="Times New Roman" w:eastAsia="方正仿宋_GBK" w:cs="Times New Roman"/>
          <w:color w:val="000000"/>
          <w:sz w:val="32"/>
          <w:szCs w:val="32"/>
        </w:rPr>
        <w:t>52.3</w:t>
      </w:r>
      <w:r>
        <w:rPr>
          <w:rFonts w:ascii="Times New Roman" w:hAnsi="Times New Roman" w:eastAsia="方正仿宋_GBK" w:cs="Times New Roman"/>
          <w:color w:val="000000"/>
          <w:sz w:val="32"/>
          <w:szCs w:val="32"/>
        </w:rPr>
        <w:t>%，主要原因是认真贯彻落实中央八项规定精神，按照只减不增的要求从严控制“三公”经费，学校各个年级、部门的公务接待一律由学校办公室负责统一安排，避免公务接待的随意性。同时，学校强化公务接待支出管理，严格遵守公务接待开支范围和开支标准，严格控制陪餐人数，公务接待费大幅下降。</w:t>
      </w:r>
    </w:p>
    <w:p>
      <w:pPr>
        <w:pStyle w:val="4"/>
        <w:widowControl/>
        <w:snapToGrid w:val="0"/>
        <w:spacing w:beforeAutospacing="0" w:afterAutospacing="0" w:line="560" w:lineRule="exact"/>
        <w:ind w:firstLine="640" w:firstLineChars="200"/>
        <w:jc w:val="both"/>
        <w:rPr>
          <w:rFonts w:ascii="方正楷体_GBK" w:hAnsi="Times New Roman" w:eastAsia="方正楷体_GBK"/>
          <w:kern w:val="2"/>
          <w:sz w:val="32"/>
          <w:szCs w:val="32"/>
        </w:rPr>
      </w:pPr>
      <w:r>
        <w:rPr>
          <w:rFonts w:hint="eastAsia" w:ascii="方正楷体_GBK" w:hAnsi="Times New Roman" w:eastAsia="方正楷体_GBK"/>
          <w:kern w:val="2"/>
          <w:sz w:val="32"/>
          <w:szCs w:val="32"/>
        </w:rPr>
        <w:t>（二）</w:t>
      </w:r>
      <w:r>
        <w:rPr>
          <w:rFonts w:ascii="方正楷体_GBK" w:hAnsi="Times New Roman" w:eastAsia="方正楷体_GBK"/>
          <w:kern w:val="2"/>
          <w:sz w:val="32"/>
          <w:szCs w:val="32"/>
        </w:rPr>
        <w:t>“</w:t>
      </w:r>
      <w:r>
        <w:rPr>
          <w:rFonts w:hint="eastAsia" w:ascii="方正楷体_GBK" w:hAnsi="Times New Roman" w:eastAsia="方正楷体_GBK"/>
          <w:kern w:val="2"/>
          <w:sz w:val="32"/>
          <w:szCs w:val="32"/>
        </w:rPr>
        <w:t>三公</w:t>
      </w:r>
      <w:r>
        <w:rPr>
          <w:rFonts w:ascii="方正楷体_GBK" w:hAnsi="Times New Roman" w:eastAsia="方正楷体_GBK"/>
          <w:kern w:val="2"/>
          <w:sz w:val="32"/>
          <w:szCs w:val="32"/>
        </w:rPr>
        <w:t>”</w:t>
      </w:r>
      <w:r>
        <w:rPr>
          <w:rFonts w:hint="eastAsia" w:ascii="方正楷体_GBK" w:hAnsi="Times New Roman" w:eastAsia="方正楷体_GBK"/>
          <w:kern w:val="2"/>
          <w:sz w:val="32"/>
          <w:szCs w:val="32"/>
        </w:rPr>
        <w:t>经费分项支出情况</w:t>
      </w:r>
    </w:p>
    <w:p>
      <w:pPr>
        <w:pStyle w:val="4"/>
        <w:widowControl/>
        <w:snapToGrid w:val="0"/>
        <w:spacing w:beforeAutospacing="0" w:afterAutospacing="0" w:line="560" w:lineRule="exact"/>
        <w:ind w:firstLine="640" w:firstLineChars="200"/>
        <w:jc w:val="both"/>
        <w:rPr>
          <w:rFonts w:ascii="Times New Roman" w:hAnsi="Times New Roman" w:eastAsia="方正仿宋_GBK"/>
          <w:color w:val="000000"/>
          <w:kern w:val="2"/>
          <w:sz w:val="32"/>
          <w:szCs w:val="32"/>
        </w:rPr>
      </w:pPr>
      <w:r>
        <w:rPr>
          <w:rFonts w:hint="eastAsia" w:ascii="Times New Roman" w:hAnsi="Times New Roman" w:eastAsia="方正仿宋_GBK"/>
          <w:color w:val="000000"/>
          <w:kern w:val="2"/>
          <w:sz w:val="32"/>
          <w:szCs w:val="32"/>
        </w:rPr>
        <w:t>本单位</w:t>
      </w:r>
      <w:r>
        <w:rPr>
          <w:rFonts w:ascii="Times New Roman" w:hAnsi="Times New Roman" w:eastAsia="方正仿宋_GBK"/>
          <w:color w:val="000000"/>
          <w:kern w:val="2"/>
          <w:sz w:val="32"/>
          <w:szCs w:val="32"/>
        </w:rPr>
        <w:t>2022</w:t>
      </w:r>
      <w:r>
        <w:rPr>
          <w:rFonts w:hint="eastAsia" w:ascii="Times New Roman" w:hAnsi="Times New Roman" w:eastAsia="方正仿宋_GBK"/>
          <w:color w:val="000000"/>
          <w:kern w:val="2"/>
          <w:sz w:val="32"/>
          <w:szCs w:val="32"/>
        </w:rPr>
        <w:t>年度未发生因公出国（境）费用支出。</w:t>
      </w:r>
    </w:p>
    <w:p>
      <w:pPr>
        <w:pStyle w:val="4"/>
        <w:widowControl/>
        <w:snapToGrid w:val="0"/>
        <w:spacing w:beforeAutospacing="0" w:afterAutospacing="0" w:line="560" w:lineRule="exact"/>
        <w:ind w:firstLine="640" w:firstLineChars="200"/>
        <w:jc w:val="both"/>
        <w:rPr>
          <w:rFonts w:ascii="Times New Roman" w:hAnsi="Times New Roman" w:eastAsia="方正仿宋_GBK"/>
          <w:color w:val="000000"/>
          <w:kern w:val="2"/>
          <w:sz w:val="32"/>
          <w:szCs w:val="32"/>
        </w:rPr>
      </w:pPr>
      <w:r>
        <w:rPr>
          <w:rFonts w:hint="eastAsia" w:ascii="Times New Roman" w:hAnsi="Times New Roman" w:eastAsia="方正仿宋_GBK"/>
          <w:color w:val="000000"/>
          <w:kern w:val="2"/>
          <w:sz w:val="32"/>
          <w:szCs w:val="32"/>
        </w:rPr>
        <w:t>本单位</w:t>
      </w:r>
      <w:r>
        <w:rPr>
          <w:rFonts w:ascii="Times New Roman" w:hAnsi="Times New Roman" w:eastAsia="方正仿宋_GBK"/>
          <w:color w:val="000000"/>
          <w:kern w:val="2"/>
          <w:sz w:val="32"/>
          <w:szCs w:val="32"/>
        </w:rPr>
        <w:t>2022</w:t>
      </w:r>
      <w:r>
        <w:rPr>
          <w:rFonts w:hint="eastAsia" w:ascii="Times New Roman" w:hAnsi="Times New Roman" w:eastAsia="方正仿宋_GBK"/>
          <w:color w:val="000000"/>
          <w:kern w:val="2"/>
          <w:sz w:val="32"/>
          <w:szCs w:val="32"/>
        </w:rPr>
        <w:t>年度未发生公务</w:t>
      </w:r>
      <w:r>
        <w:rPr>
          <w:rFonts w:hint="eastAsia" w:ascii="Times New Roman" w:hAnsi="Times New Roman" w:eastAsia="方正仿宋_GBK"/>
          <w:color w:val="000000"/>
          <w:kern w:val="2"/>
          <w:sz w:val="32"/>
          <w:szCs w:val="32"/>
          <w:lang w:eastAsia="zh-CN"/>
        </w:rPr>
        <w:t>用</w:t>
      </w:r>
      <w:r>
        <w:rPr>
          <w:rFonts w:hint="eastAsia" w:ascii="Times New Roman" w:hAnsi="Times New Roman" w:eastAsia="方正仿宋_GBK"/>
          <w:color w:val="000000"/>
          <w:kern w:val="2"/>
          <w:sz w:val="32"/>
          <w:szCs w:val="32"/>
        </w:rPr>
        <w:t>车购置费用支出。</w:t>
      </w:r>
    </w:p>
    <w:p>
      <w:pPr>
        <w:pStyle w:val="4"/>
        <w:widowControl/>
        <w:snapToGrid w:val="0"/>
        <w:spacing w:beforeAutospacing="0" w:afterAutospacing="0" w:line="560" w:lineRule="exact"/>
        <w:ind w:firstLine="640" w:firstLineChars="200"/>
        <w:jc w:val="both"/>
        <w:rPr>
          <w:rFonts w:ascii="Times New Roman" w:hAnsi="Times New Roman" w:eastAsia="方正仿宋_GBK"/>
          <w:color w:val="000000"/>
          <w:kern w:val="2"/>
          <w:sz w:val="32"/>
          <w:szCs w:val="32"/>
        </w:rPr>
      </w:pPr>
      <w:r>
        <w:rPr>
          <w:rFonts w:hint="eastAsia" w:ascii="Times New Roman" w:hAnsi="Times New Roman" w:eastAsia="方正仿宋_GBK"/>
          <w:color w:val="000000"/>
          <w:kern w:val="2"/>
          <w:sz w:val="32"/>
          <w:szCs w:val="32"/>
        </w:rPr>
        <w:t>本单位</w:t>
      </w:r>
      <w:r>
        <w:rPr>
          <w:rFonts w:ascii="Times New Roman" w:hAnsi="Times New Roman" w:eastAsia="方正仿宋_GBK"/>
          <w:color w:val="000000"/>
          <w:kern w:val="2"/>
          <w:sz w:val="32"/>
          <w:szCs w:val="32"/>
        </w:rPr>
        <w:t>2022</w:t>
      </w:r>
      <w:r>
        <w:rPr>
          <w:rFonts w:hint="eastAsia" w:ascii="Times New Roman" w:hAnsi="Times New Roman" w:eastAsia="方正仿宋_GBK"/>
          <w:color w:val="000000"/>
          <w:kern w:val="2"/>
          <w:sz w:val="32"/>
          <w:szCs w:val="32"/>
        </w:rPr>
        <w:t>年度未发生公务</w:t>
      </w:r>
      <w:r>
        <w:rPr>
          <w:rFonts w:hint="eastAsia" w:ascii="Times New Roman" w:hAnsi="Times New Roman" w:eastAsia="方正仿宋_GBK"/>
          <w:color w:val="000000"/>
          <w:kern w:val="2"/>
          <w:sz w:val="32"/>
          <w:szCs w:val="32"/>
          <w:lang w:eastAsia="zh-CN"/>
        </w:rPr>
        <w:t>用</w:t>
      </w:r>
      <w:r>
        <w:rPr>
          <w:rFonts w:hint="eastAsia" w:ascii="Times New Roman" w:hAnsi="Times New Roman" w:eastAsia="方正仿宋_GBK"/>
          <w:color w:val="000000"/>
          <w:kern w:val="2"/>
          <w:sz w:val="32"/>
          <w:szCs w:val="32"/>
        </w:rPr>
        <w:t>车运行维护费用支出。</w:t>
      </w:r>
    </w:p>
    <w:p>
      <w:pPr>
        <w:widowControl/>
        <w:wordWrap w:val="0"/>
        <w:spacing w:line="560" w:lineRule="exact"/>
        <w:ind w:right="180"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公务接待费1.67万元，主要用于山东、重庆组团式教育人才及相关考察接待等。费用支出较年初预算数减少7.33万元，下降81.4%，</w:t>
      </w:r>
      <w:r>
        <w:rPr>
          <w:rFonts w:ascii="Times New Roman" w:hAnsi="Times New Roman" w:eastAsia="方正仿宋_GBK" w:cs="Times New Roman"/>
          <w:color w:val="000000"/>
          <w:sz w:val="32"/>
          <w:szCs w:val="32"/>
        </w:rPr>
        <w:t>主要原因是学校严格执行</w:t>
      </w:r>
      <w:r>
        <w:rPr>
          <w:rFonts w:hint="eastAsia" w:ascii="Times New Roman" w:hAnsi="Times New Roman" w:eastAsia="方正仿宋_GBK" w:cs="Times New Roman"/>
          <w:color w:val="000000"/>
          <w:sz w:val="32"/>
          <w:szCs w:val="32"/>
          <w:lang w:eastAsia="zh-CN"/>
        </w:rPr>
        <w:t>中央</w:t>
      </w:r>
      <w:r>
        <w:rPr>
          <w:rFonts w:ascii="Times New Roman" w:hAnsi="Times New Roman" w:eastAsia="方正仿宋_GBK" w:cs="Times New Roman"/>
          <w:color w:val="000000"/>
          <w:sz w:val="32"/>
          <w:szCs w:val="32"/>
        </w:rPr>
        <w:t>八项规定，压缩“三公”经费预算支出</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较上年支出数减少</w:t>
      </w:r>
      <w:r>
        <w:rPr>
          <w:rFonts w:hint="eastAsia" w:ascii="Times New Roman" w:hAnsi="Times New Roman" w:eastAsia="方正仿宋_GBK" w:cs="Times New Roman"/>
          <w:color w:val="000000"/>
          <w:sz w:val="32"/>
          <w:szCs w:val="32"/>
        </w:rPr>
        <w:t>1.83</w:t>
      </w:r>
      <w:r>
        <w:rPr>
          <w:rFonts w:ascii="Times New Roman" w:hAnsi="Times New Roman" w:eastAsia="方正仿宋_GBK" w:cs="Times New Roman"/>
          <w:color w:val="000000"/>
          <w:sz w:val="32"/>
          <w:szCs w:val="32"/>
        </w:rPr>
        <w:t>万元，下降</w:t>
      </w:r>
      <w:r>
        <w:rPr>
          <w:rFonts w:hint="eastAsia" w:ascii="Times New Roman" w:hAnsi="Times New Roman" w:eastAsia="方正仿宋_GBK" w:cs="Times New Roman"/>
          <w:color w:val="000000"/>
          <w:sz w:val="32"/>
          <w:szCs w:val="32"/>
        </w:rPr>
        <w:t>52.3</w:t>
      </w:r>
      <w:r>
        <w:rPr>
          <w:rFonts w:ascii="Times New Roman" w:hAnsi="Times New Roman" w:eastAsia="方正仿宋_GBK" w:cs="Times New Roman"/>
          <w:color w:val="000000"/>
          <w:sz w:val="32"/>
          <w:szCs w:val="32"/>
        </w:rPr>
        <w:t>%，主要原因是认真贯彻落实中央八项规定</w:t>
      </w:r>
      <w:r>
        <w:rPr>
          <w:rFonts w:hint="eastAsia" w:ascii="Times New Roman" w:hAnsi="Times New Roman" w:eastAsia="方正仿宋_GBK" w:cs="Times New Roman"/>
          <w:color w:val="000000"/>
          <w:sz w:val="32"/>
          <w:szCs w:val="32"/>
        </w:rPr>
        <w:t>精神</w:t>
      </w:r>
      <w:r>
        <w:rPr>
          <w:rFonts w:ascii="Times New Roman" w:hAnsi="Times New Roman" w:eastAsia="方正仿宋_GBK" w:cs="Times New Roman"/>
          <w:color w:val="000000"/>
          <w:sz w:val="32"/>
          <w:szCs w:val="32"/>
        </w:rPr>
        <w:t>，按照只减不增的要求从严控制“三公”经费，学校各个年级、部门的公务接待一律由学校办公室负责统一安排，避免公务接待的随意性。同时，学校强化公务接待支出管理，严格遵守公务接待开支范围和开支标准，严格控制陪餐人数，公务接待费大幅下降。</w:t>
      </w:r>
    </w:p>
    <w:p>
      <w:pPr>
        <w:pStyle w:val="4"/>
        <w:widowControl/>
        <w:snapToGrid w:val="0"/>
        <w:spacing w:beforeAutospacing="0" w:afterAutospacing="0" w:line="560" w:lineRule="exact"/>
        <w:ind w:firstLine="640" w:firstLineChars="200"/>
        <w:jc w:val="both"/>
        <w:rPr>
          <w:rFonts w:ascii="方正楷体_GBK" w:hAnsi="Times New Roman" w:eastAsia="方正楷体_GBK"/>
          <w:kern w:val="2"/>
          <w:sz w:val="32"/>
          <w:szCs w:val="32"/>
        </w:rPr>
      </w:pPr>
      <w:r>
        <w:rPr>
          <w:rFonts w:hint="eastAsia" w:ascii="方正楷体_GBK" w:hAnsi="Times New Roman" w:eastAsia="方正楷体_GBK"/>
          <w:kern w:val="2"/>
          <w:sz w:val="32"/>
          <w:szCs w:val="32"/>
        </w:rPr>
        <w:t>（三）</w:t>
      </w:r>
      <w:r>
        <w:rPr>
          <w:rFonts w:ascii="方正楷体_GBK" w:hAnsi="Times New Roman" w:eastAsia="方正楷体_GBK"/>
          <w:kern w:val="2"/>
          <w:sz w:val="32"/>
          <w:szCs w:val="32"/>
        </w:rPr>
        <w:t>“</w:t>
      </w:r>
      <w:r>
        <w:rPr>
          <w:rFonts w:hint="eastAsia" w:ascii="方正楷体_GBK" w:hAnsi="Times New Roman" w:eastAsia="方正楷体_GBK"/>
          <w:kern w:val="2"/>
          <w:sz w:val="32"/>
          <w:szCs w:val="32"/>
        </w:rPr>
        <w:t>三公</w:t>
      </w:r>
      <w:r>
        <w:rPr>
          <w:rFonts w:ascii="方正楷体_GBK" w:hAnsi="Times New Roman" w:eastAsia="方正楷体_GBK"/>
          <w:kern w:val="2"/>
          <w:sz w:val="32"/>
          <w:szCs w:val="32"/>
        </w:rPr>
        <w:t>”</w:t>
      </w:r>
      <w:r>
        <w:rPr>
          <w:rFonts w:hint="eastAsia" w:ascii="方正楷体_GBK" w:hAnsi="Times New Roman" w:eastAsia="方正楷体_GBK"/>
          <w:kern w:val="2"/>
          <w:sz w:val="32"/>
          <w:szCs w:val="32"/>
        </w:rPr>
        <w:t>经费实物量情况</w:t>
      </w:r>
    </w:p>
    <w:p>
      <w:pPr>
        <w:pStyle w:val="4"/>
        <w:widowControl/>
        <w:snapToGrid w:val="0"/>
        <w:spacing w:beforeAutospacing="0" w:afterAutospacing="0" w:line="560" w:lineRule="exact"/>
        <w:ind w:firstLine="640" w:firstLineChars="200"/>
        <w:jc w:val="both"/>
        <w:rPr>
          <w:rFonts w:ascii="Times New Roman" w:hAnsi="Times New Roman" w:eastAsia="方正仿宋_GBK"/>
          <w:color w:val="000000"/>
          <w:kern w:val="2"/>
          <w:sz w:val="32"/>
          <w:szCs w:val="32"/>
        </w:rPr>
      </w:pPr>
      <w:r>
        <w:rPr>
          <w:rFonts w:hint="eastAsia" w:ascii="Times New Roman" w:hAnsi="Times New Roman" w:eastAsia="方正仿宋_GBK"/>
          <w:color w:val="000000"/>
          <w:kern w:val="2"/>
          <w:sz w:val="32"/>
          <w:szCs w:val="32"/>
        </w:rPr>
        <w:t>2022年度本部门因公出国（境）共计0个团组，0人；公务用车购置0辆，公务</w:t>
      </w:r>
      <w:r>
        <w:rPr>
          <w:rFonts w:hint="eastAsia" w:ascii="Times New Roman" w:hAnsi="Times New Roman" w:eastAsia="方正仿宋_GBK"/>
          <w:color w:val="000000"/>
          <w:kern w:val="2"/>
          <w:sz w:val="32"/>
          <w:szCs w:val="32"/>
          <w:lang w:eastAsia="zh-CN"/>
        </w:rPr>
        <w:t>用</w:t>
      </w:r>
      <w:r>
        <w:rPr>
          <w:rFonts w:hint="eastAsia" w:ascii="Times New Roman" w:hAnsi="Times New Roman" w:eastAsia="方正仿宋_GBK"/>
          <w:color w:val="000000"/>
          <w:kern w:val="2"/>
          <w:sz w:val="32"/>
          <w:szCs w:val="32"/>
        </w:rPr>
        <w:t>车保有量为0辆；国内公务接待30批次300人，其中：国内外事接待0批次，0人；国（境）外公务接待0批次，0人。2022年本部门人均接待费55.62元，车均购置费0.00万元，车均维护费0.00万元。</w:t>
      </w:r>
    </w:p>
    <w:p>
      <w:pPr>
        <w:pStyle w:val="8"/>
        <w:spacing w:line="560" w:lineRule="exact"/>
        <w:ind w:left="640" w:firstLine="0" w:firstLineChars="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四、其他需要说明的事项</w:t>
      </w:r>
    </w:p>
    <w:p>
      <w:pPr>
        <w:pStyle w:val="4"/>
        <w:widowControl/>
        <w:snapToGrid w:val="0"/>
        <w:spacing w:beforeAutospacing="0" w:afterAutospacing="0" w:line="560" w:lineRule="exact"/>
        <w:ind w:firstLine="640" w:firstLineChars="200"/>
        <w:jc w:val="both"/>
        <w:rPr>
          <w:rFonts w:ascii="方正楷体_GBK" w:hAnsi="Times New Roman" w:eastAsia="方正楷体_GBK"/>
          <w:kern w:val="2"/>
          <w:sz w:val="32"/>
          <w:szCs w:val="32"/>
        </w:rPr>
      </w:pPr>
      <w:r>
        <w:rPr>
          <w:rFonts w:hint="eastAsia" w:ascii="方正楷体_GBK" w:hAnsi="Times New Roman" w:eastAsia="方正楷体_GBK"/>
          <w:kern w:val="2"/>
          <w:sz w:val="32"/>
          <w:szCs w:val="32"/>
        </w:rPr>
        <w:t>（一）财政拨款会议费和培训费情况说明</w:t>
      </w:r>
    </w:p>
    <w:p>
      <w:pPr>
        <w:spacing w:line="560" w:lineRule="exact"/>
        <w:ind w:firstLine="645"/>
        <w:rPr>
          <w:rFonts w:ascii="方正仿宋_GBK"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本年度会议费支出4.81万元，较上年决算数减少0.19万元，减少3.8%，主要原因是学校按照规定强化管理会议费的开支。本年度培训费支出0.03万元，较上年决算数减少9.97万元，减少99.7%，主要原因是我校严格贯彻落实中央关于厉行节约的号召，进一步规范学校各类培训的开展，合理控制各项培训费用的开支。</w:t>
      </w:r>
    </w:p>
    <w:p>
      <w:pPr>
        <w:pStyle w:val="4"/>
        <w:widowControl/>
        <w:snapToGrid w:val="0"/>
        <w:spacing w:beforeAutospacing="0" w:afterAutospacing="0" w:line="560" w:lineRule="exact"/>
        <w:ind w:firstLine="640" w:firstLineChars="200"/>
        <w:jc w:val="both"/>
        <w:rPr>
          <w:rFonts w:ascii="方正楷体_GBK" w:hAnsi="Times New Roman" w:eastAsia="方正楷体_GBK"/>
          <w:kern w:val="2"/>
          <w:sz w:val="32"/>
          <w:szCs w:val="32"/>
        </w:rPr>
      </w:pPr>
      <w:r>
        <w:rPr>
          <w:rFonts w:hint="eastAsia" w:ascii="方正楷体_GBK" w:hAnsi="Times New Roman" w:eastAsia="方正楷体_GBK"/>
          <w:kern w:val="2"/>
          <w:sz w:val="32"/>
          <w:szCs w:val="32"/>
        </w:rPr>
        <w:t>（二）机关运行经费支出情况说明</w:t>
      </w:r>
    </w:p>
    <w:p>
      <w:pPr>
        <w:pStyle w:val="4"/>
        <w:widowControl/>
        <w:snapToGrid w:val="0"/>
        <w:spacing w:beforeAutospacing="0" w:afterAutospacing="0" w:line="560" w:lineRule="exact"/>
        <w:ind w:firstLine="640" w:firstLineChars="200"/>
        <w:jc w:val="both"/>
        <w:rPr>
          <w:rFonts w:ascii="方正仿宋_GBK" w:hAnsi="Times New Roman" w:eastAsia="方正仿宋_GBK"/>
          <w:color w:val="000000"/>
          <w:kern w:val="2"/>
          <w:sz w:val="32"/>
          <w:szCs w:val="32"/>
        </w:rPr>
      </w:pPr>
      <w:r>
        <w:rPr>
          <w:rFonts w:hint="eastAsia" w:ascii="方正仿宋_GBK" w:hAnsi="Times New Roman" w:eastAsia="方正仿宋_GBK"/>
          <w:color w:val="000000"/>
          <w:kern w:val="2"/>
          <w:sz w:val="32"/>
          <w:szCs w:val="32"/>
        </w:rPr>
        <w:t>按照部门决算列报口径，我单位不在机关运行经费统计范围之内。</w:t>
      </w:r>
    </w:p>
    <w:p>
      <w:pPr>
        <w:pStyle w:val="4"/>
        <w:widowControl/>
        <w:snapToGrid w:val="0"/>
        <w:spacing w:beforeAutospacing="0" w:afterAutospacing="0" w:line="560" w:lineRule="exact"/>
        <w:ind w:firstLine="640" w:firstLineChars="200"/>
        <w:jc w:val="both"/>
        <w:rPr>
          <w:rFonts w:ascii="方正楷体_GBK" w:hAnsi="Times New Roman" w:eastAsia="方正楷体_GBK"/>
          <w:kern w:val="2"/>
          <w:sz w:val="32"/>
          <w:szCs w:val="32"/>
        </w:rPr>
      </w:pPr>
      <w:r>
        <w:rPr>
          <w:rFonts w:hint="eastAsia" w:ascii="方正楷体_GBK" w:hAnsi="Times New Roman" w:eastAsia="方正楷体_GBK"/>
          <w:kern w:val="2"/>
          <w:sz w:val="32"/>
          <w:szCs w:val="32"/>
        </w:rPr>
        <w:t>（三）国有资产占用情况说明</w:t>
      </w:r>
    </w:p>
    <w:p>
      <w:pPr>
        <w:pStyle w:val="4"/>
        <w:widowControl/>
        <w:snapToGrid w:val="0"/>
        <w:spacing w:beforeAutospacing="0" w:afterAutospacing="0" w:line="560" w:lineRule="exact"/>
        <w:ind w:firstLine="640" w:firstLineChars="200"/>
        <w:jc w:val="both"/>
        <w:rPr>
          <w:rFonts w:ascii="Times New Roman" w:hAnsi="Times New Roman" w:eastAsia="方正仿宋_GBK"/>
          <w:color w:val="000000"/>
          <w:kern w:val="2"/>
          <w:sz w:val="32"/>
          <w:szCs w:val="32"/>
        </w:rPr>
      </w:pPr>
      <w:r>
        <w:rPr>
          <w:rFonts w:hint="eastAsia" w:ascii="Times New Roman" w:hAnsi="Times New Roman" w:eastAsia="方正仿宋_GBK"/>
          <w:color w:val="000000"/>
          <w:kern w:val="2"/>
          <w:sz w:val="32"/>
          <w:szCs w:val="32"/>
        </w:rPr>
        <w:t>截至2022年12月31日，本部门共有车辆0辆，其中，副部（省）级及以上领导用车0辆、主要领导干部用车0辆、机要通信用车0辆、应急保障用车0辆、执法执勤用车0辆，特种专业技术用车0辆，离退休干部用车0辆，其他用车0辆。单价100万元（含）以上设备（不含车辆）0台（套）。</w:t>
      </w:r>
    </w:p>
    <w:p>
      <w:pPr>
        <w:pStyle w:val="4"/>
        <w:widowControl/>
        <w:snapToGrid w:val="0"/>
        <w:spacing w:beforeAutospacing="0" w:afterAutospacing="0" w:line="560" w:lineRule="exact"/>
        <w:ind w:firstLine="640" w:firstLineChars="200"/>
        <w:jc w:val="both"/>
        <w:rPr>
          <w:rFonts w:ascii="方正楷体_GBK" w:hAnsi="Times New Roman" w:eastAsia="方正楷体_GBK"/>
          <w:kern w:val="2"/>
          <w:sz w:val="32"/>
          <w:szCs w:val="32"/>
        </w:rPr>
      </w:pPr>
      <w:r>
        <w:rPr>
          <w:rFonts w:hint="eastAsia" w:ascii="方正楷体_GBK" w:hAnsi="Times New Roman" w:eastAsia="方正楷体_GBK"/>
          <w:kern w:val="2"/>
          <w:sz w:val="32"/>
          <w:szCs w:val="32"/>
        </w:rPr>
        <w:t>（四）政府采购支出说明</w:t>
      </w:r>
    </w:p>
    <w:p>
      <w:pPr>
        <w:pStyle w:val="4"/>
        <w:widowControl/>
        <w:snapToGrid w:val="0"/>
        <w:spacing w:beforeAutospacing="0" w:afterAutospacing="0" w:line="560" w:lineRule="exact"/>
        <w:ind w:firstLine="640" w:firstLineChars="200"/>
        <w:jc w:val="both"/>
        <w:rPr>
          <w:rFonts w:ascii="Times New Roman" w:hAnsi="Times New Roman" w:eastAsia="方正仿宋_GBK"/>
          <w:color w:val="000000"/>
          <w:kern w:val="2"/>
          <w:sz w:val="32"/>
          <w:szCs w:val="32"/>
        </w:rPr>
      </w:pPr>
      <w:r>
        <w:rPr>
          <w:rFonts w:hint="eastAsia" w:ascii="Times New Roman" w:hAnsi="Times New Roman" w:eastAsia="方正仿宋_GBK"/>
          <w:color w:val="000000"/>
          <w:kern w:val="2"/>
          <w:sz w:val="32"/>
          <w:szCs w:val="32"/>
        </w:rPr>
        <w:t>2022年度本部门政府采购支出总额20.8万元，其中：政府采购货物支出20.8万元、政府采购工程支出0.00万元、政府采购服务支出0.00万元。授予中小企业合同金额0.00万元，占政府采购支出总额的0.0%，其中：授予小微企业合同金额0.00万元，占政府采购支出总额的0.0%。主要用于采购室外LED屏设备等。</w:t>
      </w:r>
    </w:p>
    <w:p>
      <w:pPr>
        <w:pStyle w:val="8"/>
        <w:spacing w:line="560" w:lineRule="exact"/>
        <w:ind w:left="640" w:firstLine="0" w:firstLineChars="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五、预算绩效管理情况说明</w:t>
      </w:r>
    </w:p>
    <w:p>
      <w:pPr>
        <w:spacing w:line="596" w:lineRule="exact"/>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预算绩效管理情况只针对一级预算单位，本单位为二级预算单位，故预算绩效管理情况在此不反映。</w:t>
      </w:r>
    </w:p>
    <w:p>
      <w:pPr>
        <w:pStyle w:val="8"/>
        <w:spacing w:line="560" w:lineRule="exact"/>
        <w:ind w:left="640" w:firstLine="0" w:firstLineChars="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六、专业名词解释</w:t>
      </w:r>
    </w:p>
    <w:p>
      <w:pPr>
        <w:pStyle w:val="4"/>
        <w:widowControl/>
        <w:snapToGrid w:val="0"/>
        <w:spacing w:beforeAutospacing="0" w:afterAutospacing="0" w:line="560" w:lineRule="exact"/>
        <w:ind w:firstLine="640" w:firstLineChars="200"/>
        <w:jc w:val="both"/>
        <w:rPr>
          <w:rFonts w:ascii="方正仿宋_GBK" w:hAnsi="Times New Roman" w:eastAsia="方正仿宋_GBK"/>
          <w:color w:val="000000"/>
          <w:kern w:val="2"/>
          <w:sz w:val="32"/>
          <w:szCs w:val="32"/>
        </w:rPr>
      </w:pPr>
      <w:r>
        <w:rPr>
          <w:rFonts w:hint="eastAsia" w:ascii="方正楷体_GBK" w:hAnsi="Times New Roman" w:eastAsia="方正楷体_GBK"/>
          <w:kern w:val="2"/>
          <w:sz w:val="32"/>
          <w:szCs w:val="32"/>
        </w:rPr>
        <w:t>（一）财政拨款收入</w:t>
      </w:r>
      <w:r>
        <w:rPr>
          <w:rFonts w:hint="eastAsia" w:cs="宋体"/>
          <w:shd w:val="clear" w:color="auto" w:fill="FFFFFF"/>
          <w:lang w:bidi="ar"/>
        </w:rPr>
        <w:t>：</w:t>
      </w:r>
      <w:r>
        <w:rPr>
          <w:rFonts w:hint="eastAsia" w:ascii="方正仿宋_GBK" w:hAnsi="Times New Roman" w:eastAsia="方正仿宋_GBK"/>
          <w:color w:val="000000"/>
          <w:kern w:val="2"/>
          <w:sz w:val="32"/>
          <w:szCs w:val="32"/>
        </w:rPr>
        <w:t>指本年度从本级财政部门取得的财政拨款，包括一般公共预算财政拨款和政府性基金预算财政拨款。</w:t>
      </w:r>
    </w:p>
    <w:p>
      <w:pPr>
        <w:pStyle w:val="4"/>
        <w:widowControl/>
        <w:snapToGrid w:val="0"/>
        <w:spacing w:beforeAutospacing="0" w:afterAutospacing="0" w:line="560" w:lineRule="exact"/>
        <w:ind w:firstLine="640" w:firstLineChars="200"/>
        <w:jc w:val="both"/>
        <w:rPr>
          <w:rFonts w:ascii="方正仿宋_GBK" w:hAnsi="Times New Roman" w:eastAsia="方正仿宋_GBK"/>
          <w:color w:val="000000"/>
          <w:kern w:val="2"/>
          <w:sz w:val="32"/>
          <w:szCs w:val="32"/>
        </w:rPr>
      </w:pPr>
      <w:r>
        <w:rPr>
          <w:rFonts w:hint="eastAsia" w:ascii="方正楷体_GBK" w:hAnsi="Times New Roman" w:eastAsia="方正楷体_GBK"/>
          <w:kern w:val="2"/>
          <w:sz w:val="32"/>
          <w:szCs w:val="32"/>
        </w:rPr>
        <w:t>（二）事业收入</w:t>
      </w:r>
      <w:r>
        <w:rPr>
          <w:rFonts w:hint="eastAsia" w:cs="宋体"/>
          <w:shd w:val="clear" w:color="auto" w:fill="FFFFFF"/>
          <w:lang w:bidi="ar"/>
        </w:rPr>
        <w:t>：</w:t>
      </w:r>
      <w:r>
        <w:rPr>
          <w:rFonts w:hint="eastAsia" w:ascii="方正仿宋_GBK" w:hAnsi="Times New Roman" w:eastAsia="方正仿宋_GBK"/>
          <w:color w:val="000000"/>
          <w:kern w:val="2"/>
          <w:sz w:val="32"/>
          <w:szCs w:val="32"/>
        </w:rPr>
        <w:t>指事业单位开展专业业务活动及其辅助活动取得的现金流入；事业单位收到的财政专户实际核拨的教育收费等资金在此反映。</w:t>
      </w:r>
    </w:p>
    <w:p>
      <w:pPr>
        <w:pStyle w:val="4"/>
        <w:widowControl/>
        <w:snapToGrid w:val="0"/>
        <w:spacing w:beforeAutospacing="0" w:afterAutospacing="0" w:line="560" w:lineRule="exact"/>
        <w:ind w:firstLine="640" w:firstLineChars="200"/>
        <w:jc w:val="both"/>
        <w:rPr>
          <w:rFonts w:ascii="方正仿宋_GBK" w:hAnsi="Times New Roman" w:eastAsia="方正仿宋_GBK"/>
          <w:color w:val="000000"/>
          <w:kern w:val="2"/>
          <w:sz w:val="32"/>
          <w:szCs w:val="32"/>
        </w:rPr>
      </w:pPr>
      <w:r>
        <w:rPr>
          <w:rFonts w:hint="eastAsia" w:ascii="方正楷体_GBK" w:hAnsi="Times New Roman" w:eastAsia="方正楷体_GBK"/>
          <w:kern w:val="2"/>
          <w:sz w:val="32"/>
          <w:szCs w:val="32"/>
        </w:rPr>
        <w:t>（三）经营收入</w:t>
      </w:r>
      <w:r>
        <w:rPr>
          <w:rFonts w:hint="eastAsia" w:cs="宋体"/>
          <w:shd w:val="clear" w:color="auto" w:fill="FFFFFF"/>
          <w:lang w:bidi="ar"/>
        </w:rPr>
        <w:t>：</w:t>
      </w:r>
      <w:r>
        <w:rPr>
          <w:rFonts w:hint="eastAsia" w:ascii="方正仿宋_GBK" w:hAnsi="Times New Roman" w:eastAsia="方正仿宋_GBK"/>
          <w:color w:val="000000"/>
          <w:kern w:val="2"/>
          <w:sz w:val="32"/>
          <w:szCs w:val="32"/>
        </w:rPr>
        <w:t>指事业单位在专业业务活动及其辅助活动之外开展非独立核算经营活动取得的现金流入。</w:t>
      </w:r>
    </w:p>
    <w:p>
      <w:pPr>
        <w:pStyle w:val="4"/>
        <w:widowControl/>
        <w:snapToGrid w:val="0"/>
        <w:spacing w:beforeAutospacing="0" w:afterAutospacing="0" w:line="560" w:lineRule="exact"/>
        <w:ind w:firstLine="640" w:firstLineChars="200"/>
        <w:jc w:val="both"/>
        <w:rPr>
          <w:rFonts w:ascii="方正仿宋_GBK" w:hAnsi="Times New Roman" w:eastAsia="方正仿宋_GBK"/>
          <w:color w:val="000000"/>
          <w:kern w:val="2"/>
          <w:sz w:val="32"/>
          <w:szCs w:val="32"/>
        </w:rPr>
      </w:pPr>
      <w:r>
        <w:rPr>
          <w:rFonts w:hint="eastAsia" w:ascii="方正楷体_GBK" w:hAnsi="Times New Roman" w:eastAsia="方正楷体_GBK"/>
          <w:kern w:val="2"/>
          <w:sz w:val="32"/>
          <w:szCs w:val="32"/>
        </w:rPr>
        <w:t>（四）其他收入</w:t>
      </w:r>
      <w:r>
        <w:rPr>
          <w:rFonts w:hint="eastAsia" w:cs="宋体"/>
          <w:shd w:val="clear" w:color="auto" w:fill="FFFFFF"/>
          <w:lang w:bidi="ar"/>
        </w:rPr>
        <w:t>：</w:t>
      </w:r>
      <w:r>
        <w:rPr>
          <w:rFonts w:hint="eastAsia" w:ascii="方正仿宋_GBK" w:hAnsi="Times New Roman" w:eastAsia="方正仿宋_GBK"/>
          <w:color w:val="000000"/>
          <w:kern w:val="2"/>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widowControl/>
        <w:snapToGrid w:val="0"/>
        <w:spacing w:beforeAutospacing="0" w:afterAutospacing="0" w:line="560" w:lineRule="exact"/>
        <w:ind w:firstLine="640" w:firstLineChars="200"/>
        <w:jc w:val="both"/>
        <w:rPr>
          <w:rFonts w:ascii="方正仿宋_GBK" w:hAnsi="Times New Roman" w:eastAsia="方正仿宋_GBK"/>
          <w:color w:val="000000"/>
          <w:kern w:val="2"/>
          <w:sz w:val="32"/>
          <w:szCs w:val="32"/>
        </w:rPr>
      </w:pPr>
      <w:r>
        <w:rPr>
          <w:rFonts w:hint="eastAsia" w:ascii="方正楷体_GBK" w:hAnsi="Times New Roman" w:eastAsia="方正楷体_GBK"/>
          <w:kern w:val="2"/>
          <w:sz w:val="32"/>
          <w:szCs w:val="32"/>
        </w:rPr>
        <w:t>（五）使用非财政拨款结余：</w:t>
      </w:r>
      <w:r>
        <w:rPr>
          <w:rFonts w:hint="eastAsia" w:ascii="方正仿宋_GBK" w:hAnsi="Times New Roman" w:eastAsia="方正仿宋_GBK"/>
          <w:color w:val="000000"/>
          <w:kern w:val="2"/>
          <w:sz w:val="32"/>
          <w:szCs w:val="32"/>
        </w:rPr>
        <w:t>指单位在当年的“财政拨款收入”“事业收入”“经营收入”“其他收入”等不足以安排当年支出的情况下，使用以前年度积累的非财政拨款结余弥补本年度收支缺口的资金。</w:t>
      </w:r>
    </w:p>
    <w:p>
      <w:pPr>
        <w:pStyle w:val="4"/>
        <w:widowControl/>
        <w:snapToGrid w:val="0"/>
        <w:spacing w:beforeAutospacing="0" w:afterAutospacing="0" w:line="560" w:lineRule="exact"/>
        <w:ind w:firstLine="640" w:firstLineChars="200"/>
        <w:jc w:val="both"/>
        <w:rPr>
          <w:rFonts w:ascii="方正仿宋_GBK" w:hAnsi="Times New Roman" w:eastAsia="方正仿宋_GBK"/>
          <w:color w:val="000000"/>
          <w:kern w:val="2"/>
          <w:sz w:val="32"/>
          <w:szCs w:val="32"/>
        </w:rPr>
      </w:pPr>
      <w:r>
        <w:rPr>
          <w:rFonts w:hint="eastAsia" w:ascii="方正楷体_GBK" w:hAnsi="Times New Roman" w:eastAsia="方正楷体_GBK"/>
          <w:kern w:val="2"/>
          <w:sz w:val="32"/>
          <w:szCs w:val="32"/>
        </w:rPr>
        <w:t>（六）年初结转和结余</w:t>
      </w:r>
      <w:r>
        <w:rPr>
          <w:rFonts w:hint="eastAsia" w:cs="宋体"/>
          <w:shd w:val="clear" w:color="auto" w:fill="FFFFFF"/>
          <w:lang w:bidi="ar"/>
        </w:rPr>
        <w:t>：</w:t>
      </w:r>
      <w:r>
        <w:rPr>
          <w:rFonts w:hint="eastAsia" w:ascii="方正仿宋_GBK" w:hAnsi="Times New Roman" w:eastAsia="方正仿宋_GBK"/>
          <w:color w:val="000000"/>
          <w:kern w:val="2"/>
          <w:sz w:val="32"/>
          <w:szCs w:val="32"/>
        </w:rPr>
        <w:t>指单位上年结转本年使用的基本支出结转、项目支出结转和结余、经营结余。</w:t>
      </w:r>
    </w:p>
    <w:p>
      <w:pPr>
        <w:pStyle w:val="4"/>
        <w:widowControl/>
        <w:snapToGrid w:val="0"/>
        <w:spacing w:beforeAutospacing="0" w:afterAutospacing="0" w:line="560" w:lineRule="exact"/>
        <w:ind w:firstLine="640" w:firstLineChars="200"/>
        <w:jc w:val="both"/>
        <w:rPr>
          <w:rFonts w:ascii="方正仿宋_GBK" w:hAnsi="Times New Roman" w:eastAsia="方正仿宋_GBK"/>
          <w:color w:val="000000"/>
          <w:kern w:val="2"/>
          <w:sz w:val="32"/>
          <w:szCs w:val="32"/>
        </w:rPr>
      </w:pPr>
      <w:r>
        <w:rPr>
          <w:rFonts w:hint="eastAsia" w:ascii="方正楷体_GBK" w:hAnsi="Times New Roman" w:eastAsia="方正楷体_GBK"/>
          <w:kern w:val="2"/>
          <w:sz w:val="32"/>
          <w:szCs w:val="32"/>
        </w:rPr>
        <w:t>（七）结余分配</w:t>
      </w:r>
      <w:r>
        <w:rPr>
          <w:rFonts w:hint="eastAsia" w:cs="宋体"/>
          <w:shd w:val="clear" w:color="auto" w:fill="FFFFFF"/>
          <w:lang w:bidi="ar"/>
        </w:rPr>
        <w:t>：</w:t>
      </w:r>
      <w:r>
        <w:rPr>
          <w:rFonts w:hint="eastAsia" w:ascii="方正仿宋_GBK" w:hAnsi="Times New Roman" w:eastAsia="方正仿宋_GBK"/>
          <w:color w:val="000000"/>
          <w:kern w:val="2"/>
          <w:sz w:val="32"/>
          <w:szCs w:val="32"/>
        </w:rPr>
        <w:t>指单位按照国家有关规定，缴纳所得税、提取专用基金、转入非财政拨款结余等当年结余的分配情况。</w:t>
      </w:r>
    </w:p>
    <w:p>
      <w:pPr>
        <w:pStyle w:val="4"/>
        <w:widowControl/>
        <w:snapToGrid w:val="0"/>
        <w:spacing w:beforeAutospacing="0" w:afterAutospacing="0" w:line="560" w:lineRule="exact"/>
        <w:ind w:firstLine="640" w:firstLineChars="200"/>
        <w:jc w:val="both"/>
        <w:rPr>
          <w:rFonts w:ascii="方正仿宋_GBK" w:hAnsi="Times New Roman" w:eastAsia="方正仿宋_GBK"/>
          <w:color w:val="000000"/>
          <w:kern w:val="2"/>
          <w:sz w:val="32"/>
          <w:szCs w:val="32"/>
        </w:rPr>
      </w:pPr>
      <w:r>
        <w:rPr>
          <w:rFonts w:hint="eastAsia" w:ascii="方正楷体_GBK" w:hAnsi="Times New Roman" w:eastAsia="方正楷体_GBK"/>
          <w:kern w:val="2"/>
          <w:sz w:val="32"/>
          <w:szCs w:val="32"/>
        </w:rPr>
        <w:t>（八）年末结转和结余</w:t>
      </w:r>
      <w:r>
        <w:rPr>
          <w:rFonts w:hint="eastAsia" w:cs="宋体"/>
          <w:shd w:val="clear" w:color="auto" w:fill="FFFFFF"/>
          <w:lang w:bidi="ar"/>
        </w:rPr>
        <w:t>：</w:t>
      </w:r>
      <w:r>
        <w:rPr>
          <w:rFonts w:hint="eastAsia" w:ascii="方正仿宋_GBK" w:hAnsi="Times New Roman" w:eastAsia="方正仿宋_GBK"/>
          <w:color w:val="000000"/>
          <w:kern w:val="2"/>
          <w:sz w:val="32"/>
          <w:szCs w:val="32"/>
        </w:rPr>
        <w:t>指单位结转下年的基本支出结转、项目支出结转和结余、经营结余。</w:t>
      </w:r>
    </w:p>
    <w:p>
      <w:pPr>
        <w:pStyle w:val="4"/>
        <w:widowControl/>
        <w:snapToGrid w:val="0"/>
        <w:spacing w:beforeAutospacing="0" w:afterAutospacing="0" w:line="560" w:lineRule="exact"/>
        <w:ind w:firstLine="640" w:firstLineChars="200"/>
        <w:jc w:val="both"/>
        <w:rPr>
          <w:rFonts w:ascii="方正仿宋_GBK" w:hAnsi="Times New Roman" w:eastAsia="方正仿宋_GBK"/>
          <w:color w:val="000000"/>
          <w:kern w:val="2"/>
          <w:sz w:val="32"/>
          <w:szCs w:val="32"/>
        </w:rPr>
      </w:pPr>
      <w:r>
        <w:rPr>
          <w:rFonts w:hint="eastAsia" w:ascii="方正楷体_GBK" w:hAnsi="Times New Roman" w:eastAsia="方正楷体_GBK"/>
          <w:kern w:val="2"/>
          <w:sz w:val="32"/>
          <w:szCs w:val="32"/>
        </w:rPr>
        <w:t>（九）基本支出</w:t>
      </w:r>
      <w:r>
        <w:rPr>
          <w:rFonts w:hint="eastAsia" w:ascii="方正仿宋_GBK" w:hAnsi="Times New Roman" w:eastAsia="方正仿宋_GBK"/>
          <w:color w:val="000000"/>
          <w:kern w:val="2"/>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widowControl/>
        <w:snapToGrid w:val="0"/>
        <w:spacing w:beforeAutospacing="0" w:afterAutospacing="0" w:line="560" w:lineRule="exact"/>
        <w:ind w:firstLine="640" w:firstLineChars="200"/>
        <w:jc w:val="both"/>
        <w:rPr>
          <w:rFonts w:ascii="方正仿宋_GBK" w:hAnsi="Times New Roman" w:eastAsia="方正仿宋_GBK"/>
          <w:color w:val="000000"/>
          <w:kern w:val="2"/>
          <w:sz w:val="32"/>
          <w:szCs w:val="32"/>
        </w:rPr>
      </w:pPr>
      <w:r>
        <w:rPr>
          <w:rFonts w:hint="eastAsia" w:ascii="方正楷体_GBK" w:hAnsi="Times New Roman" w:eastAsia="方正楷体_GBK"/>
          <w:kern w:val="2"/>
          <w:sz w:val="32"/>
          <w:szCs w:val="32"/>
        </w:rPr>
        <w:t>（十）项目支出</w:t>
      </w:r>
      <w:r>
        <w:rPr>
          <w:rFonts w:hint="eastAsia" w:cs="宋体"/>
          <w:shd w:val="clear" w:color="auto" w:fill="FFFFFF"/>
          <w:lang w:bidi="ar"/>
        </w:rPr>
        <w:t>：</w:t>
      </w:r>
      <w:r>
        <w:rPr>
          <w:rFonts w:hint="eastAsia" w:ascii="方正仿宋_GBK" w:hAnsi="Times New Roman" w:eastAsia="方正仿宋_GBK"/>
          <w:color w:val="000000"/>
          <w:kern w:val="2"/>
          <w:sz w:val="32"/>
          <w:szCs w:val="32"/>
        </w:rPr>
        <w:t>指在基本支出之外为完成特定行政任务和事业发展目标所发生的支出。</w:t>
      </w:r>
    </w:p>
    <w:p>
      <w:pPr>
        <w:pStyle w:val="4"/>
        <w:widowControl/>
        <w:snapToGrid w:val="0"/>
        <w:spacing w:beforeAutospacing="0" w:afterAutospacing="0" w:line="560" w:lineRule="exact"/>
        <w:ind w:firstLine="640" w:firstLineChars="200"/>
        <w:jc w:val="both"/>
        <w:rPr>
          <w:rFonts w:ascii="方正仿宋_GBK" w:hAnsi="Times New Roman" w:eastAsia="方正仿宋_GBK"/>
          <w:color w:val="000000"/>
          <w:kern w:val="2"/>
          <w:sz w:val="32"/>
          <w:szCs w:val="32"/>
        </w:rPr>
      </w:pPr>
      <w:r>
        <w:rPr>
          <w:rFonts w:hint="eastAsia" w:ascii="方正楷体_GBK" w:hAnsi="Times New Roman" w:eastAsia="方正楷体_GBK"/>
          <w:kern w:val="2"/>
          <w:sz w:val="32"/>
          <w:szCs w:val="32"/>
        </w:rPr>
        <w:t>（十一）经营支出：</w:t>
      </w:r>
      <w:r>
        <w:rPr>
          <w:rFonts w:hint="eastAsia" w:ascii="方正仿宋_GBK" w:hAnsi="Times New Roman" w:eastAsia="方正仿宋_GBK"/>
          <w:color w:val="000000"/>
          <w:kern w:val="2"/>
          <w:sz w:val="32"/>
          <w:szCs w:val="32"/>
        </w:rPr>
        <w:t>指事业单位在专业业务活动及其辅助活动之外开展非独立核算经营活动发生的支出。</w:t>
      </w:r>
    </w:p>
    <w:p>
      <w:pPr>
        <w:pStyle w:val="4"/>
        <w:widowControl/>
        <w:snapToGrid w:val="0"/>
        <w:spacing w:beforeAutospacing="0" w:afterAutospacing="0" w:line="560" w:lineRule="exact"/>
        <w:ind w:firstLine="640" w:firstLineChars="200"/>
        <w:jc w:val="both"/>
        <w:rPr>
          <w:rFonts w:ascii="方正仿宋_GBK" w:hAnsi="Times New Roman" w:eastAsia="方正仿宋_GBK"/>
          <w:color w:val="000000"/>
          <w:kern w:val="2"/>
          <w:sz w:val="32"/>
          <w:szCs w:val="32"/>
        </w:rPr>
      </w:pPr>
      <w:r>
        <w:rPr>
          <w:rFonts w:hint="eastAsia" w:ascii="方正楷体_GBK" w:hAnsi="Times New Roman" w:eastAsia="方正楷体_GBK"/>
          <w:kern w:val="2"/>
          <w:sz w:val="32"/>
          <w:szCs w:val="32"/>
        </w:rPr>
        <w:t>（十二）</w:t>
      </w:r>
      <w:r>
        <w:rPr>
          <w:rFonts w:ascii="方正楷体_GBK" w:hAnsi="Times New Roman" w:eastAsia="方正楷体_GBK"/>
          <w:kern w:val="2"/>
          <w:sz w:val="32"/>
          <w:szCs w:val="32"/>
        </w:rPr>
        <w:t>“</w:t>
      </w:r>
      <w:r>
        <w:rPr>
          <w:rFonts w:hint="eastAsia" w:ascii="方正楷体_GBK" w:hAnsi="Times New Roman" w:eastAsia="方正楷体_GBK"/>
          <w:kern w:val="2"/>
          <w:sz w:val="32"/>
          <w:szCs w:val="32"/>
        </w:rPr>
        <w:t>三公</w:t>
      </w:r>
      <w:r>
        <w:rPr>
          <w:rFonts w:ascii="方正楷体_GBK" w:hAnsi="Times New Roman" w:eastAsia="方正楷体_GBK"/>
          <w:kern w:val="2"/>
          <w:sz w:val="32"/>
          <w:szCs w:val="32"/>
        </w:rPr>
        <w:t>”</w:t>
      </w:r>
      <w:r>
        <w:rPr>
          <w:rFonts w:hint="eastAsia" w:ascii="方正楷体_GBK" w:hAnsi="Times New Roman" w:eastAsia="方正楷体_GBK"/>
          <w:kern w:val="2"/>
          <w:sz w:val="32"/>
          <w:szCs w:val="32"/>
        </w:rPr>
        <w:t>经费：</w:t>
      </w:r>
      <w:r>
        <w:rPr>
          <w:rFonts w:hint="eastAsia" w:ascii="方正仿宋_GBK" w:hAnsi="Times New Roman" w:eastAsia="方正仿宋_GBK"/>
          <w:color w:val="000000"/>
          <w:kern w:val="2"/>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widowControl/>
        <w:snapToGrid w:val="0"/>
        <w:spacing w:beforeAutospacing="0" w:afterAutospacing="0" w:line="560" w:lineRule="exact"/>
        <w:ind w:firstLine="640" w:firstLineChars="200"/>
        <w:jc w:val="both"/>
        <w:rPr>
          <w:rFonts w:ascii="方正仿宋_GBK" w:hAnsi="Times New Roman" w:eastAsia="方正仿宋_GBK"/>
          <w:color w:val="000000"/>
          <w:kern w:val="2"/>
          <w:sz w:val="32"/>
          <w:szCs w:val="32"/>
        </w:rPr>
      </w:pPr>
      <w:r>
        <w:rPr>
          <w:rFonts w:hint="eastAsia" w:ascii="方正楷体_GBK" w:hAnsi="Times New Roman" w:eastAsia="方正楷体_GBK"/>
          <w:kern w:val="2"/>
          <w:sz w:val="32"/>
          <w:szCs w:val="32"/>
        </w:rPr>
        <w:t>（十三）机关运行经费：</w:t>
      </w:r>
      <w:r>
        <w:rPr>
          <w:rFonts w:hint="eastAsia" w:ascii="方正仿宋_GBK" w:hAnsi="Times New Roman" w:eastAsia="方正仿宋_GBK"/>
          <w:color w:val="000000"/>
          <w:kern w:val="2"/>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widowControl/>
        <w:snapToGrid w:val="0"/>
        <w:spacing w:beforeAutospacing="0" w:afterAutospacing="0" w:line="560" w:lineRule="exact"/>
        <w:ind w:firstLine="640" w:firstLineChars="200"/>
        <w:jc w:val="both"/>
        <w:rPr>
          <w:rFonts w:cs="宋体"/>
        </w:rPr>
      </w:pPr>
      <w:r>
        <w:rPr>
          <w:rFonts w:hint="eastAsia" w:ascii="方正楷体_GBK" w:hAnsi="Times New Roman" w:eastAsia="方正楷体_GBK"/>
          <w:kern w:val="2"/>
          <w:sz w:val="32"/>
          <w:szCs w:val="32"/>
        </w:rPr>
        <w:t>（十四）工资福利支出（支出经济分类科目类级）：</w:t>
      </w:r>
      <w:r>
        <w:rPr>
          <w:rFonts w:hint="eastAsia" w:ascii="方正仿宋_GBK" w:hAnsi="Times New Roman" w:eastAsia="方正仿宋_GBK"/>
          <w:color w:val="000000"/>
          <w:kern w:val="2"/>
          <w:sz w:val="32"/>
          <w:szCs w:val="32"/>
        </w:rPr>
        <w:t>反映单位开支的在职职工和编制外长期聘用人员的各类劳动报酬，以及为上述人员缴纳的各项社会保险费等</w:t>
      </w:r>
      <w:r>
        <w:rPr>
          <w:rFonts w:hint="eastAsia" w:cs="宋体"/>
          <w:shd w:val="clear" w:color="auto" w:fill="FFFFFF"/>
          <w:lang w:bidi="ar"/>
        </w:rPr>
        <w:t>。</w:t>
      </w:r>
    </w:p>
    <w:p>
      <w:pPr>
        <w:pStyle w:val="4"/>
        <w:widowControl/>
        <w:snapToGrid w:val="0"/>
        <w:spacing w:beforeAutospacing="0" w:afterAutospacing="0" w:line="560" w:lineRule="exact"/>
        <w:ind w:firstLine="640" w:firstLineChars="200"/>
        <w:jc w:val="both"/>
        <w:rPr>
          <w:rFonts w:cs="宋体"/>
        </w:rPr>
      </w:pPr>
      <w:r>
        <w:rPr>
          <w:rFonts w:hint="eastAsia" w:ascii="方正楷体_GBK" w:hAnsi="Times New Roman" w:eastAsia="方正楷体_GBK"/>
          <w:kern w:val="2"/>
          <w:sz w:val="32"/>
          <w:szCs w:val="32"/>
        </w:rPr>
        <w:t>（十五）商品和服务支出（支出经济分类科目类级）：</w:t>
      </w:r>
      <w:r>
        <w:rPr>
          <w:rFonts w:hint="eastAsia" w:ascii="方正仿宋_GBK" w:hAnsi="Times New Roman" w:eastAsia="方正仿宋_GBK"/>
          <w:color w:val="000000"/>
          <w:kern w:val="2"/>
          <w:sz w:val="32"/>
          <w:szCs w:val="32"/>
        </w:rPr>
        <w:t>反映单位购买商品和服务的支出（不包括用于购置固定资产的支出、战略性和应急储备支出）。</w:t>
      </w:r>
    </w:p>
    <w:p>
      <w:pPr>
        <w:pStyle w:val="4"/>
        <w:widowControl/>
        <w:snapToGrid w:val="0"/>
        <w:spacing w:beforeAutospacing="0" w:afterAutospacing="0" w:line="560" w:lineRule="exact"/>
        <w:ind w:firstLine="640" w:firstLineChars="200"/>
        <w:jc w:val="both"/>
        <w:rPr>
          <w:rFonts w:ascii="方正仿宋_GBK" w:hAnsi="Times New Roman" w:eastAsia="方正仿宋_GBK"/>
          <w:color w:val="000000"/>
          <w:kern w:val="2"/>
          <w:sz w:val="32"/>
          <w:szCs w:val="32"/>
        </w:rPr>
      </w:pPr>
      <w:r>
        <w:rPr>
          <w:rFonts w:hint="eastAsia" w:ascii="方正楷体_GBK" w:hAnsi="Times New Roman" w:eastAsia="方正楷体_GBK"/>
          <w:kern w:val="2"/>
          <w:sz w:val="32"/>
          <w:szCs w:val="32"/>
        </w:rPr>
        <w:t>（十六）对个人和家庭的补助（支出经济分类科目类级）：</w:t>
      </w:r>
      <w:r>
        <w:rPr>
          <w:rFonts w:hint="eastAsia" w:ascii="方正仿宋_GBK" w:hAnsi="Times New Roman" w:eastAsia="方正仿宋_GBK"/>
          <w:color w:val="000000"/>
          <w:kern w:val="2"/>
          <w:sz w:val="32"/>
          <w:szCs w:val="32"/>
        </w:rPr>
        <w:t>反映用于对个人和家庭的补助支出。</w:t>
      </w:r>
    </w:p>
    <w:p>
      <w:pPr>
        <w:pStyle w:val="4"/>
        <w:widowControl/>
        <w:snapToGrid w:val="0"/>
        <w:spacing w:beforeAutospacing="0" w:afterAutospacing="0" w:line="560" w:lineRule="exact"/>
        <w:ind w:firstLine="640" w:firstLineChars="200"/>
        <w:jc w:val="both"/>
        <w:rPr>
          <w:rFonts w:ascii="方正仿宋_GBK" w:hAnsi="Times New Roman" w:eastAsia="方正仿宋_GBK"/>
          <w:color w:val="000000"/>
          <w:kern w:val="2"/>
          <w:sz w:val="32"/>
          <w:szCs w:val="32"/>
        </w:rPr>
      </w:pPr>
      <w:r>
        <w:rPr>
          <w:rFonts w:hint="eastAsia" w:ascii="方正楷体_GBK" w:hAnsi="Times New Roman" w:eastAsia="方正楷体_GBK"/>
          <w:kern w:val="2"/>
          <w:sz w:val="32"/>
          <w:szCs w:val="32"/>
        </w:rPr>
        <w:t>（十七）其他资本性支出（支出经济分类科目类级）：</w:t>
      </w:r>
      <w:r>
        <w:rPr>
          <w:rFonts w:hint="eastAsia" w:ascii="方正仿宋_GBK" w:hAnsi="Times New Roman" w:eastAsia="方正仿宋_GBK"/>
          <w:color w:val="000000"/>
          <w:kern w:val="2"/>
          <w:sz w:val="32"/>
          <w:szCs w:val="32"/>
        </w:rPr>
        <w:t>反映非各级发展与改革部门集中安排的用于购置固定资产、战略性和应急性储备、土地和无形资产，以及构建基础设施、大型修缮和财政支持企业更新改造所发生的支出。</w:t>
      </w:r>
    </w:p>
    <w:p>
      <w:pPr>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七、决算公开联系方式及信息反馈渠道</w:t>
      </w:r>
    </w:p>
    <w:p>
      <w:pPr>
        <w:pStyle w:val="4"/>
        <w:widowControl/>
        <w:snapToGrid w:val="0"/>
        <w:spacing w:beforeAutospacing="0" w:afterAutospacing="0" w:line="560" w:lineRule="exact"/>
        <w:ind w:firstLine="640" w:firstLineChars="200"/>
        <w:jc w:val="both"/>
        <w:rPr>
          <w:rFonts w:ascii="Times New Roman" w:hAnsi="Times New Roman" w:eastAsia="方正仿宋_GBK"/>
          <w:color w:val="000000"/>
          <w:kern w:val="2"/>
          <w:sz w:val="32"/>
          <w:szCs w:val="32"/>
        </w:rPr>
      </w:pPr>
      <w:r>
        <w:rPr>
          <w:rFonts w:hint="eastAsia" w:ascii="方正仿宋_GBK" w:hAnsi="Times New Roman" w:eastAsia="方正仿宋_GBK"/>
          <w:color w:val="000000"/>
          <w:kern w:val="2"/>
          <w:sz w:val="32"/>
          <w:szCs w:val="32"/>
        </w:rPr>
        <w:t>本单位决算公开信息反馈和联系方式：</w:t>
      </w:r>
      <w:r>
        <w:rPr>
          <w:rFonts w:ascii="Times New Roman" w:hAnsi="Times New Roman" w:eastAsia="方正仿宋_GBK"/>
          <w:color w:val="000000"/>
          <w:kern w:val="2"/>
          <w:sz w:val="32"/>
          <w:szCs w:val="32"/>
        </w:rPr>
        <w:t>023-59230296</w:t>
      </w:r>
    </w:p>
    <w:p>
      <w:pPr>
        <w:spacing w:line="560" w:lineRule="exact"/>
        <w:ind w:firstLine="581"/>
        <w:rPr>
          <w:rFonts w:ascii="方正仿宋_GBK" w:hAnsi="Times New Roman" w:eastAsia="方正仿宋_GBK" w:cs="Times New Roman"/>
          <w:color w:val="000000"/>
          <w:sz w:val="32"/>
          <w:szCs w:val="32"/>
        </w:rPr>
      </w:pPr>
    </w:p>
    <w:sectPr>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NTUxYTVjYTI1MjNiY2IwM2E1MmFlYzAxMzFiY2UifQ=="/>
  </w:docVars>
  <w:rsids>
    <w:rsidRoot w:val="58704C05"/>
    <w:rsid w:val="00E51B48"/>
    <w:rsid w:val="00E73DBF"/>
    <w:rsid w:val="00FD280A"/>
    <w:rsid w:val="05B46244"/>
    <w:rsid w:val="080C06D6"/>
    <w:rsid w:val="0E534349"/>
    <w:rsid w:val="11232CA0"/>
    <w:rsid w:val="112D3EE8"/>
    <w:rsid w:val="16BC1C2B"/>
    <w:rsid w:val="173E066C"/>
    <w:rsid w:val="1CE95258"/>
    <w:rsid w:val="20085EE1"/>
    <w:rsid w:val="244C1236"/>
    <w:rsid w:val="24F44C86"/>
    <w:rsid w:val="273E661A"/>
    <w:rsid w:val="28754330"/>
    <w:rsid w:val="29D933F7"/>
    <w:rsid w:val="2C854C04"/>
    <w:rsid w:val="31574BAE"/>
    <w:rsid w:val="355552CD"/>
    <w:rsid w:val="364315C9"/>
    <w:rsid w:val="39EC5C40"/>
    <w:rsid w:val="45673E39"/>
    <w:rsid w:val="45C53DA9"/>
    <w:rsid w:val="46454EEA"/>
    <w:rsid w:val="4C88562A"/>
    <w:rsid w:val="562E14F6"/>
    <w:rsid w:val="58704C05"/>
    <w:rsid w:val="5C3427B6"/>
    <w:rsid w:val="5DE60909"/>
    <w:rsid w:val="60180DE9"/>
    <w:rsid w:val="66967370"/>
    <w:rsid w:val="6F7744B6"/>
    <w:rsid w:val="755D72AA"/>
    <w:rsid w:val="78DD6EAA"/>
    <w:rsid w:val="7BD3B017"/>
    <w:rsid w:val="BFFF2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宋体" w:hAnsi="宋体" w:eastAsia="宋体" w:cs="Times New Roman"/>
      <w:kern w:val="0"/>
      <w:sz w:val="24"/>
    </w:rPr>
  </w:style>
  <w:style w:type="character" w:customStyle="1" w:styleId="7">
    <w:name w:val="15"/>
    <w:basedOn w:val="6"/>
    <w:qFormat/>
    <w:uiPriority w:val="0"/>
    <w:rPr>
      <w:rFonts w:hint="default" w:ascii="Times New Roman" w:hAnsi="Times New Roman" w:cs="Times New Roman"/>
      <w:b/>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0"/>
    <w:rPr>
      <w:kern w:val="2"/>
      <w:sz w:val="18"/>
      <w:szCs w:val="18"/>
    </w:rPr>
  </w:style>
  <w:style w:type="character" w:customStyle="1" w:styleId="10">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815</Words>
  <Characters>4652</Characters>
  <Lines>38</Lines>
  <Paragraphs>10</Paragraphs>
  <TotalTime>38</TotalTime>
  <ScaleCrop>false</ScaleCrop>
  <LinksUpToDate>false</LinksUpToDate>
  <CharactersWithSpaces>5457</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2023-10-25T11:59:00Z</dcterms:created>
  <dc:creator>Lillian</dc:creator>
  <cp:lastModifiedBy>ckuos</cp:lastModifiedBy>
  <dcterms:modified xsi:type="dcterms:W3CDTF">2024-12-02T12:52:28Z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D7160BD1B2264DEFAB0D1579AB474954_11</vt:lpwstr>
  </property>
  <property fmtid="{D5CDD505-2E9C-101B-9397-08002B2CF9AE}" pid="4" name="KSOSaveFontToCloudKey">
    <vt:lpwstr>300157628_embed</vt:lpwstr>
  </property>
</Properties>
</file>