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w:t>
      </w:r>
      <w:r>
        <w:rPr>
          <w:rFonts w:ascii="方正小标宋_GBK" w:hAnsi="方正小标宋_GBK" w:eastAsia="方正小标宋_GBK" w:cs="方正小标宋_GBK"/>
          <w:bCs/>
          <w:sz w:val="44"/>
          <w:szCs w:val="44"/>
        </w:rPr>
        <w:t>庆市城口县左岚乡第一中心小学</w:t>
      </w:r>
    </w:p>
    <w:p>
      <w:pPr>
        <w:autoSpaceDE w:val="0"/>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bCs/>
          <w:sz w:val="44"/>
          <w:szCs w:val="44"/>
        </w:rPr>
        <w:t>2022年度部门决算情况说明</w:t>
      </w:r>
    </w:p>
    <w:p>
      <w:pPr>
        <w:pStyle w:val="21"/>
        <w:spacing w:beforeAutospacing="0" w:afterAutospacing="0" w:line="579" w:lineRule="exact"/>
        <w:ind w:firstLine="640" w:firstLineChars="200"/>
        <w:rPr>
          <w:rStyle w:val="22"/>
          <w:rFonts w:hint="eastAsia" w:ascii="方正楷体_GBK" w:hAnsi="方正楷体_GBK" w:eastAsia="方正楷体_GBK" w:cs="方正楷体_GBK"/>
          <w:b w:val="0"/>
          <w:bCs/>
          <w:sz w:val="32"/>
          <w:szCs w:val="32"/>
          <w:shd w:val="clear" w:color="auto" w:fill="FFFFFF"/>
        </w:rPr>
      </w:pPr>
    </w:p>
    <w:p>
      <w:pPr>
        <w:pStyle w:val="21"/>
        <w:spacing w:beforeAutospacing="0" w:afterAutospacing="0" w:line="579" w:lineRule="exact"/>
        <w:ind w:firstLine="640" w:firstLineChars="200"/>
        <w:rPr>
          <w:rStyle w:val="22"/>
          <w:rFonts w:hint="eastAsia" w:ascii="方正黑体_GBK" w:hAnsi="方正黑体_GBK" w:eastAsia="方正黑体_GBK" w:cs="方正黑体_GBK"/>
          <w:b w:val="0"/>
          <w:bCs/>
          <w:sz w:val="32"/>
          <w:szCs w:val="32"/>
          <w:shd w:val="clear" w:color="auto" w:fill="FFFFFF"/>
        </w:rPr>
      </w:pPr>
      <w:r>
        <w:rPr>
          <w:rStyle w:val="22"/>
          <w:rFonts w:hint="eastAsia" w:ascii="方正黑体_GBK" w:hAnsi="方正黑体_GBK" w:eastAsia="方正黑体_GBK" w:cs="方正黑体_GBK"/>
          <w:b w:val="0"/>
          <w:bCs/>
          <w:sz w:val="32"/>
          <w:szCs w:val="32"/>
          <w:shd w:val="clear" w:color="auto" w:fill="FFFFFF"/>
        </w:rPr>
        <w:t>一、部门基本情况</w:t>
      </w:r>
    </w:p>
    <w:p>
      <w:pPr>
        <w:pStyle w:val="21"/>
        <w:spacing w:beforeAutospacing="0" w:afterAutospacing="0" w:line="579" w:lineRule="exact"/>
        <w:ind w:firstLine="640" w:firstLineChars="200"/>
        <w:rPr>
          <w:rFonts w:hint="default" w:ascii="方正仿宋_GBK" w:hAnsi="方正仿宋_GBK" w:eastAsia="方正仿宋_GBK" w:cs="方正仿宋_GBK"/>
          <w:sz w:val="32"/>
          <w:lang w:bidi="ar"/>
        </w:rPr>
      </w:pPr>
      <w:r>
        <w:rPr>
          <w:rStyle w:val="22"/>
          <w:rFonts w:hint="eastAsia" w:ascii="方正楷体_GBK" w:hAnsi="方正楷体_GBK" w:eastAsia="方正楷体_GBK" w:cs="方正楷体_GBK"/>
          <w:b w:val="0"/>
          <w:bCs/>
          <w:sz w:val="32"/>
          <w:szCs w:val="32"/>
          <w:shd w:val="clear" w:color="auto" w:fill="FFFFFF"/>
        </w:rPr>
        <w:t>（一）职能职</w:t>
      </w:r>
      <w:r>
        <w:rPr>
          <w:rFonts w:ascii="方正楷体_GBK" w:hAnsi="方正楷体_GBK" w:eastAsia="方正楷体_GBK" w:cs="方正楷体_GBK"/>
          <w:sz w:val="32"/>
          <w:lang w:bidi="ar"/>
        </w:rPr>
        <w:t>责</w:t>
      </w:r>
    </w:p>
    <w:p>
      <w:pPr>
        <w:spacing w:line="579" w:lineRule="exact"/>
        <w:ind w:firstLine="640" w:firstLineChars="200"/>
        <w:rPr>
          <w:rFonts w:hint="default" w:ascii="方正仿宋_GBK" w:hAnsi="方正仿宋_GBK" w:eastAsia="方正仿宋_GBK" w:cs="方正仿宋_GBK"/>
        </w:rPr>
      </w:pPr>
      <w:r>
        <w:rPr>
          <w:rFonts w:ascii="方正仿宋_GBK" w:hAnsi="方正仿宋_GBK" w:eastAsia="方正仿宋_GBK" w:cs="方正仿宋_GBK"/>
          <w:lang w:bidi="ar"/>
        </w:rPr>
        <w:t>在城口县教</w:t>
      </w:r>
      <w:r>
        <w:rPr>
          <w:rFonts w:ascii="方正仿宋_GBK" w:hAnsi="方正仿宋_GBK" w:eastAsia="方正仿宋_GBK" w:cs="方正仿宋_GBK"/>
        </w:rPr>
        <w:t>育委员会的正确领导和关心支持下，在社会各界的大力配合下，坚持以科学发展观重要思想为指导，认真贯彻执行党的教育方针、政策，有计划、有步骤地开展学校的各项工作。我校在教育设施不尽完善的情况下，牢牢抓好全乡教育教学质量关，注重学校安全教育，各项工作都取得了明显的进步，较好地完成了学期初制定的工作目标。</w:t>
      </w:r>
    </w:p>
    <w:p>
      <w:pPr>
        <w:spacing w:line="579" w:lineRule="exact"/>
        <w:ind w:firstLine="640" w:firstLineChars="200"/>
        <w:rPr>
          <w:rFonts w:hint="default" w:ascii="方正仿宋_GBK" w:hAnsi="方正仿宋_GBK" w:eastAsia="方正仿宋_GBK" w:cs="方正仿宋_GBK"/>
        </w:rPr>
      </w:pPr>
      <w:r>
        <w:rPr>
          <w:rFonts w:hint="default" w:ascii="Times New Roman" w:hAnsi="Times New Roman" w:eastAsia="方正仿宋_GBK"/>
        </w:rPr>
        <w:t>1</w:t>
      </w:r>
      <w:r>
        <w:rPr>
          <w:rFonts w:ascii="Times New Roman" w:hAnsi="Times New Roman" w:eastAsia="方正仿宋_GBK"/>
        </w:rPr>
        <w:t>.</w:t>
      </w:r>
      <w:r>
        <w:rPr>
          <w:rFonts w:ascii="方正仿宋_GBK" w:hAnsi="方正仿宋_GBK" w:eastAsia="方正仿宋_GBK" w:cs="方正仿宋_GBK"/>
        </w:rPr>
        <w:t>宣传贯彻执行党和国家的教育方针、政策、法律法规等，坚持依法治教、依法治学，贯彻执行县教委的行政规章制度。</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2.配合县、乡人民政府制定符合党的教育方针和国家教育法律法规以及本校实际的教育发展规划和学校布局调整规划，并抓好组织实施和落实工作。</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3.巩固提高“均衡教育”工作成果和整体水平，配合各级人民政府依法动员、组织适龄儿童少年入学，严格控制辍学。</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4.组织开展本校的教育教学科研和教育教学改革，科研兴教，科研兴校。负责对本校教育教学业务的具体管理和教育教学及教研教改工作，全力推进素质教育实施。</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5.按照干部和教师的职数、编制和管理权限，负责本校教师人事管理、继续教育、考核考评等工作。</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6.负责本校财务和基建管理，筹措资金，改善办学条件等工作。</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7.指导、管理、检查、评价本校的教育教学工作，提高办学质量和办学效益。按照义务教育课程计划，开齐课程，开足课时，认真实施中小学的教育教学管理，全面推进素质教育，全面提高教育教学质量。</w:t>
      </w:r>
    </w:p>
    <w:p>
      <w:pPr>
        <w:pStyle w:val="21"/>
        <w:spacing w:beforeAutospacing="0" w:afterAutospacing="0" w:line="579" w:lineRule="exact"/>
        <w:ind w:firstLine="640" w:firstLineChars="200"/>
        <w:rPr>
          <w:rStyle w:val="22"/>
          <w:rFonts w:hint="eastAsia" w:ascii="方正楷体_GBK" w:hAnsi="方正楷体_GBK" w:eastAsia="方正楷体_GBK" w:cs="方正楷体_GBK"/>
          <w:b w:val="0"/>
          <w:bCs/>
          <w:sz w:val="32"/>
          <w:szCs w:val="32"/>
          <w:shd w:val="clear" w:color="auto" w:fill="FFFFFF"/>
        </w:rPr>
      </w:pPr>
      <w:r>
        <w:rPr>
          <w:rStyle w:val="22"/>
          <w:rFonts w:hint="eastAsia" w:ascii="方正楷体_GBK" w:hAnsi="方正楷体_GBK" w:eastAsia="方正楷体_GBK" w:cs="方正楷体_GBK"/>
          <w:b w:val="0"/>
          <w:bCs/>
          <w:sz w:val="32"/>
          <w:szCs w:val="32"/>
          <w:shd w:val="clear" w:color="auto" w:fill="FFFFFF"/>
        </w:rPr>
        <w:t>（二）机构设置</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1.独立编制机构数1个。</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2.独立核算机构数1个。</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3.财政补助拨款事业单位1个。</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4.单位编制人数14人。实有职工15人，其中：在职15人，退休12人。</w:t>
      </w:r>
    </w:p>
    <w:p>
      <w:pPr>
        <w:pStyle w:val="21"/>
        <w:spacing w:beforeAutospacing="0" w:afterAutospacing="0" w:line="579" w:lineRule="exact"/>
        <w:ind w:firstLine="640" w:firstLineChars="200"/>
        <w:rPr>
          <w:rStyle w:val="22"/>
          <w:rFonts w:hint="eastAsia" w:ascii="方正黑体_GBK" w:hAnsi="方正黑体_GBK" w:eastAsia="方正黑体_GBK" w:cs="方正黑体_GBK"/>
          <w:b w:val="0"/>
          <w:bCs/>
          <w:sz w:val="32"/>
          <w:szCs w:val="32"/>
          <w:shd w:val="clear" w:color="auto" w:fill="FFFFFF"/>
        </w:rPr>
      </w:pPr>
      <w:r>
        <w:rPr>
          <w:rStyle w:val="22"/>
          <w:rFonts w:hint="eastAsia" w:ascii="方正黑体_GBK" w:hAnsi="方正黑体_GBK" w:eastAsia="方正黑体_GBK" w:cs="方正黑体_GBK"/>
          <w:b w:val="0"/>
          <w:bCs/>
          <w:sz w:val="32"/>
          <w:szCs w:val="32"/>
          <w:shd w:val="clear" w:color="auto" w:fill="FFFFFF"/>
        </w:rPr>
        <w:t>二、部门决算情况说明</w:t>
      </w:r>
    </w:p>
    <w:p>
      <w:pPr>
        <w:pStyle w:val="21"/>
        <w:spacing w:beforeAutospacing="0" w:afterAutospacing="0" w:line="579" w:lineRule="exact"/>
        <w:ind w:firstLine="640" w:firstLineChars="200"/>
        <w:rPr>
          <w:rStyle w:val="22"/>
          <w:rFonts w:hint="eastAsia" w:ascii="方正楷体_GBK" w:hAnsi="方正楷体_GBK" w:eastAsia="方正楷体_GBK" w:cs="方正楷体_GBK"/>
          <w:b w:val="0"/>
          <w:bCs/>
          <w:sz w:val="32"/>
          <w:szCs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（一）收入支出决算总体情况说明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1.总体情况。2022年度收入总计365.35万元，支出总计365.35万元。收支较上年决算数减少84.64万元,下降18.8%，主要原因是建设项目减少以及学校生源开支减少。</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收入情况。2022年度收入合计354.46万元，较上年决算数减少95.53万元，下降21.2%，主要原因是建设项目减少，生源减少学校经费减少。其中：财政拨款收入341.91万元，占96.5%；事业收入8.53万元，占2.4%；经营收入0.00万元，占0%；其他收入4.02万元，占1.1%。此外，使用非财政拨款结余0.00万元，年初结转和结余10.89万元。</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3.支出情况。2022年度支出合计356.27万元，较上年决算减少82.83万元，下降18.9%，主要原因是项目支出减少。其中：基本支出321.54万元，占90.3%；项目支出34.73万元，占9.7%；经营支出0.00万元，占0%。此外，结余分配0.00万元。</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4.结转结余情况。2022年度年末结转和结余9.08万元，较上年决算数减少1.81万元，下降16.6%，主要原因是去年有的项目未实现支出</w:t>
      </w:r>
    </w:p>
    <w:p>
      <w:pPr>
        <w:spacing w:line="579" w:lineRule="exact"/>
        <w:ind w:firstLine="640" w:firstLineChars="200"/>
        <w:rPr>
          <w:rStyle w:val="22"/>
          <w:rFonts w:hint="eastAsia" w:ascii="方正楷体_GBK" w:hAnsi="方正楷体_GBK" w:eastAsia="方正楷体_GBK" w:cs="方正楷体_GBK"/>
          <w:b w:val="0"/>
          <w:bCs/>
          <w:szCs w:val="32"/>
          <w:shd w:val="clear" w:color="auto" w:fill="FFFFFF"/>
          <w:lang w:bidi="ar"/>
        </w:rPr>
      </w:pPr>
      <w:r>
        <w:rPr>
          <w:rStyle w:val="22"/>
          <w:rFonts w:hint="eastAsia" w:ascii="方正楷体_GBK" w:hAnsi="方正楷体_GBK" w:eastAsia="方正楷体_GBK" w:cs="方正楷体_GBK"/>
          <w:b w:val="0"/>
          <w:bCs/>
          <w:szCs w:val="32"/>
          <w:shd w:val="clear" w:color="auto" w:fill="FFFFFF"/>
          <w:lang w:bidi="ar"/>
        </w:rPr>
        <w:t>（二）财政拨款收入支出决算总体情况说明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2022年度财政拨款收、支总计341.91万元。与2021年相比，财政拨款收、支总计各减少65.24万元，下降16%。主要原因是项目金飞减少。</w:t>
      </w:r>
    </w:p>
    <w:p>
      <w:pPr>
        <w:spacing w:line="579" w:lineRule="exact"/>
        <w:ind w:firstLine="640" w:firstLineChars="200"/>
        <w:rPr>
          <w:rStyle w:val="22"/>
          <w:rFonts w:hint="eastAsia" w:ascii="方正楷体_GBK" w:hAnsi="方正楷体_GBK" w:eastAsia="方正楷体_GBK" w:cs="方正楷体_GBK"/>
          <w:b w:val="0"/>
          <w:bCs/>
          <w:szCs w:val="32"/>
          <w:shd w:val="clear" w:color="auto" w:fill="FFFFFF"/>
          <w:lang w:bidi="ar"/>
        </w:rPr>
      </w:pPr>
      <w:r>
        <w:rPr>
          <w:rStyle w:val="22"/>
          <w:rFonts w:hint="eastAsia" w:ascii="方正楷体_GBK" w:hAnsi="方正楷体_GBK" w:eastAsia="方正楷体_GBK" w:cs="方正楷体_GBK"/>
          <w:b w:val="0"/>
          <w:bCs/>
          <w:szCs w:val="32"/>
          <w:shd w:val="clear" w:color="auto" w:fill="FFFFFF"/>
          <w:lang w:bidi="ar"/>
        </w:rPr>
        <w:t>（三）一般公共预算财政拨款收入支出决算情况说明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1.收入情况。2022年度一般公共预算财政拨款收入341.91万元，较上年决算数减少65.24万元，下降16%。主要原因是项目建设减少。较年初预算数增加60.68万元，增长21.6%。主要原因是学生资助、人员经费等年中有预算调整。</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支出情况。2022年度一般公共预算财政拨款支出341.91万元，较上年决算数减少65.24万元，下降16%。主要原因是项目支出减少较年初预算数增加60.68万元，增长21.6%。主要原因是学生资助、人员经费等年中有预算调整。</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3.结转结余情况。2022年度年末一般公共预算财政拨款结转和结余0.00万元，较上年决算数增加0.00万元，与上年决算数持平。</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 xml:space="preserve"> 4.比较情况。本部门2022年度一般公共预算财政拨款支出主要用于以下几个方面：</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（1）一般公共服务支出1.17万元，占0.3%，较年初预算数减少0.02万元，下降1.7%，与年初预算数基本持平。</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（2）教育支出278.29万元，占81.4%，较年初预算数增加82.98万元，增长42.5%，主要原因是学生资助、人员经费等年中有预算调整。</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（3）社会保障与就业支出34.93万元，占10.2%，较年初预算数减少22.28万元，下降38.9%，主要原因是在决算前未及时划转实现支出。</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（4）卫生健康支出12.71万元，占3.7%，较年初预算数增加0.00万元，较年初预算数持平。</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（5）住房保障支出14.81万元，占4.3%，较年初预算数增加0.00万元，较年初预算数持平。</w:t>
      </w:r>
    </w:p>
    <w:p>
      <w:pPr>
        <w:spacing w:line="579" w:lineRule="exact"/>
        <w:ind w:firstLine="640" w:firstLineChars="200"/>
        <w:rPr>
          <w:rFonts w:hint="default" w:ascii="方正仿宋_GBK" w:hAnsi="方正仿宋_GBK" w:eastAsia="方正仿宋_GBK" w:cs="方正仿宋_GBK"/>
        </w:rPr>
      </w:pPr>
      <w:r>
        <w:rPr>
          <w:rStyle w:val="22"/>
          <w:rFonts w:hint="eastAsia" w:ascii="方正楷体_GBK" w:hAnsi="方正楷体_GBK" w:eastAsia="方正楷体_GBK" w:cs="方正楷体_GBK"/>
          <w:b w:val="0"/>
          <w:bCs/>
          <w:szCs w:val="32"/>
          <w:shd w:val="clear" w:color="auto" w:fill="FFFFFF"/>
          <w:lang w:bidi="ar"/>
        </w:rPr>
        <w:t>（四）一般公共预算财政拨款基本支出决算情况说明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2022年度一般公共预算财政拨款基本支出307.18万元。其中：人员经费289.24万元，较上年决算数减少29.31万元，下降9.2%，主要原因是决算前未及时划转实现支出。人员经费用途主要包括基本工资、津贴补贴、绩效工资、社会保障缴费等。公用经费17.93万元，较上年决算数减少3.99万元，下降18.2%，主要原因是办公费、维修费减少。公用经费用途主要包括办公费、水费、电费、邮电费、差旅费、维修费、培训费、工会费等。</w:t>
      </w:r>
    </w:p>
    <w:p>
      <w:pPr>
        <w:spacing w:line="579" w:lineRule="exact"/>
        <w:ind w:firstLine="640" w:firstLineChars="200"/>
        <w:rPr>
          <w:rStyle w:val="22"/>
          <w:rFonts w:hint="eastAsia" w:ascii="方正楷体_GBK" w:hAnsi="方正楷体_GBK" w:eastAsia="方正楷体_GBK" w:cs="方正楷体_GBK"/>
          <w:b w:val="0"/>
          <w:bCs/>
          <w:szCs w:val="32"/>
          <w:shd w:val="clear" w:color="auto" w:fill="FFFFFF"/>
          <w:lang w:bidi="ar"/>
        </w:rPr>
      </w:pPr>
      <w:r>
        <w:rPr>
          <w:rStyle w:val="22"/>
          <w:rFonts w:hint="eastAsia" w:ascii="方正楷体_GBK" w:hAnsi="方正楷体_GBK" w:eastAsia="方正楷体_GBK" w:cs="方正楷体_GBK"/>
          <w:b w:val="0"/>
          <w:bCs/>
          <w:szCs w:val="32"/>
          <w:shd w:val="clear" w:color="auto" w:fill="FFFFFF"/>
          <w:lang w:bidi="ar"/>
        </w:rPr>
        <w:t>（五）政府性基金预算收支决算情况说明。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本部门2022年度无政府性基金预算财政拨款收支。</w:t>
      </w:r>
    </w:p>
    <w:p>
      <w:pPr>
        <w:spacing w:line="579" w:lineRule="exact"/>
        <w:ind w:firstLine="640" w:firstLineChars="200"/>
        <w:rPr>
          <w:rStyle w:val="22"/>
          <w:rFonts w:hint="eastAsia" w:ascii="方正楷体_GBK" w:hAnsi="方正楷体_GBK" w:eastAsia="方正楷体_GBK" w:cs="方正楷体_GBK"/>
          <w:b w:val="0"/>
          <w:bCs/>
          <w:szCs w:val="32"/>
          <w:shd w:val="clear" w:color="auto" w:fill="FFFFFF"/>
          <w:lang w:bidi="ar"/>
        </w:rPr>
      </w:pPr>
      <w:r>
        <w:rPr>
          <w:rStyle w:val="22"/>
          <w:rFonts w:hint="eastAsia" w:ascii="方正楷体_GBK" w:hAnsi="方正楷体_GBK" w:eastAsia="方正楷体_GBK" w:cs="方正楷体_GBK"/>
          <w:b w:val="0"/>
          <w:bCs/>
          <w:szCs w:val="32"/>
          <w:shd w:val="clear" w:color="auto" w:fill="FFFFFF"/>
          <w:lang w:bidi="ar"/>
        </w:rPr>
        <w:t>（六）国有资本经营预算财政拨款支出决算情况说明。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本部门 2022年度无国有资本经营预算财政拨</w:t>
      </w:r>
      <w:r>
        <w:rPr>
          <w:rFonts w:hint="eastAsia" w:ascii="Times New Roman" w:hAnsi="Times New Roman" w:eastAsia="方正仿宋_GBK"/>
          <w:lang w:eastAsia="zh-CN"/>
        </w:rPr>
        <w:t>款</w:t>
      </w:r>
      <w:bookmarkStart w:id="0" w:name="_GoBack"/>
      <w:bookmarkEnd w:id="0"/>
      <w:r>
        <w:rPr>
          <w:rFonts w:ascii="Times New Roman" w:hAnsi="Times New Roman" w:eastAsia="方正仿宋_GBK"/>
        </w:rPr>
        <w:t>支出。</w:t>
      </w:r>
    </w:p>
    <w:p>
      <w:pPr>
        <w:pStyle w:val="21"/>
        <w:numPr>
          <w:ilvl w:val="0"/>
          <w:numId w:val="1"/>
        </w:numPr>
        <w:spacing w:beforeAutospacing="0" w:afterAutospacing="0" w:line="579" w:lineRule="exact"/>
        <w:ind w:firstLine="640" w:firstLineChars="200"/>
        <w:rPr>
          <w:rStyle w:val="22"/>
          <w:rFonts w:hint="eastAsia" w:ascii="方正黑体_GBK" w:hAnsi="方正黑体_GBK" w:eastAsia="方正黑体_GBK" w:cs="方正黑体_GBK"/>
          <w:b w:val="0"/>
          <w:bCs/>
          <w:sz w:val="32"/>
          <w:szCs w:val="32"/>
          <w:shd w:val="clear" w:color="auto" w:fill="FFFFFF"/>
        </w:rPr>
      </w:pPr>
      <w:r>
        <w:rPr>
          <w:rStyle w:val="22"/>
          <w:rFonts w:hint="eastAsia" w:ascii="方正黑体_GBK" w:hAnsi="方正黑体_GBK" w:eastAsia="方正黑体_GBK" w:cs="方正黑体_GBK"/>
          <w:b w:val="0"/>
          <w:bCs/>
          <w:sz w:val="32"/>
          <w:szCs w:val="32"/>
          <w:shd w:val="clear" w:color="auto" w:fill="FFFFFF"/>
        </w:rPr>
        <w:t>“三公”经费情况说明</w:t>
      </w:r>
    </w:p>
    <w:p>
      <w:pPr>
        <w:pStyle w:val="21"/>
        <w:spacing w:beforeAutospacing="0" w:afterAutospacing="0" w:line="579" w:lineRule="exact"/>
        <w:ind w:left="640" w:leftChars="200"/>
        <w:rPr>
          <w:rStyle w:val="22"/>
          <w:rFonts w:hint="eastAsia" w:ascii="方正楷体_GBK" w:hAnsi="方正楷体_GBK" w:eastAsia="方正楷体_GBK" w:cs="方正楷体_GBK"/>
          <w:b w:val="0"/>
          <w:bCs/>
          <w:sz w:val="32"/>
          <w:szCs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（一）“三公”经费支出总体情况说明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2022年度“三公”经费支出共计0.26万元，较年初预算数减少0.04万元，下降13.3%，主要原因是在年初预算的基础上减少了一些不必要的接待。较上年支出数减少0.19万元，下降42.2%，主要原因是主要原因是严格执行中央八项规定，力争“三公”经费只减不增。</w:t>
      </w:r>
    </w:p>
    <w:p>
      <w:pPr>
        <w:spacing w:line="579" w:lineRule="exact"/>
        <w:ind w:firstLine="640" w:firstLineChars="200"/>
        <w:rPr>
          <w:rStyle w:val="22"/>
          <w:rFonts w:hint="eastAsia" w:ascii="方正楷体_GBK" w:hAnsi="方正楷体_GBK" w:eastAsia="方正楷体_GBK" w:cs="方正楷体_GBK"/>
          <w:b w:val="0"/>
          <w:bCs/>
          <w:szCs w:val="32"/>
          <w:shd w:val="clear" w:color="auto" w:fill="FFFFFF"/>
          <w:lang w:bidi="ar"/>
        </w:rPr>
      </w:pPr>
      <w:r>
        <w:rPr>
          <w:rStyle w:val="22"/>
          <w:rFonts w:hint="eastAsia" w:ascii="方正楷体_GBK" w:hAnsi="方正楷体_GBK" w:eastAsia="方正楷体_GBK" w:cs="方正楷体_GBK"/>
          <w:b w:val="0"/>
          <w:bCs/>
          <w:szCs w:val="32"/>
          <w:shd w:val="clear" w:color="auto" w:fill="FFFFFF"/>
          <w:lang w:bidi="ar"/>
        </w:rPr>
        <w:t>（二）“三公”经费分项支出情况</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2022年度本部门无因公出国（境）费用。</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2022年度本部门无公务车购置费。</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2022年度本部门无公务车运行维护费。</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公务接待费0.26万元，主要用于接待到我校联系工作的人员发生的费用。费用支出较年初预算数减少0.04万元，下降13.3%，主要原因是在年初预算的基础上减少了一些不必要的接待。较上年支出数减少0.19万元，下降42.2%，主要原因是严格执行中央八项规定，力争“三公”经费只减不增。</w:t>
      </w:r>
    </w:p>
    <w:p>
      <w:pPr>
        <w:spacing w:line="579" w:lineRule="exact"/>
        <w:ind w:firstLine="640" w:firstLineChars="200"/>
        <w:rPr>
          <w:rStyle w:val="22"/>
          <w:rFonts w:hint="eastAsia" w:ascii="方正楷体_GBK" w:hAnsi="方正楷体_GBK" w:eastAsia="方正楷体_GBK" w:cs="方正楷体_GBK"/>
          <w:b w:val="0"/>
          <w:bCs/>
          <w:szCs w:val="32"/>
          <w:shd w:val="clear" w:color="auto" w:fill="FFFFFF"/>
          <w:lang w:bidi="ar"/>
        </w:rPr>
      </w:pPr>
      <w:r>
        <w:rPr>
          <w:rStyle w:val="22"/>
          <w:rFonts w:hint="eastAsia" w:ascii="方正楷体_GBK" w:hAnsi="方正楷体_GBK" w:eastAsia="方正楷体_GBK" w:cs="方正楷体_GBK"/>
          <w:b w:val="0"/>
          <w:bCs/>
          <w:szCs w:val="32"/>
          <w:shd w:val="clear" w:color="auto" w:fill="FFFFFF"/>
          <w:lang w:bidi="ar"/>
        </w:rPr>
        <w:t>（三）“三公”经费实物量情况</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2022年度本部门因公出国（境）共计0个团组，0人；公务用车购置0辆，公务车保有量为0辆；国内公务接待5批次30人，其中：国内外事接待0批次，0人；国（境）外公务接待0批次，0人。2022年本部门人均接待费85.64元，车均购置费0.00万元，车均维护费0.00万元。</w:t>
      </w:r>
    </w:p>
    <w:p>
      <w:pPr>
        <w:pStyle w:val="21"/>
        <w:numPr>
          <w:ilvl w:val="0"/>
          <w:numId w:val="1"/>
        </w:numPr>
        <w:spacing w:beforeAutospacing="0" w:afterAutospacing="0" w:line="579" w:lineRule="exact"/>
        <w:ind w:firstLine="640" w:firstLineChars="200"/>
        <w:rPr>
          <w:rStyle w:val="22"/>
          <w:rFonts w:hint="eastAsia" w:ascii="方正黑体_GBK" w:hAnsi="方正黑体_GBK" w:eastAsia="方正黑体_GBK" w:cs="方正黑体_GBK"/>
          <w:b w:val="0"/>
          <w:bCs/>
          <w:sz w:val="32"/>
          <w:szCs w:val="32"/>
          <w:shd w:val="clear" w:color="auto" w:fill="FFFFFF"/>
        </w:rPr>
      </w:pPr>
      <w:r>
        <w:rPr>
          <w:rStyle w:val="22"/>
          <w:rFonts w:hint="eastAsia" w:ascii="方正黑体_GBK" w:hAnsi="方正黑体_GBK" w:eastAsia="方正黑体_GBK" w:cs="方正黑体_GBK"/>
          <w:b w:val="0"/>
          <w:bCs/>
          <w:sz w:val="32"/>
          <w:szCs w:val="32"/>
          <w:shd w:val="clear" w:color="auto" w:fill="FFFFFF"/>
        </w:rPr>
        <w:t>其他需要说明的事项</w:t>
      </w:r>
    </w:p>
    <w:p>
      <w:pPr>
        <w:pStyle w:val="21"/>
        <w:spacing w:beforeAutospacing="0" w:afterAutospacing="0" w:line="579" w:lineRule="exact"/>
        <w:ind w:left="640" w:leftChars="200"/>
        <w:rPr>
          <w:rStyle w:val="22"/>
          <w:rFonts w:hint="eastAsia" w:ascii="方正楷体_GBK" w:hAnsi="方正楷体_GBK" w:eastAsia="方正楷体_GBK" w:cs="方正楷体_GBK"/>
          <w:b w:val="0"/>
          <w:bCs/>
          <w:sz w:val="32"/>
          <w:szCs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（一）财政拨款会议费和培训费情况说明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本年度会议费支出0.30万元，较上年决算数增加0.30万元，主要原因是上年无会议费今年有。本年度培训费支出0.20万元，较上年决算数减少0.70万元，下降77.8%，主要原因是培训减少。</w:t>
      </w:r>
    </w:p>
    <w:p>
      <w:pPr>
        <w:spacing w:line="579" w:lineRule="exact"/>
        <w:ind w:firstLine="640" w:firstLineChars="200"/>
        <w:rPr>
          <w:rStyle w:val="22"/>
          <w:rFonts w:hint="eastAsia" w:ascii="方正楷体_GBK" w:hAnsi="方正楷体_GBK" w:eastAsia="方正楷体_GBK" w:cs="方正楷体_GBK"/>
          <w:b w:val="0"/>
          <w:bCs/>
          <w:szCs w:val="32"/>
          <w:shd w:val="clear" w:color="auto" w:fill="FFFFFF"/>
          <w:lang w:bidi="ar"/>
        </w:rPr>
      </w:pPr>
      <w:r>
        <w:rPr>
          <w:rStyle w:val="22"/>
          <w:rFonts w:hint="eastAsia" w:ascii="方正楷体_GBK" w:hAnsi="方正楷体_GBK" w:eastAsia="方正楷体_GBK" w:cs="方正楷体_GBK"/>
          <w:b w:val="0"/>
          <w:bCs/>
          <w:szCs w:val="32"/>
          <w:shd w:val="clear" w:color="auto" w:fill="FFFFFF"/>
          <w:lang w:bidi="ar"/>
        </w:rPr>
        <w:t>（二）机关运行经费支出情况说明</w:t>
      </w:r>
    </w:p>
    <w:p>
      <w:pPr>
        <w:spacing w:line="579" w:lineRule="exact"/>
        <w:ind w:firstLine="640" w:firstLineChars="200"/>
        <w:rPr>
          <w:rFonts w:hint="default" w:ascii="方正仿宋_GBK" w:hAnsi="方正仿宋_GBK" w:eastAsia="方正仿宋_GBK" w:cs="方正仿宋_GBK"/>
        </w:rPr>
      </w:pPr>
      <w:r>
        <w:rPr>
          <w:rFonts w:ascii="方正仿宋_GBK" w:hAnsi="方正仿宋_GBK" w:eastAsia="方正仿宋_GBK" w:cs="方正仿宋_GBK"/>
        </w:rPr>
        <w:t>按照部门决算列报口径，我单位不在机关运行经费统计范围之内。</w:t>
      </w:r>
    </w:p>
    <w:p>
      <w:pPr>
        <w:spacing w:line="579" w:lineRule="exact"/>
        <w:ind w:firstLine="640" w:firstLineChars="200"/>
        <w:rPr>
          <w:rStyle w:val="22"/>
          <w:rFonts w:hint="eastAsia" w:ascii="方正楷体_GBK" w:hAnsi="方正楷体_GBK" w:eastAsia="方正楷体_GBK" w:cs="方正楷体_GBK"/>
          <w:b w:val="0"/>
          <w:bCs/>
          <w:szCs w:val="32"/>
          <w:shd w:val="clear" w:color="auto" w:fill="FFFFFF"/>
          <w:lang w:bidi="ar"/>
        </w:rPr>
      </w:pPr>
      <w:r>
        <w:rPr>
          <w:rStyle w:val="22"/>
          <w:rFonts w:hint="eastAsia" w:ascii="方正楷体_GBK" w:hAnsi="方正楷体_GBK" w:eastAsia="方正楷体_GBK" w:cs="方正楷体_GBK"/>
          <w:b w:val="0"/>
          <w:bCs/>
          <w:szCs w:val="32"/>
          <w:shd w:val="clear" w:color="auto" w:fill="FFFFFF"/>
          <w:lang w:bidi="ar"/>
        </w:rPr>
        <w:t>（三）国有资产占用情况说明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spacing w:line="579" w:lineRule="exact"/>
        <w:ind w:firstLine="640" w:firstLineChars="200"/>
        <w:rPr>
          <w:rStyle w:val="22"/>
          <w:rFonts w:hint="eastAsia" w:ascii="方正楷体_GBK" w:hAnsi="方正楷体_GBK" w:eastAsia="方正楷体_GBK" w:cs="方正楷体_GBK"/>
          <w:b w:val="0"/>
          <w:bCs/>
          <w:szCs w:val="32"/>
          <w:shd w:val="clear" w:color="auto" w:fill="FFFFFF"/>
          <w:lang w:bidi="ar"/>
        </w:rPr>
      </w:pPr>
      <w:r>
        <w:rPr>
          <w:rStyle w:val="22"/>
          <w:rFonts w:hint="eastAsia" w:ascii="方正楷体_GBK" w:hAnsi="方正楷体_GBK" w:eastAsia="方正楷体_GBK" w:cs="方正楷体_GBK"/>
          <w:b w:val="0"/>
          <w:bCs/>
          <w:szCs w:val="32"/>
          <w:shd w:val="clear" w:color="auto" w:fill="FFFFFF"/>
          <w:lang w:bidi="ar"/>
        </w:rPr>
        <w:t>（四）政府采购支出说明</w:t>
      </w:r>
    </w:p>
    <w:p>
      <w:pPr>
        <w:spacing w:line="579" w:lineRule="exact"/>
        <w:ind w:firstLine="640" w:firstLineChars="200"/>
        <w:rPr>
          <w:rFonts w:hint="default" w:ascii="Times New Roman" w:hAnsi="Times New Roman" w:eastAsia="方正仿宋_GBK"/>
        </w:rPr>
      </w:pPr>
      <w:r>
        <w:rPr>
          <w:rFonts w:ascii="Times New Roman" w:hAnsi="Times New Roman" w:eastAsia="方正仿宋_GBK"/>
        </w:rPr>
        <w:t>2022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主要用于采购2022年度我单位未发生政府采购事项，无相关经费支出。</w:t>
      </w:r>
    </w:p>
    <w:p>
      <w:pPr>
        <w:pStyle w:val="21"/>
        <w:numPr>
          <w:ilvl w:val="0"/>
          <w:numId w:val="1"/>
        </w:numPr>
        <w:spacing w:beforeAutospacing="0" w:afterAutospacing="0" w:line="579" w:lineRule="exact"/>
        <w:ind w:firstLine="640" w:firstLineChars="200"/>
        <w:rPr>
          <w:rStyle w:val="22"/>
          <w:rFonts w:hint="eastAsia" w:ascii="方正黑体_GBK" w:hAnsi="方正黑体_GBK" w:eastAsia="方正黑体_GBK" w:cs="方正黑体_GBK"/>
          <w:b w:val="0"/>
          <w:bCs/>
          <w:sz w:val="32"/>
          <w:szCs w:val="32"/>
          <w:shd w:val="clear" w:color="auto" w:fill="FFFFFF"/>
        </w:rPr>
      </w:pPr>
      <w:r>
        <w:rPr>
          <w:rStyle w:val="22"/>
          <w:rFonts w:hint="eastAsia" w:ascii="方正黑体_GBK" w:hAnsi="方正黑体_GBK" w:eastAsia="方正黑体_GBK" w:cs="方正黑体_GBK"/>
          <w:b w:val="0"/>
          <w:bCs/>
          <w:sz w:val="32"/>
          <w:szCs w:val="32"/>
          <w:shd w:val="clear" w:color="auto" w:fill="FFFFFF"/>
        </w:rPr>
        <w:t>预算绩效管理情况说明</w:t>
      </w:r>
    </w:p>
    <w:p>
      <w:pPr>
        <w:pStyle w:val="21"/>
        <w:spacing w:beforeAutospacing="0" w:afterAutospacing="0" w:line="579" w:lineRule="exact"/>
        <w:ind w:firstLine="640" w:firstLineChars="200"/>
        <w:rPr>
          <w:rFonts w:ascii="Times New Roman" w:hAnsi="Times New Roman" w:eastAsia="方正仿宋_GBK"/>
          <w:sz w:val="32"/>
        </w:rPr>
      </w:pPr>
      <w:r>
        <w:rPr>
          <w:rFonts w:ascii="Times New Roman" w:hAnsi="Times New Roman" w:eastAsia="方正仿宋_GBK"/>
          <w:sz w:val="32"/>
        </w:rPr>
        <w:t>预算绩效管理情况只针对一级预算单位，本单位为二级预算单位，故预算绩效管理情况在此不反映。</w:t>
      </w:r>
    </w:p>
    <w:p>
      <w:pPr>
        <w:pStyle w:val="21"/>
        <w:spacing w:beforeAutospacing="0" w:afterAutospacing="0" w:line="579" w:lineRule="exact"/>
        <w:ind w:left="419" w:leftChars="131" w:firstLine="160" w:firstLineChars="50"/>
        <w:rPr>
          <w:rStyle w:val="22"/>
          <w:rFonts w:hint="eastAsia" w:ascii="方正黑体_GBK" w:hAnsi="方正黑体_GBK" w:eastAsia="方正黑体_GBK" w:cs="方正黑体_GBK"/>
          <w:b w:val="0"/>
          <w:bCs/>
          <w:sz w:val="32"/>
          <w:szCs w:val="32"/>
          <w:shd w:val="clear" w:color="auto" w:fill="FFFFFF"/>
        </w:rPr>
      </w:pPr>
      <w:r>
        <w:rPr>
          <w:rStyle w:val="22"/>
          <w:rFonts w:hint="eastAsia" w:ascii="方正黑体_GBK" w:hAnsi="方正黑体_GBK" w:eastAsia="方正黑体_GBK" w:cs="方正黑体_GBK"/>
          <w:b w:val="0"/>
          <w:bCs/>
          <w:sz w:val="32"/>
          <w:szCs w:val="32"/>
          <w:shd w:val="clear" w:color="auto" w:fill="FFFFFF"/>
        </w:rPr>
        <w:t>六、专业名词解释</w:t>
      </w:r>
    </w:p>
    <w:p>
      <w:pPr>
        <w:pStyle w:val="21"/>
        <w:spacing w:beforeAutospacing="0" w:afterAutospacing="0" w:line="579" w:lineRule="exact"/>
        <w:ind w:firstLine="640" w:firstLineChars="200"/>
        <w:rPr>
          <w:rFonts w:hint="default" w:ascii="方正仿宋_GBK" w:hAnsi="方正仿宋_GBK" w:eastAsia="方正仿宋_GBK" w:cs="方正仿宋_GBK"/>
        </w:rPr>
      </w:pPr>
      <w:r>
        <w:rPr>
          <w:rStyle w:val="22"/>
          <w:rFonts w:hint="eastAsia" w:ascii="方正楷体_GBK" w:hAnsi="方正楷体_GBK" w:eastAsia="方正楷体_GBK" w:cs="方正楷体_GBK"/>
          <w:b w:val="0"/>
          <w:bCs/>
          <w:sz w:val="32"/>
          <w:szCs w:val="32"/>
          <w:shd w:val="clear" w:color="auto" w:fill="FFFFFF"/>
          <w:lang w:bidi="ar"/>
        </w:rPr>
        <w:t>（一）财政拨款收入：</w:t>
      </w:r>
      <w:r>
        <w:rPr>
          <w:rFonts w:ascii="方正仿宋_GBK" w:hAnsi="方正仿宋_GBK" w:eastAsia="方正仿宋_GBK" w:cs="方正仿宋_GBK"/>
          <w:sz w:val="32"/>
          <w:shd w:val="clear" w:color="auto" w:fill="FFFFFF"/>
          <w:lang w:bidi="ar"/>
        </w:rPr>
        <w:t>指本年度从本级财政部门取得的财政拨款，包括一般公共预算财政拨款和政府性基金预算财政拨款。</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（二）事业收入：</w:t>
      </w:r>
      <w:r>
        <w:rPr>
          <w:rFonts w:ascii="方正仿宋_GBK" w:hAnsi="方正仿宋_GBK" w:eastAsia="方正仿宋_GBK" w:cs="方正仿宋_GBK"/>
          <w:sz w:val="32"/>
          <w:shd w:val="clear" w:color="auto" w:fill="FFFFFF"/>
          <w:lang w:bidi="ar"/>
        </w:rPr>
        <w:t>指事业单位开展专业业务活动及其辅助活动取得的现金流入；事业单位收到的财政专户实际核拨的教育收费等资金在此反映。</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（三）经营收入：</w:t>
      </w:r>
      <w:r>
        <w:rPr>
          <w:rFonts w:ascii="方正仿宋_GBK" w:hAnsi="方正仿宋_GBK" w:eastAsia="方正仿宋_GBK" w:cs="方正仿宋_GBK"/>
          <w:sz w:val="32"/>
          <w:shd w:val="clear" w:color="auto" w:fill="FFFFFF"/>
          <w:lang w:bidi="ar"/>
        </w:rPr>
        <w:t>指事业单位在专业业务活动及其辅助活动之外开展非独立核算经营活动取得的现金流入。</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（四）其他收入：</w:t>
      </w:r>
      <w:r>
        <w:rPr>
          <w:rFonts w:ascii="方正仿宋_GBK" w:hAnsi="方正仿宋_GBK" w:eastAsia="方正仿宋_GBK" w:cs="方正仿宋_GBK"/>
          <w:sz w:val="32"/>
          <w:shd w:val="clear" w:color="auto" w:fill="FFFFFF"/>
          <w:lang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（五）使用非财政拨款结余：</w:t>
      </w:r>
      <w:r>
        <w:rPr>
          <w:rFonts w:ascii="方正仿宋_GBK" w:hAnsi="方正仿宋_GBK" w:eastAsia="方正仿宋_GBK" w:cs="方正仿宋_GBK"/>
          <w:sz w:val="32"/>
          <w:shd w:val="clear" w:color="auto" w:fill="FFFFFF"/>
          <w:lang w:bidi="ar"/>
        </w:rPr>
        <w:t>指单位在当年的“财政拨款收入”、“事业收入”、“经营收入”、“其他收入”等不足以安排当年支出的情况下，使用以前年度积累的非财政拨款结余弥补本年度收支缺口的资金。</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（六）年初结转和结余：</w:t>
      </w:r>
      <w:r>
        <w:rPr>
          <w:rFonts w:ascii="方正仿宋_GBK" w:hAnsi="方正仿宋_GBK" w:eastAsia="方正仿宋_GBK" w:cs="方正仿宋_GBK"/>
          <w:sz w:val="32"/>
          <w:shd w:val="clear" w:color="auto" w:fill="FFFFFF"/>
          <w:lang w:bidi="ar"/>
        </w:rPr>
        <w:t>指单位上年结转本年使用的基本支出结转、项目支出结转和结余、经营结余。</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（七）结余分配：</w:t>
      </w:r>
      <w:r>
        <w:rPr>
          <w:rFonts w:ascii="方正仿宋_GBK" w:hAnsi="方正仿宋_GBK" w:eastAsia="方正仿宋_GBK" w:cs="方正仿宋_GBK"/>
          <w:sz w:val="32"/>
          <w:shd w:val="clear" w:color="auto" w:fill="FFFFFF"/>
          <w:lang w:bidi="ar"/>
        </w:rPr>
        <w:t>指单位按照国家有关规定，缴纳所得税、提取专用基金、转入非财政拨款结余等当年结余的分配情况。</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（八）年末结转和结余：</w:t>
      </w:r>
      <w:r>
        <w:rPr>
          <w:rFonts w:ascii="方正仿宋_GBK" w:hAnsi="方正仿宋_GBK" w:eastAsia="方正仿宋_GBK" w:cs="方正仿宋_GBK"/>
          <w:sz w:val="32"/>
          <w:shd w:val="clear" w:color="auto" w:fill="FFFFFF"/>
          <w:lang w:bidi="ar"/>
        </w:rPr>
        <w:t>指单位结转下年的基本支出结转、项目支出结转和结余、经营结余。</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（九）基本支出：</w:t>
      </w:r>
      <w:r>
        <w:rPr>
          <w:rFonts w:ascii="方正仿宋_GBK" w:hAnsi="方正仿宋_GBK" w:eastAsia="方正仿宋_GBK" w:cs="方正仿宋_GBK"/>
          <w:sz w:val="32"/>
          <w:shd w:val="clear" w:color="auto" w:fill="FFFFFF"/>
          <w:lang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（十）项目支出：</w:t>
      </w:r>
      <w:r>
        <w:rPr>
          <w:rFonts w:ascii="方正仿宋_GBK" w:hAnsi="方正仿宋_GBK" w:eastAsia="方正仿宋_GBK" w:cs="方正仿宋_GBK"/>
          <w:sz w:val="32"/>
          <w:shd w:val="clear" w:color="auto" w:fill="FFFFFF"/>
          <w:lang w:bidi="ar"/>
        </w:rPr>
        <w:t>指在基本支出之外为完成特定行政任务和事业发展目标所发生的支出。</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（十一）经营支出：</w:t>
      </w:r>
      <w:r>
        <w:rPr>
          <w:rFonts w:ascii="方正仿宋_GBK" w:hAnsi="方正仿宋_GBK" w:eastAsia="方正仿宋_GBK" w:cs="方正仿宋_GBK"/>
          <w:sz w:val="32"/>
          <w:shd w:val="clear" w:color="auto" w:fill="FFFFFF"/>
          <w:lang w:bidi="ar"/>
        </w:rPr>
        <w:t>指事业单位在专业业务活动及其辅助活动之外开展非独立核算经营活动发生的支出。</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（十二）“三公”经费：</w:t>
      </w:r>
      <w:r>
        <w:rPr>
          <w:rFonts w:ascii="方正仿宋_GBK" w:hAnsi="方正仿宋_GBK" w:eastAsia="方正仿宋_GBK" w:cs="方正仿宋_GBK"/>
          <w:sz w:val="32"/>
          <w:shd w:val="clear" w:color="auto" w:fill="FFFFFF"/>
          <w:lang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（十三）机关运行经费：</w:t>
      </w:r>
      <w:r>
        <w:rPr>
          <w:rFonts w:ascii="方正仿宋_GBK" w:hAnsi="方正仿宋_GBK" w:eastAsia="方正仿宋_GBK" w:cs="方正仿宋_GBK"/>
          <w:sz w:val="32"/>
          <w:shd w:val="clear" w:color="auto" w:fill="FFFFFF"/>
          <w:lang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（十四）工资福利支出（支出经济分类科目类级）：</w:t>
      </w:r>
      <w:r>
        <w:rPr>
          <w:rFonts w:ascii="方正仿宋_GBK" w:hAnsi="方正仿宋_GBK" w:eastAsia="方正仿宋_GBK" w:cs="方正仿宋_GBK"/>
          <w:sz w:val="32"/>
          <w:shd w:val="clear" w:color="auto" w:fill="FFFFFF"/>
          <w:lang w:bidi="ar"/>
        </w:rPr>
        <w:t>反映单位开支的在职职工和编制外长期聘用人员的各类劳动报酬，以及为上述人员缴纳的各项社会保险费等。</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（十五）商品和服务支出（支出经济分类科目类级）：</w:t>
      </w:r>
      <w:r>
        <w:rPr>
          <w:rFonts w:ascii="方正仿宋_GBK" w:hAnsi="方正仿宋_GBK" w:eastAsia="方正仿宋_GBK" w:cs="方正仿宋_GBK"/>
          <w:sz w:val="32"/>
          <w:shd w:val="clear" w:color="auto" w:fill="FFFFFF"/>
          <w:lang w:bidi="ar"/>
        </w:rPr>
        <w:t>反映单位购买商品和服务的支出（不包括用于购置固定资产的支出、战略性和应急储备支出）。</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（十六）对个人和家庭的补助（支出经济分类科目类级）：</w:t>
      </w:r>
      <w:r>
        <w:rPr>
          <w:rFonts w:ascii="方正仿宋_GBK" w:hAnsi="方正仿宋_GBK" w:eastAsia="方正仿宋_GBK" w:cs="方正仿宋_GBK"/>
          <w:sz w:val="32"/>
          <w:shd w:val="clear" w:color="auto" w:fill="FFFFFF"/>
          <w:lang w:bidi="ar"/>
        </w:rPr>
        <w:t>反映用于对个人和家庭的补助支出。</w:t>
      </w:r>
    </w:p>
    <w:p>
      <w:pPr>
        <w:pStyle w:val="21"/>
        <w:spacing w:beforeAutospacing="0" w:afterAutospacing="0" w:line="579" w:lineRule="exact"/>
        <w:ind w:firstLine="640" w:firstLineChars="200"/>
        <w:rPr>
          <w:rFonts w:hint="default" w:ascii="方正仿宋_GBK" w:hAnsi="方正仿宋_GBK" w:eastAsia="方正仿宋_GBK" w:cs="方正仿宋_GBK"/>
          <w:sz w:val="32"/>
          <w:shd w:val="clear" w:color="auto" w:fill="FFFFFF"/>
          <w:lang w:bidi="ar"/>
        </w:rPr>
      </w:pPr>
      <w:r>
        <w:rPr>
          <w:rStyle w:val="22"/>
          <w:rFonts w:hint="eastAsia" w:ascii="方正楷体_GBK" w:hAnsi="方正楷体_GBK" w:eastAsia="方正楷体_GBK" w:cs="方正楷体_GBK"/>
          <w:b w:val="0"/>
          <w:bCs/>
          <w:sz w:val="32"/>
          <w:szCs w:val="32"/>
          <w:shd w:val="clear" w:color="auto" w:fill="FFFFFF"/>
          <w:lang w:bidi="ar"/>
        </w:rPr>
        <w:t>（十七）其他资本性支出（支出经济分类科目类级）：</w:t>
      </w:r>
      <w:r>
        <w:rPr>
          <w:rFonts w:ascii="方正仿宋_GBK" w:hAnsi="方正仿宋_GBK" w:eastAsia="方正仿宋_GBK" w:cs="方正仿宋_GBK"/>
          <w:sz w:val="32"/>
          <w:shd w:val="clear" w:color="auto" w:fill="FFFFFF"/>
          <w:lang w:bidi="ar"/>
        </w:rPr>
        <w:t>反映非各级发展与改革部门集中安排的用于购置固定资产、战略性和应急性储备、土地和无形资产，以及构建基础设施、大型修缮和财政支持企业更新改造所发生的支出。</w:t>
      </w:r>
    </w:p>
    <w:p>
      <w:pPr>
        <w:pStyle w:val="21"/>
        <w:spacing w:beforeAutospacing="0" w:afterAutospacing="0" w:line="579" w:lineRule="exact"/>
        <w:ind w:firstLine="640" w:firstLineChars="200"/>
        <w:rPr>
          <w:rStyle w:val="22"/>
          <w:rFonts w:hint="eastAsia" w:ascii="方正黑体_GBK" w:hAnsi="方正黑体_GBK" w:eastAsia="方正黑体_GBK" w:cs="方正黑体_GBK"/>
          <w:b w:val="0"/>
          <w:bCs/>
          <w:sz w:val="32"/>
          <w:szCs w:val="32"/>
          <w:shd w:val="clear" w:color="auto" w:fill="FFFFFF"/>
        </w:rPr>
      </w:pPr>
      <w:r>
        <w:rPr>
          <w:rStyle w:val="22"/>
          <w:rFonts w:hint="eastAsia" w:ascii="方正黑体_GBK" w:hAnsi="方正黑体_GBK" w:eastAsia="方正黑体_GBK" w:cs="方正黑体_GBK"/>
          <w:b w:val="0"/>
          <w:bCs/>
          <w:sz w:val="32"/>
          <w:szCs w:val="32"/>
          <w:shd w:val="clear" w:color="auto" w:fill="FFFFFF"/>
        </w:rPr>
        <w:t>七、决算公开联系方式及信息反馈渠道</w:t>
      </w:r>
    </w:p>
    <w:p>
      <w:pPr>
        <w:spacing w:line="579" w:lineRule="exact"/>
        <w:ind w:firstLine="640" w:firstLineChars="200"/>
        <w:rPr>
          <w:rFonts w:hint="default" w:ascii="Times New Roman" w:hAnsi="Times New Roman" w:eastAsia="方正仿宋_GBK"/>
        </w:rPr>
      </w:pPr>
      <w:r>
        <w:rPr>
          <w:rFonts w:ascii="方正仿宋_GBK" w:hAnsi="方正仿宋_GBK" w:eastAsia="方正仿宋_GBK" w:cs="方正仿宋_GBK"/>
        </w:rPr>
        <w:t>本单位决算公开信息反馈和联系方式：</w:t>
      </w:r>
      <w:r>
        <w:rPr>
          <w:rFonts w:ascii="Times New Roman" w:hAnsi="Times New Roman" w:eastAsia="方正仿宋_GBK"/>
        </w:rPr>
        <w:t>13896297418</w:t>
      </w:r>
    </w:p>
    <w:p>
      <w:pPr>
        <w:rPr>
          <w:rFonts w:hint="default"/>
        </w:rPr>
      </w:pPr>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GBK">
    <w:altName w:val="方正仿宋_GBK"/>
    <w:panose1 w:val="00000000000000000000"/>
    <w:charset w:val="86"/>
    <w:family w:val="auto"/>
    <w:pitch w:val="default"/>
    <w:sig w:usb0="00000000" w:usb1="00000000" w:usb2="00000000" w:usb3="00000000" w:csb0="00000000" w:csb1="00000000"/>
  </w:font>
  <w:font w:name="方正黑体GBK">
    <w:altName w:val="方正黑体_GBK"/>
    <w:panose1 w:val="00000000000000000000"/>
    <w:charset w:val="86"/>
    <w:family w:val="auto"/>
    <w:pitch w:val="default"/>
    <w:sig w:usb0="00000000" w:usb1="00000000" w:usb2="00000000" w:usb3="00000000" w:csb0="00000000" w:csb1="00000000"/>
  </w:font>
  <w:font w:name="DengXian Light">
    <w:altName w:val="汉仪仿宋S"/>
    <w:panose1 w:val="00000000000000000000"/>
    <w:charset w:val="86"/>
    <w:family w:val="auto"/>
    <w:pitch w:val="default"/>
    <w:sig w:usb0="00000000" w:usb1="00000000" w:usb2="00000016" w:usb3="00000000" w:csb0="0004000F" w:csb1="00000000"/>
  </w:font>
  <w:font w:name="方正楷体GBK">
    <w:altName w:val="方正楷体_GBK"/>
    <w:panose1 w:val="00000000000000000000"/>
    <w:charset w:val="86"/>
    <w:family w:val="auto"/>
    <w:pitch w:val="default"/>
    <w:sig w:usb0="00000000" w:usb1="00000000" w:usb2="00000000" w:usb3="00000000" w:csb0="0000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70373"/>
    <w:multiLevelType w:val="singleLevel"/>
    <w:tmpl w:val="7E4703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noPunctuationKerning w:val="true"/>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F8"/>
    <w:rsid w:val="007C59F8"/>
    <w:rsid w:val="00A648D4"/>
    <w:rsid w:val="02834532"/>
    <w:rsid w:val="13B84877"/>
    <w:rsid w:val="145D188C"/>
    <w:rsid w:val="EF6DE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方正仿宋GBK" w:cs="Times New Roman"/>
      <w:sz w:val="32"/>
      <w:szCs w:val="24"/>
      <w:lang w:val="en-US" w:eastAsia="zh-CN" w:bidi="ar-SA"/>
    </w:rPr>
  </w:style>
  <w:style w:type="paragraph" w:styleId="2">
    <w:name w:val="heading 1"/>
    <w:basedOn w:val="3"/>
    <w:next w:val="1"/>
    <w:link w:val="19"/>
    <w:qFormat/>
    <w:uiPriority w:val="9"/>
    <w:pPr>
      <w:keepNext/>
      <w:keepLines/>
      <w:spacing w:before="340" w:beforeAutospacing="0" w:after="330" w:afterAutospacing="0" w:line="576" w:lineRule="auto"/>
      <w:outlineLvl w:val="0"/>
    </w:pPr>
    <w:rPr>
      <w:rFonts w:eastAsia="方正黑体GBK"/>
      <w:bCs/>
      <w:kern w:val="44"/>
      <w:szCs w:val="44"/>
    </w:rPr>
  </w:style>
  <w:style w:type="paragraph" w:styleId="4">
    <w:name w:val="heading 2"/>
    <w:basedOn w:val="3"/>
    <w:next w:val="1"/>
    <w:link w:val="17"/>
    <w:semiHidden/>
    <w:unhideWhenUsed/>
    <w:qFormat/>
    <w:uiPriority w:val="9"/>
    <w:pPr>
      <w:keepNext/>
      <w:keepLines/>
      <w:spacing w:before="260" w:beforeAutospacing="0" w:after="260" w:afterAutospacing="0" w:line="415" w:lineRule="auto"/>
      <w:outlineLvl w:val="1"/>
    </w:pPr>
    <w:rPr>
      <w:rFonts w:ascii="DengXian Light" w:hAnsi="DengXian Light" w:eastAsia="方正楷体GBK"/>
      <w:bCs/>
      <w:szCs w:val="32"/>
    </w:rPr>
  </w:style>
  <w:style w:type="paragraph" w:styleId="5">
    <w:name w:val="heading 3"/>
    <w:basedOn w:val="3"/>
    <w:next w:val="1"/>
    <w:link w:val="20"/>
    <w:semiHidden/>
    <w:unhideWhenUsed/>
    <w:qFormat/>
    <w:uiPriority w:val="9"/>
    <w:pPr>
      <w:keepNext/>
      <w:keepLines/>
      <w:spacing w:before="260" w:beforeAutospacing="0" w:after="260" w:afterAutospacing="0" w:line="415" w:lineRule="auto"/>
      <w:outlineLvl w:val="2"/>
    </w:pPr>
    <w:rPr>
      <w:b/>
      <w:szCs w:val="32"/>
    </w:rPr>
  </w:style>
  <w:style w:type="paragraph" w:styleId="6">
    <w:name w:val="heading 4"/>
    <w:basedOn w:val="3"/>
    <w:next w:val="1"/>
    <w:semiHidden/>
    <w:unhideWhenUsed/>
    <w:qFormat/>
    <w:uiPriority w:val="9"/>
    <w:pPr>
      <w:outlineLvl w:val="3"/>
    </w:pPr>
    <w:rPr>
      <w:rFonts w:eastAsia="宋体"/>
      <w:b/>
      <w:sz w:val="24"/>
    </w:rPr>
  </w:style>
  <w:style w:type="paragraph" w:styleId="7">
    <w:name w:val="heading 5"/>
    <w:basedOn w:val="3"/>
    <w:next w:val="1"/>
    <w:semiHidden/>
    <w:unhideWhenUsed/>
    <w:qFormat/>
    <w:uiPriority w:val="9"/>
    <w:pPr>
      <w:outlineLvl w:val="4"/>
    </w:pPr>
    <w:rPr>
      <w:rFonts w:eastAsia="宋体"/>
      <w:b/>
      <w:sz w:val="20"/>
      <w:szCs w:val="20"/>
    </w:rPr>
  </w:style>
  <w:style w:type="paragraph" w:styleId="8">
    <w:name w:val="heading 6"/>
    <w:basedOn w:val="3"/>
    <w:next w:val="1"/>
    <w:semiHidden/>
    <w:unhideWhenUsed/>
    <w:qFormat/>
    <w:uiPriority w:val="9"/>
    <w:pPr>
      <w:outlineLvl w:val="5"/>
    </w:pPr>
    <w:rPr>
      <w:rFonts w:eastAsia="宋体"/>
      <w:b/>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msonormal"/>
    <w:basedOn w:val="1"/>
    <w:qFormat/>
    <w:uiPriority w:val="0"/>
    <w:pPr>
      <w:spacing w:beforeAutospacing="1" w:afterAutospacing="1"/>
    </w:pPr>
  </w:style>
  <w:style w:type="paragraph" w:styleId="9">
    <w:name w:val="footer"/>
    <w:basedOn w:val="3"/>
    <w:link w:val="18"/>
    <w:semiHidden/>
    <w:unhideWhenUsed/>
    <w:qFormat/>
    <w:uiPriority w:val="0"/>
    <w:pPr>
      <w:tabs>
        <w:tab w:val="center" w:pos="4153"/>
        <w:tab w:val="right" w:pos="8306"/>
      </w:tabs>
      <w:snapToGrid w:val="0"/>
      <w:spacing w:beforeAutospacing="0" w:afterAutospacing="0"/>
    </w:pPr>
    <w:rPr>
      <w:sz w:val="18"/>
      <w:szCs w:val="18"/>
    </w:rPr>
  </w:style>
  <w:style w:type="paragraph" w:styleId="10">
    <w:name w:val="header"/>
    <w:basedOn w:val="3"/>
    <w:link w:val="16"/>
    <w:semiHidden/>
    <w:unhideWhenUsed/>
    <w:qFormat/>
    <w:uiPriority w:val="0"/>
    <w:pPr>
      <w:pBdr>
        <w:bottom w:val="single" w:color="auto" w:sz="6" w:space="1"/>
      </w:pBdr>
      <w:tabs>
        <w:tab w:val="center" w:pos="4153"/>
        <w:tab w:val="right" w:pos="8306"/>
      </w:tabs>
      <w:snapToGrid w:val="0"/>
      <w:spacing w:beforeAutospacing="0" w:afterAutospacing="0"/>
      <w:jc w:val="center"/>
    </w:pPr>
    <w:rPr>
      <w:sz w:val="18"/>
      <w:szCs w:val="18"/>
    </w:rPr>
  </w:style>
  <w:style w:type="paragraph" w:styleId="11">
    <w:name w:val="HTML Preformatted"/>
    <w:basedOn w:val="3"/>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default" w:ascii="Courier New" w:hAnsi="Courier New" w:eastAsia="宋体"/>
      <w:sz w:val="20"/>
      <w:szCs w:val="20"/>
    </w:rPr>
  </w:style>
  <w:style w:type="paragraph" w:styleId="12">
    <w:name w:val="Normal (Web)"/>
    <w:basedOn w:val="3"/>
    <w:semiHidden/>
    <w:unhideWhenUsed/>
    <w:qFormat/>
    <w:uiPriority w:val="0"/>
  </w:style>
  <w:style w:type="character" w:styleId="15">
    <w:name w:val="Strong"/>
    <w:basedOn w:val="14"/>
    <w:qFormat/>
    <w:uiPriority w:val="22"/>
    <w:rPr>
      <w:b/>
    </w:rPr>
  </w:style>
  <w:style w:type="character" w:customStyle="1" w:styleId="16">
    <w:name w:val="页眉 Char"/>
    <w:basedOn w:val="14"/>
    <w:link w:val="10"/>
    <w:qFormat/>
    <w:locked/>
    <w:uiPriority w:val="0"/>
    <w:rPr>
      <w:rFonts w:hint="eastAsia" w:ascii="宋体" w:hAnsi="宋体" w:eastAsia="宋体" w:cs="宋体"/>
      <w:sz w:val="18"/>
      <w:szCs w:val="18"/>
    </w:rPr>
  </w:style>
  <w:style w:type="character" w:customStyle="1" w:styleId="17">
    <w:name w:val="标题 2 Char"/>
    <w:basedOn w:val="14"/>
    <w:link w:val="4"/>
    <w:qFormat/>
    <w:locked/>
    <w:uiPriority w:val="0"/>
    <w:rPr>
      <w:rFonts w:hint="eastAsia" w:ascii="DengXian Light" w:hAnsi="DengXian Light" w:eastAsia="方正楷体GBK" w:cs="Times New Roman"/>
      <w:bCs/>
      <w:sz w:val="32"/>
      <w:szCs w:val="32"/>
    </w:rPr>
  </w:style>
  <w:style w:type="character" w:customStyle="1" w:styleId="18">
    <w:name w:val="页脚 Char"/>
    <w:basedOn w:val="14"/>
    <w:link w:val="9"/>
    <w:qFormat/>
    <w:locked/>
    <w:uiPriority w:val="0"/>
    <w:rPr>
      <w:rFonts w:hint="eastAsia" w:ascii="宋体" w:hAnsi="宋体" w:eastAsia="宋体" w:cs="宋体"/>
      <w:sz w:val="18"/>
      <w:szCs w:val="18"/>
    </w:rPr>
  </w:style>
  <w:style w:type="character" w:customStyle="1" w:styleId="19">
    <w:name w:val="标题 1 Char"/>
    <w:basedOn w:val="14"/>
    <w:link w:val="2"/>
    <w:qFormat/>
    <w:locked/>
    <w:uiPriority w:val="0"/>
    <w:rPr>
      <w:rFonts w:hint="eastAsia" w:ascii="宋体" w:hAnsi="宋体" w:eastAsia="方正黑体GBK" w:cs="宋体"/>
      <w:bCs/>
      <w:kern w:val="44"/>
      <w:sz w:val="32"/>
      <w:szCs w:val="44"/>
    </w:rPr>
  </w:style>
  <w:style w:type="character" w:customStyle="1" w:styleId="20">
    <w:name w:val="标题 3 Char"/>
    <w:basedOn w:val="14"/>
    <w:link w:val="5"/>
    <w:qFormat/>
    <w:locked/>
    <w:uiPriority w:val="0"/>
    <w:rPr>
      <w:rFonts w:hint="eastAsia" w:ascii="宋体" w:hAnsi="宋体" w:eastAsia="宋体" w:cs="宋体"/>
      <w:b/>
      <w:sz w:val="32"/>
      <w:szCs w:val="32"/>
    </w:rPr>
  </w:style>
  <w:style w:type="paragraph" w:customStyle="1" w:styleId="21">
    <w:name w:val="普通(网站) Char"/>
    <w:basedOn w:val="1"/>
    <w:qFormat/>
    <w:uiPriority w:val="0"/>
    <w:pPr>
      <w:spacing w:beforeAutospacing="1" w:afterAutospacing="1"/>
    </w:pPr>
    <w:rPr>
      <w:rFonts w:eastAsia="宋体"/>
      <w:sz w:val="24"/>
    </w:rPr>
  </w:style>
  <w:style w:type="character" w:customStyle="1" w:styleId="22">
    <w:name w:val="16"/>
    <w:basedOn w:val="1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726</Words>
  <Characters>4144</Characters>
  <Lines>34</Lines>
  <Paragraphs>9</Paragraphs>
  <TotalTime>15</TotalTime>
  <ScaleCrop>false</ScaleCrop>
  <LinksUpToDate>false</LinksUpToDate>
  <CharactersWithSpaces>4861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2023-10-26T08:47:00Z</dcterms:created>
  <dc:creator>Administrator</dc:creator>
  <cp:lastModifiedBy>ckuos</cp:lastModifiedBy>
  <dcterms:modified xsi:type="dcterms:W3CDTF">2023-11-22T14:19:37Z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300157628_embed</vt:lpwstr>
  </property>
  <property fmtid="{D5CDD505-2E9C-101B-9397-08002B2CF9AE}" pid="3" name="KSOProductBuildVer">
    <vt:lpwstr>2052-11.8.2.10183</vt:lpwstr>
  </property>
</Properties>
</file>