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城口县坪坝初级中学</w:t>
      </w:r>
    </w:p>
    <w:p>
      <w:pPr>
        <w:widowControl/>
        <w:adjustRightInd w:val="0"/>
        <w:snapToGrid w:val="0"/>
        <w:spacing w:line="600" w:lineRule="exact"/>
        <w:jc w:val="center"/>
        <w:rPr>
          <w:rFonts w:ascii="方正小标宋_GBK" w:hAnsi="方正小标宋_GBK" w:eastAsia="方正小标宋_GBK" w:cs="方正小标宋_GBK"/>
          <w:snapToGrid w:val="0"/>
          <w:kern w:val="0"/>
          <w:sz w:val="44"/>
          <w:szCs w:val="44"/>
        </w:rPr>
      </w:pPr>
      <w:r>
        <w:rPr>
          <w:rFonts w:hint="eastAsia" w:ascii="方正小标宋_GBK" w:hAnsi="方正小标宋_GBK" w:eastAsia="方正小标宋_GBK" w:cs="方正小标宋_GBK"/>
          <w:snapToGrid w:val="0"/>
          <w:kern w:val="0"/>
          <w:sz w:val="44"/>
          <w:szCs w:val="44"/>
        </w:rPr>
        <w:t>关于2022年度部门决算情况说明</w:t>
      </w:r>
    </w:p>
    <w:p>
      <w:pPr>
        <w:widowControl/>
        <w:adjustRightInd w:val="0"/>
        <w:snapToGrid w:val="0"/>
        <w:spacing w:line="560" w:lineRule="exact"/>
        <w:rPr>
          <w:rFonts w:ascii="方正仿宋_GBK" w:hAnsi="方正仿宋_GBK" w:eastAsia="方正仿宋_GBK" w:cs="方正仿宋_GBK"/>
          <w:sz w:val="32"/>
          <w:szCs w:val="32"/>
        </w:rPr>
      </w:pPr>
    </w:p>
    <w:p>
      <w:pPr>
        <w:pStyle w:val="2"/>
        <w:adjustRightInd w:val="0"/>
        <w:snapToGrid w:val="0"/>
        <w:spacing w:line="579" w:lineRule="exact"/>
        <w:ind w:firstLine="640" w:firstLineChars="200"/>
        <w:rPr>
          <w:rFonts w:ascii="方正黑体GBK" w:hAnsi="方正黑体GBK" w:eastAsia="方正黑体GBK" w:cs="方正黑体GBK"/>
          <w:sz w:val="32"/>
          <w:szCs w:val="32"/>
        </w:rPr>
      </w:pPr>
      <w:r>
        <w:rPr>
          <w:rFonts w:hint="eastAsia" w:ascii="方正黑体GBK" w:hAnsi="方正黑体GBK" w:eastAsia="方正黑体GBK" w:cs="方正黑体GBK"/>
          <w:sz w:val="32"/>
          <w:szCs w:val="32"/>
        </w:rPr>
        <w:t>一、部门基本情况</w:t>
      </w:r>
    </w:p>
    <w:p>
      <w:pPr>
        <w:pStyle w:val="22"/>
        <w:shd w:val="clear" w:color="auto" w:fill="FFFFFF"/>
        <w:autoSpaceDE w:val="0"/>
        <w:adjustRightInd w:val="0"/>
        <w:snapToGrid w:val="0"/>
        <w:spacing w:before="0" w:beforeAutospacing="0" w:after="0" w:afterAutospacing="0" w:line="579" w:lineRule="exact"/>
        <w:ind w:firstLine="640" w:firstLineChars="200"/>
        <w:rPr>
          <w:rStyle w:val="23"/>
          <w:rFonts w:ascii="方正楷体_GBK" w:hAnsi="方正楷体_GBK" w:eastAsia="方正楷体_GBK" w:cs="方正楷体_GBK"/>
          <w:b w:val="0"/>
          <w:bCs/>
          <w:color w:val="000000"/>
          <w:sz w:val="32"/>
          <w:szCs w:val="32"/>
          <w:shd w:val="clear" w:color="auto" w:fill="FFFFFF"/>
        </w:rPr>
      </w:pPr>
      <w:r>
        <w:rPr>
          <w:rStyle w:val="23"/>
          <w:rFonts w:hint="eastAsia" w:ascii="方正楷体_GBK" w:hAnsi="方正楷体_GBK" w:eastAsia="方正楷体_GBK" w:cs="方正楷体_GBK"/>
          <w:b w:val="0"/>
          <w:bCs/>
          <w:color w:val="000000"/>
          <w:sz w:val="32"/>
          <w:szCs w:val="32"/>
          <w:shd w:val="clear" w:color="auto" w:fill="FFFFFF"/>
        </w:rPr>
        <w:t>（一）职能职责</w:t>
      </w:r>
    </w:p>
    <w:p>
      <w:pPr>
        <w:pStyle w:val="22"/>
        <w:shd w:val="clear" w:color="auto" w:fill="FFFFFF"/>
        <w:autoSpaceDE w:val="0"/>
        <w:adjustRightInd w:val="0"/>
        <w:snapToGrid w:val="0"/>
        <w:spacing w:before="0" w:beforeAutospacing="0" w:after="0" w:afterAutospacing="0"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城口县坪坝初级中学是经城口县编制委员会批准成立的，在县教育委员会领导下的一所中学，实施初中教育。</w:t>
      </w:r>
    </w:p>
    <w:p>
      <w:pPr>
        <w:pStyle w:val="2"/>
        <w:numPr>
          <w:ilvl w:val="0"/>
          <w:numId w:val="1"/>
        </w:numPr>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机构设置</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我校属于独立编制结构，独立核算机构。</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（三）单位构成</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无下级预算单位。</w:t>
      </w:r>
    </w:p>
    <w:p>
      <w:pPr>
        <w:pStyle w:val="2"/>
        <w:adjustRightInd w:val="0"/>
        <w:snapToGrid w:val="0"/>
        <w:spacing w:line="579" w:lineRule="exact"/>
        <w:ind w:firstLine="640" w:firstLineChars="200"/>
        <w:rPr>
          <w:rFonts w:ascii="方正黑体GBK" w:hAnsi="方正黑体GBK" w:eastAsia="方正黑体GBK" w:cs="方正黑体GBK"/>
          <w:sz w:val="32"/>
          <w:szCs w:val="32"/>
        </w:rPr>
      </w:pPr>
      <w:r>
        <w:rPr>
          <w:rFonts w:hint="eastAsia" w:ascii="方正黑体GBK" w:hAnsi="方正黑体GBK" w:eastAsia="方正黑体GBK" w:cs="方正黑体GBK"/>
          <w:sz w:val="32"/>
          <w:szCs w:val="32"/>
        </w:rPr>
        <w:t>二、部门决算情况说明</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（一）收入支出决算总体情况说明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1.总体情况。</w:t>
      </w:r>
      <w:r>
        <w:rPr>
          <w:rFonts w:ascii="Times New Roman" w:hAnsi="Times New Roman" w:eastAsia="方正仿宋_GBK"/>
          <w:sz w:val="32"/>
          <w:szCs w:val="32"/>
        </w:rPr>
        <w:t>202</w:t>
      </w:r>
      <w:r>
        <w:rPr>
          <w:rFonts w:hint="eastAsia" w:ascii="Times New Roman" w:hAnsi="Times New Roman" w:eastAsia="方正仿宋_GBK"/>
          <w:sz w:val="32"/>
          <w:szCs w:val="32"/>
        </w:rPr>
        <w:t>2年度收入总计1,710.91万元，支出总计1,710.91万元。收支较上年决算数增加123.19万元,增长7.8%，主要原因是 本年度发放了2021-2022年职工超额绩效工资补发，导致财政补助收入支出大幅度增加。</w:t>
      </w:r>
    </w:p>
    <w:p>
      <w:pPr>
        <w:pStyle w:val="2"/>
        <w:adjustRightInd w:val="0"/>
        <w:snapToGrid w:val="0"/>
        <w:spacing w:line="579" w:lineRule="exact"/>
        <w:ind w:firstLine="640" w:firstLineChars="200"/>
      </w:pPr>
      <w:r>
        <w:rPr>
          <w:rFonts w:hint="eastAsia" w:ascii="Times New Roman" w:hAnsi="Times New Roman" w:eastAsia="方正仿宋_GBK"/>
          <w:sz w:val="32"/>
          <w:szCs w:val="32"/>
        </w:rPr>
        <w:t>2.收入情况。2022年度收入合计1,710.91万元，较上年决算数增加125.28万元，增长7.9%，主要原因是 本年度发放了2021-2022年职工超额绩效工资补发，导致财政补助收入大幅度增加。。其中：财政拨款收入1,597.78万元，占93.4%；事业收入0.00万元，占0%；经营收入0.00万元，占0%；其他收入113.13万元，占6.6%。此外，使用非财政拨款结余0.00万元，年初结转和结余0.00万元。</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3.支出情况。2022年度支出合计1,655.79万元，较上年决算增加68.07万元，增长4.3%，主要原因是本年度发放了2021-2022年职工超额绩效工资补发，导致财政支出大幅度增加。其中：基本支出1,358.04万元，占82%；项目支出297.75万元，占18%；经营支出0.00万元，占0%。此外，结余分配0.00万元。 </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4.结转结余情况。2022年度年末结转和结余55.12万元，较上年决算数增加55.12万元，增长100%，主要原因是其他收入结余和项目支出饮水设备和助学金等未实现支出。</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（二）财政拨款收入支出决算总体情况说明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2022年度财政拨款收、支总计1,597.78万元。与2021年相比，财政拨款收、支总计各增加48.79万元，增长3.1%。主要原因是主要原因是本年度发放了2021-2022年职工超额绩效工资补发，导致财政收入支出大幅度增加。</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（三）一般公共预算财政拨款收入支出决算情况说明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1.收入情况。2022年度一般公共预算财政拨款收入1,597.78万元，较上年决算数增加48.79万元，增长3.1%。主要原因是主要原因是</w:t>
      </w:r>
      <w:bookmarkStart w:id="0" w:name="_GoBack"/>
      <w:bookmarkEnd w:id="0"/>
      <w:r>
        <w:rPr>
          <w:rFonts w:hint="eastAsia" w:ascii="Times New Roman" w:hAnsi="Times New Roman" w:eastAsia="方正仿宋_GBK"/>
          <w:sz w:val="32"/>
          <w:szCs w:val="32"/>
        </w:rPr>
        <w:t>本年度发放了2021-2022年职工超额绩效工资补发，导致财政收入大幅度增加。较年初预算数增加406.38万元，增长34.1%。主要原因是清算2021-2022年职工超额绩效工资，此外，年初财政拨款结转和结余0.00万元。</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2.支出情况。2022年度一般公共预算财政拨款支出1,597.78万元，较上年决算数增加48.79万元，增长3.1%。主要原因是 本年度发放了2021-2022年职工超额绩效工资补发，导致财政支出大幅度增加。较年初预算数增加406.38万元，增长34.1%。主要原因是清算2021-2022年职工超额绩效工资。</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3.结转结余情况。2022年度年末一般公共预算财政拨款结转和结余0.00万元，较上年决算数增加0.00万元，增长0.</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4.比较情况。本部门2022年度一般公共预算财政拨款支出主要用于以下几个方面：</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（1）一般公共服务支出5.67万元，占0.4%，较年初预算数增加0.00万元，增长0%。</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（2）教育支出1,330.91万元，占83.3%，较年初预算数增加443.18，增长49.9%，主要原因是清算2021-2022年职工超额绩效工资。</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（3）社会保障与就业支出135.40万元，占8.5%，较年初预算数减少36.80万元，下降21.4%，主要原因是在编人员减少。</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（4）卫生健康支出58.11万元，占3.6%，较年初预算数增加0.00万元，增长0%。</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（5）住房保障支出67.70万元，占4.2%，较年初预算数增加0.00万元，增长0%。</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（四）一般公共预算财政拨款基本支出决算情况说明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2022年度一般公共预算财政拨款基本支出1,300.03万元。其中：人员经费1,177.69万元，较上年决算数减少48.11万元，下降3.9%，主要原因人员调整，人员经费减少。人员经费用途主要包括基本工资、津贴补贴、绩效工资、社会保障缴费及退休健康休养费等。公用经费122.34万元，较上年决算数减少21.71万元，下降15.1%，主要原因是学生人数减少，预算公用经费减少。公用经费用途主要包括办公费、水电费、差旅费、维修费等。</w:t>
      </w:r>
    </w:p>
    <w:p>
      <w:pPr>
        <w:pStyle w:val="2"/>
        <w:adjustRightInd w:val="0"/>
        <w:snapToGrid w:val="0"/>
        <w:spacing w:line="579" w:lineRule="exact"/>
        <w:ind w:firstLine="640" w:firstLineChars="200"/>
        <w:rPr>
          <w:rFonts w:ascii="方正楷体GBK" w:hAnsi="方正楷体GBK" w:eastAsia="方正楷体GBK" w:cs="方正楷体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（五）政府性基金预算收支决算情况说明。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本部门2022年度无政府性基金预算财政拨款收支。</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（六）国有资本经营预算财政拨款支出决算情况说明。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本部门2022年度无国有资本经营预算财政拨款支出。</w:t>
      </w:r>
    </w:p>
    <w:p>
      <w:pPr>
        <w:pStyle w:val="2"/>
        <w:adjustRightInd w:val="0"/>
        <w:snapToGrid w:val="0"/>
        <w:spacing w:line="579" w:lineRule="exact"/>
        <w:ind w:firstLine="640" w:firstLineChars="200"/>
        <w:rPr>
          <w:rFonts w:ascii="方正黑体GBK" w:hAnsi="方正黑体GBK" w:eastAsia="方正黑体GBK" w:cs="方正黑体GBK"/>
          <w:sz w:val="32"/>
          <w:szCs w:val="32"/>
        </w:rPr>
      </w:pPr>
      <w:r>
        <w:rPr>
          <w:rFonts w:hint="eastAsia" w:ascii="方正黑体GBK" w:hAnsi="方正黑体GBK" w:eastAsia="方正黑体GBK" w:cs="方正黑体GBK"/>
          <w:sz w:val="32"/>
          <w:szCs w:val="32"/>
        </w:rPr>
        <w:t>三、“三公”经费情况说明</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（一）“三公”经费支出总体情况说明</w:t>
      </w:r>
    </w:p>
    <w:p>
      <w:pPr>
        <w:pStyle w:val="22"/>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Times New Roman" w:hAnsi="Times New Roman" w:eastAsia="方正仿宋_GBK"/>
          <w:sz w:val="32"/>
          <w:szCs w:val="32"/>
          <w:lang w:bidi="ar"/>
        </w:rPr>
        <w:t>2022年度本部门因公出国（境）费用0.00万元</w:t>
      </w:r>
      <w:r>
        <w:rPr>
          <w:rFonts w:ascii="方正仿宋_GBK" w:hAnsi="方正仿宋_GBK" w:eastAsia="方正仿宋_GBK" w:cs="方正仿宋_GBK"/>
          <w:sz w:val="32"/>
          <w:szCs w:val="32"/>
        </w:rPr>
        <w:t>。</w:t>
      </w:r>
    </w:p>
    <w:p>
      <w:pPr>
        <w:pStyle w:val="22"/>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公务车购置费0.00万元。</w:t>
      </w:r>
    </w:p>
    <w:p>
      <w:pPr>
        <w:pStyle w:val="22"/>
        <w:autoSpaceDE w:val="0"/>
        <w:spacing w:beforeAutospacing="0" w:afterAutospacing="0" w:line="579"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lang w:bidi="ar"/>
        </w:rPr>
        <w:t>公务车运行维护费0.00万元。</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2022年度“三公”经费支出共计0.18万元，较年初预算数减少0.32万元，下降64%，主要原因是一是认真贯彻落实中央八项规定精神，按照只减不增的要求从严控制三公经费，全年实际支出较预算和决算均有所下降。二是严格遵守公务接待开支范围和开支标准，严格控制陪餐人数，对应由接待对象承担的费用一律由接待对象自行支付，公务接待费大幅下降</w:t>
      </w:r>
      <w:r>
        <w:rPr>
          <w:rFonts w:hint="eastAsia" w:ascii="方正仿宋_GBK" w:hAnsi="方正仿宋_GBK" w:eastAsia="方正仿宋_GBK" w:cs="方正仿宋_GBK"/>
          <w:sz w:val="32"/>
          <w:szCs w:val="32"/>
        </w:rPr>
        <w:t>。</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（二）“三公”经费分项支出情况</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公务接待费0.18万元，主要用于接待学校之间教育教学交流活动。费用支出较年初预算数减少0.32万元，下降64%，主要原因是减少不必要的接待。较上年支出数减少0.07万元，下降28%，主要原因是严格执行中央八项规定，力争三公经费只减不增。</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（三）“三公”经费实物量情况</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2022年度本部门因公出国（境）共计0个团组，0人；公务用车购置0辆，公务车保有量为0辆；国内公务接待4批次25人，其中：国内外事接待0批次，0人；国（境）外公务接待0批次，0人。2022年本部门人均接待费72.80元，车均购置费0.00万元，车均维护费0.00万元。</w:t>
      </w:r>
    </w:p>
    <w:p>
      <w:pPr>
        <w:pStyle w:val="2"/>
        <w:adjustRightInd w:val="0"/>
        <w:snapToGrid w:val="0"/>
        <w:spacing w:line="579" w:lineRule="exact"/>
        <w:ind w:firstLine="640" w:firstLineChars="200"/>
        <w:rPr>
          <w:rFonts w:ascii="方正黑体GBK" w:hAnsi="方正黑体GBK" w:eastAsia="方正黑体GBK" w:cs="方正黑体GBK"/>
          <w:sz w:val="32"/>
          <w:szCs w:val="32"/>
        </w:rPr>
      </w:pPr>
      <w:r>
        <w:rPr>
          <w:rFonts w:hint="eastAsia" w:ascii="方正黑体GBK" w:hAnsi="方正黑体GBK" w:eastAsia="方正黑体GBK" w:cs="方正黑体GBK"/>
          <w:sz w:val="32"/>
          <w:szCs w:val="32"/>
        </w:rPr>
        <w:t>四、其他需要说明的事项</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（一）</w:t>
      </w:r>
      <w:r>
        <w:rPr>
          <w:rFonts w:ascii="方正楷体_GBK" w:hAnsi="方正楷体_GBK" w:eastAsia="方正楷体_GBK" w:cs="方正楷体_GBK"/>
          <w:sz w:val="32"/>
          <w:szCs w:val="32"/>
        </w:rPr>
        <w:t>财政拨款会议费和培训费情况说明。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年度会议费支出3.72万元，较上年决算数减少22.45万元，下降85.8%，主要原因是会议活动预算减少。本年度培训费支出5.03万元，较上年决算数减少0.07万元，下降1.4%，主要原因是教师培训相对减少，费用支出减少。</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（二）机关运行经费支出情况说明</w:t>
      </w:r>
    </w:p>
    <w:p>
      <w:pPr>
        <w:pStyle w:val="22"/>
        <w:shd w:val="clear" w:color="auto" w:fill="FFFFFF"/>
        <w:autoSpaceDE w:val="0"/>
        <w:adjustRightInd w:val="0"/>
        <w:snapToGrid w:val="0"/>
        <w:spacing w:beforeAutospacing="0" w:afterAutospacing="0" w:line="579" w:lineRule="exact"/>
        <w:ind w:firstLine="640" w:firstLineChars="200"/>
        <w:rPr>
          <w:rFonts w:ascii="Times New Roman" w:hAnsi="Times New Roman" w:eastAsia="方正仿宋_GBK"/>
          <w:color w:val="000000"/>
          <w:sz w:val="32"/>
          <w:szCs w:val="32"/>
          <w:shd w:val="clear" w:color="auto" w:fill="FFFFFF"/>
        </w:rPr>
      </w:pPr>
      <w:r>
        <w:rPr>
          <w:rFonts w:ascii="方正仿宋_GBK" w:hAnsi="方正仿宋_GBK" w:eastAsia="方正仿宋_GBK" w:cs="方正仿宋_GBK"/>
          <w:color w:val="000000"/>
          <w:sz w:val="32"/>
          <w:szCs w:val="32"/>
          <w:shd w:val="clear" w:color="auto" w:fill="FFFFFF"/>
        </w:rPr>
        <w:t>按照部门决算列报口径，我单位不在机关运行经费统计范围之内。</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（三）国有资产占用情况说明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2"/>
        <w:adjustRightInd w:val="0"/>
        <w:snapToGrid w:val="0"/>
        <w:spacing w:line="579" w:lineRule="exact"/>
        <w:ind w:firstLine="640" w:firstLineChars="200"/>
        <w:rPr>
          <w:rStyle w:val="23"/>
          <w:rFonts w:ascii="方正楷体_GBK" w:hAnsi="方正楷体_GBK" w:eastAsia="方正楷体_GBK" w:cs="方正楷体_GBK"/>
          <w:b w:val="0"/>
          <w:bCs/>
          <w:color w:val="000000"/>
          <w:kern w:val="0"/>
          <w:sz w:val="32"/>
          <w:szCs w:val="32"/>
          <w:shd w:val="clear" w:color="auto" w:fill="FFFFFF"/>
        </w:rPr>
      </w:pPr>
      <w:r>
        <w:rPr>
          <w:rStyle w:val="23"/>
          <w:rFonts w:hint="eastAsia" w:ascii="方正楷体_GBK" w:hAnsi="方正楷体_GBK" w:eastAsia="方正楷体_GBK" w:cs="方正楷体_GBK"/>
          <w:b w:val="0"/>
          <w:bCs/>
          <w:color w:val="000000"/>
          <w:kern w:val="0"/>
          <w:sz w:val="32"/>
          <w:szCs w:val="32"/>
          <w:shd w:val="clear" w:color="auto" w:fill="FFFFFF"/>
        </w:rPr>
        <w:t>（四）政府采购支出说明</w:t>
      </w:r>
    </w:p>
    <w:p>
      <w:pPr>
        <w:pStyle w:val="2"/>
        <w:adjustRightInd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2022年度本部门政府采购支出总额59.32万元，其中：政府采购货物支出59.32万元、政府采购工程支出0.00万元、政府采购服务支出0.00万元。授予中小企业合同金额59.32万元，占政府采购支出总额的100%，其中：授予小微企业合同金额59.32万元，占政府采购支出总额的100%。主要用于采购食堂设备和办公室桌椅。</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黑体GBK" w:hAnsi="方正黑体GBK" w:eastAsia="方正黑体GBK" w:cs="方正黑体GBK"/>
          <w:sz w:val="32"/>
          <w:szCs w:val="32"/>
        </w:rPr>
        <w:t>五、预算绩效管理情况说明</w:t>
      </w:r>
    </w:p>
    <w:p>
      <w:pPr>
        <w:pStyle w:val="2"/>
        <w:adjustRightInd w:val="0"/>
        <w:snapToGrid w:val="0"/>
        <w:spacing w:line="579"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预算绩效管理情况只针对一级预算单位，本单位为二级预算单位，故预算绩效管理情况在此不反映。</w:t>
      </w:r>
    </w:p>
    <w:p>
      <w:pPr>
        <w:pStyle w:val="2"/>
        <w:adjustRightInd w:val="0"/>
        <w:snapToGrid w:val="0"/>
        <w:spacing w:line="579" w:lineRule="exact"/>
        <w:ind w:firstLine="640" w:firstLineChars="200"/>
        <w:rPr>
          <w:rFonts w:ascii="方正黑体GBK" w:hAnsi="方正黑体GBK" w:eastAsia="方正黑体GBK" w:cs="方正黑体GBK"/>
          <w:sz w:val="32"/>
          <w:szCs w:val="32"/>
        </w:rPr>
      </w:pPr>
      <w:r>
        <w:rPr>
          <w:rFonts w:hint="eastAsia" w:ascii="方正黑体GBK" w:hAnsi="方正黑体GBK" w:eastAsia="方正黑体GBK" w:cs="方正黑体GBK"/>
          <w:sz w:val="32"/>
          <w:szCs w:val="32"/>
        </w:rPr>
        <w:t>六、专业名词解释</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（四）其他收入：</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（五）使用非财政拨款结余：</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（七）结余分配：</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（十二）“三公”经费：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（十三）机关运行经费：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Style w:val="23"/>
          <w:rFonts w:hint="eastAsia" w:ascii="方正楷体_GBK" w:hAnsi="方正楷体_GBK" w:eastAsia="方正楷体_GBK" w:cs="方正楷体_GBK"/>
          <w:b w:val="0"/>
          <w:bCs/>
          <w:color w:val="000000"/>
          <w:kern w:val="0"/>
          <w:sz w:val="32"/>
          <w:szCs w:val="32"/>
          <w:shd w:val="clear" w:color="auto" w:fill="FFFFFF"/>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2"/>
        <w:adjustRightInd w:val="0"/>
        <w:snapToGrid w:val="0"/>
        <w:spacing w:line="579" w:lineRule="exact"/>
        <w:ind w:firstLine="640" w:firstLineChars="200"/>
        <w:rPr>
          <w:rFonts w:ascii="方正楷体_GBK" w:hAnsi="方正楷体_GBK" w:eastAsia="方正楷体_GBK" w:cs="方正楷体_GBK"/>
          <w:sz w:val="32"/>
          <w:szCs w:val="32"/>
        </w:rPr>
      </w:pPr>
      <w:r>
        <w:rPr>
          <w:rFonts w:hint="eastAsia" w:ascii="方正黑体GBK" w:hAnsi="方正黑体GBK" w:eastAsia="方正黑体GBK" w:cs="方正黑体GBK"/>
          <w:sz w:val="32"/>
          <w:szCs w:val="32"/>
        </w:rPr>
        <w:t>七、决算公开联系方式及信息反馈渠道</w:t>
      </w:r>
    </w:p>
    <w:p>
      <w:pPr>
        <w:pStyle w:val="2"/>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p>
    <w:p>
      <w:pPr>
        <w:pStyle w:val="2"/>
        <w:adjustRightInd w:val="0"/>
        <w:snapToGrid w:val="0"/>
        <w:spacing w:line="579" w:lineRule="exact"/>
        <w:ind w:firstLine="640" w:firstLineChars="200"/>
        <w:rPr>
          <w:rFonts w:ascii="Times New Roman" w:hAnsi="Times New Roman" w:eastAsia="方正仿宋_GBK"/>
          <w:snapToGrid w:val="0"/>
          <w:sz w:val="32"/>
          <w:szCs w:val="32"/>
        </w:rPr>
      </w:pPr>
      <w:r>
        <w:rPr>
          <w:rFonts w:hint="eastAsia" w:ascii="方正仿宋_GBK" w:hAnsi="方正仿宋_GBK" w:eastAsia="方正仿宋_GBK" w:cs="方正仿宋_GBK"/>
          <w:sz w:val="32"/>
          <w:szCs w:val="32"/>
        </w:rPr>
        <w:t>李兴洲：</w:t>
      </w:r>
      <w:r>
        <w:rPr>
          <w:rFonts w:ascii="Times New Roman" w:hAnsi="Times New Roman" w:eastAsia="方正仿宋_GBK"/>
          <w:sz w:val="32"/>
          <w:szCs w:val="32"/>
        </w:rPr>
        <w:t xml:space="preserve">15310502050 </w:t>
      </w:r>
      <w:r>
        <w:rPr>
          <w:rFonts w:hint="eastAsia" w:ascii="方正仿宋_GBK" w:hAnsi="方正仿宋_GBK" w:eastAsia="方正仿宋_GBK" w:cs="方正仿宋_GBK"/>
          <w:sz w:val="32"/>
          <w:szCs w:val="32"/>
        </w:rPr>
        <w:t xml:space="preserve">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GBK">
    <w:altName w:val="方正黑体_GBK"/>
    <w:panose1 w:val="00000000000000000000"/>
    <w:charset w:val="00"/>
    <w:family w:val="auto"/>
    <w:pitch w:val="default"/>
    <w:sig w:usb0="00000000" w:usb1="00000000" w:usb2="00000000" w:usb3="00000000" w:csb0="00000000" w:csb1="00000000"/>
  </w:font>
  <w:font w:name="方正楷体_GBK">
    <w:panose1 w:val="02000000000000000000"/>
    <w:charset w:val="86"/>
    <w:family w:val="script"/>
    <w:pitch w:val="default"/>
    <w:sig w:usb0="00000001" w:usb1="08000000" w:usb2="00000000" w:usb3="00000000" w:csb0="00040000" w:csb1="00000000"/>
  </w:font>
  <w:font w:name="方正楷体GBK">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C1D28"/>
    <w:multiLevelType w:val="singleLevel"/>
    <w:tmpl w:val="AACC1D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jFhODc2MjllZDcwOWEwMTliZDhmNzZlODA0NzAifQ=="/>
  </w:docVars>
  <w:rsids>
    <w:rsidRoot w:val="00C47C1F"/>
    <w:rsid w:val="000C1F2E"/>
    <w:rsid w:val="00166AA8"/>
    <w:rsid w:val="002F2335"/>
    <w:rsid w:val="00303ADD"/>
    <w:rsid w:val="00332B1A"/>
    <w:rsid w:val="00365806"/>
    <w:rsid w:val="004C2724"/>
    <w:rsid w:val="00592F27"/>
    <w:rsid w:val="006571C5"/>
    <w:rsid w:val="007B632A"/>
    <w:rsid w:val="007D23B6"/>
    <w:rsid w:val="007D3093"/>
    <w:rsid w:val="007E7E45"/>
    <w:rsid w:val="008B47DA"/>
    <w:rsid w:val="008E4922"/>
    <w:rsid w:val="00A1681D"/>
    <w:rsid w:val="00A537A1"/>
    <w:rsid w:val="00BB37D8"/>
    <w:rsid w:val="00BD5A92"/>
    <w:rsid w:val="00BE19D4"/>
    <w:rsid w:val="00BE68AC"/>
    <w:rsid w:val="00BF25C2"/>
    <w:rsid w:val="00C47C1F"/>
    <w:rsid w:val="00CB1685"/>
    <w:rsid w:val="00D4684E"/>
    <w:rsid w:val="00EB52A3"/>
    <w:rsid w:val="00EE5313"/>
    <w:rsid w:val="00EF26CF"/>
    <w:rsid w:val="00EF7958"/>
    <w:rsid w:val="019512C4"/>
    <w:rsid w:val="01C128FF"/>
    <w:rsid w:val="02427A5B"/>
    <w:rsid w:val="05136FD8"/>
    <w:rsid w:val="057516AB"/>
    <w:rsid w:val="070940E1"/>
    <w:rsid w:val="0B026DE1"/>
    <w:rsid w:val="0FA7657F"/>
    <w:rsid w:val="10982760"/>
    <w:rsid w:val="12A54EC2"/>
    <w:rsid w:val="134B2C2D"/>
    <w:rsid w:val="13A115BA"/>
    <w:rsid w:val="15D51AAA"/>
    <w:rsid w:val="15F76D72"/>
    <w:rsid w:val="17014B07"/>
    <w:rsid w:val="19B3433C"/>
    <w:rsid w:val="1BC52778"/>
    <w:rsid w:val="1C02344B"/>
    <w:rsid w:val="1DCE21B3"/>
    <w:rsid w:val="1E741299"/>
    <w:rsid w:val="1F090745"/>
    <w:rsid w:val="21760568"/>
    <w:rsid w:val="21FE5C46"/>
    <w:rsid w:val="22CA2105"/>
    <w:rsid w:val="23CD43B5"/>
    <w:rsid w:val="253343F1"/>
    <w:rsid w:val="26FA59B9"/>
    <w:rsid w:val="27CA5351"/>
    <w:rsid w:val="283A00D3"/>
    <w:rsid w:val="28F62014"/>
    <w:rsid w:val="2A7F5DC4"/>
    <w:rsid w:val="2AD5250D"/>
    <w:rsid w:val="2B7A149D"/>
    <w:rsid w:val="2D726D35"/>
    <w:rsid w:val="2E224167"/>
    <w:rsid w:val="2F1333B5"/>
    <w:rsid w:val="2F4B241C"/>
    <w:rsid w:val="2FD30DA8"/>
    <w:rsid w:val="30DE4876"/>
    <w:rsid w:val="34D92AF8"/>
    <w:rsid w:val="37872D98"/>
    <w:rsid w:val="3AE04848"/>
    <w:rsid w:val="3B3D2679"/>
    <w:rsid w:val="3C1B54A9"/>
    <w:rsid w:val="3CB144A3"/>
    <w:rsid w:val="3D671E9B"/>
    <w:rsid w:val="42A6259C"/>
    <w:rsid w:val="444F1D39"/>
    <w:rsid w:val="45A349A9"/>
    <w:rsid w:val="45D245AC"/>
    <w:rsid w:val="4884517D"/>
    <w:rsid w:val="491F2FF6"/>
    <w:rsid w:val="49D159C9"/>
    <w:rsid w:val="4BA535A7"/>
    <w:rsid w:val="4CB540F5"/>
    <w:rsid w:val="4E9F1F41"/>
    <w:rsid w:val="4EEE59EE"/>
    <w:rsid w:val="4EF42E46"/>
    <w:rsid w:val="4F1E5C93"/>
    <w:rsid w:val="502762BC"/>
    <w:rsid w:val="50BC559E"/>
    <w:rsid w:val="51D77B49"/>
    <w:rsid w:val="54833F4A"/>
    <w:rsid w:val="548370CC"/>
    <w:rsid w:val="56E77739"/>
    <w:rsid w:val="57AD0CFE"/>
    <w:rsid w:val="58D26900"/>
    <w:rsid w:val="58E41ED3"/>
    <w:rsid w:val="593F55C0"/>
    <w:rsid w:val="5CD14E0A"/>
    <w:rsid w:val="5D6065DC"/>
    <w:rsid w:val="5F115461"/>
    <w:rsid w:val="6266290F"/>
    <w:rsid w:val="632E0443"/>
    <w:rsid w:val="633C1BB1"/>
    <w:rsid w:val="6356585A"/>
    <w:rsid w:val="64AD2105"/>
    <w:rsid w:val="66934433"/>
    <w:rsid w:val="67A43782"/>
    <w:rsid w:val="689D0099"/>
    <w:rsid w:val="696F4E72"/>
    <w:rsid w:val="6CF7631B"/>
    <w:rsid w:val="6E2D3DC6"/>
    <w:rsid w:val="6F7B4289"/>
    <w:rsid w:val="6FC87AD5"/>
    <w:rsid w:val="71436E8F"/>
    <w:rsid w:val="72FF4C2B"/>
    <w:rsid w:val="755444AB"/>
    <w:rsid w:val="759D7239"/>
    <w:rsid w:val="797D2EFB"/>
    <w:rsid w:val="79B457F9"/>
    <w:rsid w:val="7A3843DD"/>
    <w:rsid w:val="7BDE402F"/>
    <w:rsid w:val="7E313E69"/>
    <w:rsid w:val="7F116C74"/>
    <w:rsid w:val="7F833DB1"/>
    <w:rsid w:val="7F8367AB"/>
    <w:rsid w:val="FF7F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w:basedOn w:val="2"/>
    <w:semiHidden/>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font61"/>
    <w:basedOn w:val="10"/>
    <w:qFormat/>
    <w:uiPriority w:val="0"/>
    <w:rPr>
      <w:rFonts w:hint="eastAsia" w:ascii="宋体" w:hAnsi="宋体" w:eastAsia="宋体" w:cs="宋体"/>
      <w:b/>
      <w:color w:val="000000"/>
      <w:sz w:val="22"/>
      <w:szCs w:val="22"/>
      <w:u w:val="none"/>
    </w:rPr>
  </w:style>
  <w:style w:type="character" w:customStyle="1" w:styleId="13">
    <w:name w:val="font31"/>
    <w:basedOn w:val="10"/>
    <w:qFormat/>
    <w:uiPriority w:val="0"/>
    <w:rPr>
      <w:rFonts w:hint="eastAsia" w:ascii="宋体" w:hAnsi="宋体" w:eastAsia="宋体" w:cs="宋体"/>
      <w:b/>
      <w:color w:val="000000"/>
      <w:sz w:val="24"/>
      <w:szCs w:val="24"/>
      <w:u w:val="none"/>
    </w:rPr>
  </w:style>
  <w:style w:type="character" w:customStyle="1" w:styleId="14">
    <w:name w:val="font51"/>
    <w:basedOn w:val="10"/>
    <w:qFormat/>
    <w:uiPriority w:val="0"/>
    <w:rPr>
      <w:rFonts w:hint="default" w:ascii="Calibri" w:hAnsi="Calibri" w:cs="Calibri"/>
      <w:b/>
      <w:color w:val="000000"/>
      <w:sz w:val="24"/>
      <w:szCs w:val="24"/>
      <w:u w:val="none"/>
    </w:rPr>
  </w:style>
  <w:style w:type="character" w:customStyle="1" w:styleId="15">
    <w:name w:val="font21"/>
    <w:basedOn w:val="10"/>
    <w:qFormat/>
    <w:uiPriority w:val="0"/>
    <w:rPr>
      <w:rFonts w:ascii="Arial" w:hAnsi="Arial" w:cs="Arial"/>
      <w:b/>
      <w:color w:val="000000"/>
      <w:sz w:val="20"/>
      <w:szCs w:val="20"/>
      <w:u w:val="none"/>
    </w:rPr>
  </w:style>
  <w:style w:type="character" w:customStyle="1" w:styleId="16">
    <w:name w:val="font71"/>
    <w:basedOn w:val="10"/>
    <w:qFormat/>
    <w:uiPriority w:val="0"/>
    <w:rPr>
      <w:rFonts w:hint="eastAsia" w:ascii="宋体" w:hAnsi="宋体" w:eastAsia="宋体" w:cs="宋体"/>
      <w:b/>
      <w:color w:val="000000"/>
      <w:sz w:val="20"/>
      <w:szCs w:val="20"/>
      <w:u w:val="none"/>
    </w:rPr>
  </w:style>
  <w:style w:type="character" w:customStyle="1" w:styleId="17">
    <w:name w:val="font41"/>
    <w:basedOn w:val="10"/>
    <w:qFormat/>
    <w:uiPriority w:val="0"/>
    <w:rPr>
      <w:rFonts w:hint="eastAsia" w:ascii="宋体" w:hAnsi="宋体" w:eastAsia="宋体" w:cs="宋体"/>
      <w:b/>
      <w:color w:val="000000"/>
      <w:sz w:val="24"/>
      <w:szCs w:val="24"/>
      <w:u w:val="none"/>
    </w:rPr>
  </w:style>
  <w:style w:type="character" w:customStyle="1" w:styleId="18">
    <w:name w:val="font112"/>
    <w:basedOn w:val="10"/>
    <w:qFormat/>
    <w:uiPriority w:val="0"/>
    <w:rPr>
      <w:rFonts w:hint="default" w:ascii="Calibri" w:hAnsi="Calibri" w:cs="Calibri"/>
      <w:b/>
      <w:color w:val="000000"/>
      <w:sz w:val="24"/>
      <w:szCs w:val="24"/>
      <w:u w:val="none"/>
    </w:rPr>
  </w:style>
  <w:style w:type="character" w:customStyle="1" w:styleId="19">
    <w:name w:val="font81"/>
    <w:basedOn w:val="10"/>
    <w:qFormat/>
    <w:uiPriority w:val="0"/>
    <w:rPr>
      <w:rFonts w:hint="default" w:ascii="Calibri" w:hAnsi="Calibri" w:cs="Calibri"/>
      <w:b/>
      <w:color w:val="000000"/>
      <w:sz w:val="24"/>
      <w:szCs w:val="24"/>
      <w:u w:val="none"/>
    </w:rPr>
  </w:style>
  <w:style w:type="character" w:customStyle="1" w:styleId="20">
    <w:name w:val="font01"/>
    <w:basedOn w:val="10"/>
    <w:qFormat/>
    <w:uiPriority w:val="0"/>
    <w:rPr>
      <w:rFonts w:hint="default" w:ascii="Arial" w:hAnsi="Arial" w:cs="Arial"/>
      <w:b/>
      <w:color w:val="000000"/>
      <w:sz w:val="24"/>
      <w:szCs w:val="24"/>
      <w:u w:val="none"/>
    </w:rPr>
  </w:style>
  <w:style w:type="character" w:customStyle="1" w:styleId="21">
    <w:name w:val="NormalCharacter"/>
    <w:semiHidden/>
    <w:qFormat/>
    <w:uiPriority w:val="0"/>
  </w:style>
  <w:style w:type="paragraph" w:customStyle="1" w:styleId="22">
    <w:name w:val="普通(网站) Char"/>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16"/>
    <w:basedOn w:val="10"/>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10</Pages>
  <Words>674</Words>
  <Characters>3844</Characters>
  <Lines>32</Lines>
  <Paragraphs>9</Paragraphs>
  <TotalTime>1</TotalTime>
  <ScaleCrop>false</ScaleCrop>
  <LinksUpToDate>false</LinksUpToDate>
  <CharactersWithSpaces>4509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2021-01-07T15:03:00Z</dcterms:created>
  <dc:creator>Administrator</dc:creator>
  <cp:lastModifiedBy>ckuos</cp:lastModifiedBy>
  <cp:lastPrinted>2021-02-28T12:09:00Z</cp:lastPrinted>
  <dcterms:modified xsi:type="dcterms:W3CDTF">2023-11-22T13:59:02Z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KSOSaveFontToCloudKey">
    <vt:lpwstr>300157628_embed</vt:lpwstr>
  </property>
  <property fmtid="{D5CDD505-2E9C-101B-9397-08002B2CF9AE}" pid="4" name="ICV">
    <vt:lpwstr>77E76094C2E2451687F16B1FB8FDFD02_13</vt:lpwstr>
  </property>
</Properties>
</file>