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9"/>
        <w:spacing w:beforeAutospacing="0" w:line="600" w:lineRule="exact"/>
        <w:jc w:val="center"/>
        <w:rPr>
          <w:rFonts w:ascii="方正小标宋_GBK" w:hAnsi="方正小标宋_GBK" w:eastAsia="方正小标宋_GBK" w:cs="方正小标宋_GBK"/>
          <w:sz w:val="44"/>
          <w:szCs w:val="44"/>
        </w:rPr>
      </w:pPr>
      <w:r>
        <w:rPr>
          <w:rStyle w:val="12"/>
          <w:rFonts w:hint="eastAsia" w:ascii="方正小标宋_GBK" w:hAnsi="方正小标宋_GBK" w:eastAsia="方正小标宋_GBK" w:cs="方正小标宋_GBK"/>
          <w:sz w:val="44"/>
          <w:szCs w:val="44"/>
          <w:shd w:val="clear" w:color="auto" w:fill="FFFFFF"/>
        </w:rPr>
        <w:t>重庆市城口县左岚乡第二中心小学</w:t>
      </w:r>
    </w:p>
    <w:p>
      <w:pPr>
        <w:pStyle w:val="9"/>
        <w:spacing w:beforeAutospacing="0" w:line="600" w:lineRule="exact"/>
        <w:jc w:val="center"/>
        <w:rPr>
          <w:rFonts w:ascii="方正小标宋_GBK" w:hAnsi="方正小标宋_GBK" w:eastAsia="方正小标宋_GBK" w:cs="方正小标宋_GBK"/>
          <w:sz w:val="44"/>
          <w:szCs w:val="44"/>
        </w:rPr>
      </w:pPr>
      <w:r>
        <w:rPr>
          <w:rStyle w:val="12"/>
          <w:rFonts w:hint="eastAsia" w:ascii="方正小标宋_GBK" w:hAnsi="方正小标宋_GBK" w:eastAsia="方正小标宋_GBK" w:cs="方正小标宋_GBK"/>
          <w:sz w:val="44"/>
          <w:szCs w:val="44"/>
          <w:shd w:val="clear" w:color="auto" w:fill="FFFFFF"/>
        </w:rPr>
        <w:t>2022年度部门决算情况说明</w:t>
      </w:r>
    </w:p>
    <w:p>
      <w:pPr>
        <w:pStyle w:val="13"/>
        <w:widowControl w:val="0"/>
        <w:tabs>
          <w:tab w:val="center" w:pos="4153"/>
          <w:tab w:val="left" w:pos="7275"/>
        </w:tabs>
        <w:spacing w:line="579" w:lineRule="exact"/>
        <w:ind w:firstLine="640"/>
        <w:jc w:val="both"/>
        <w:rPr>
          <w:rFonts w:ascii="方正黑体_GBK" w:hAnsi="Times New Roman" w:eastAsia="方正黑体_GBK"/>
          <w:kern w:val="2"/>
          <w:sz w:val="32"/>
          <w:szCs w:val="32"/>
        </w:rPr>
      </w:pPr>
      <w:r>
        <w:rPr>
          <w:rFonts w:hint="eastAsia" w:ascii="方正黑体_GBK" w:hAnsi="Times New Roman" w:eastAsia="方正黑体_GBK"/>
          <w:kern w:val="2"/>
          <w:sz w:val="32"/>
          <w:szCs w:val="32"/>
        </w:rPr>
        <w:t>一、单位基本情况</w:t>
      </w:r>
      <w:bookmarkStart w:id="0" w:name="_GoBack"/>
      <w:bookmarkEnd w:id="0"/>
    </w:p>
    <w:p>
      <w:pPr>
        <w:widowControl w:val="0"/>
        <w:spacing w:line="579" w:lineRule="exact"/>
        <w:ind w:firstLine="640" w:firstLineChars="200"/>
        <w:jc w:val="both"/>
        <w:rPr>
          <w:rFonts w:ascii="Times New Roman" w:hAnsi="Times New Roman" w:eastAsia="方正楷体_GBK"/>
          <w:sz w:val="32"/>
          <w:szCs w:val="32"/>
        </w:rPr>
      </w:pPr>
      <w:r>
        <w:rPr>
          <w:rFonts w:ascii="Times New Roman" w:hAnsi="Times New Roman" w:eastAsia="方正楷体_GBK"/>
          <w:sz w:val="32"/>
          <w:szCs w:val="32"/>
        </w:rPr>
        <w:t>（一）职能职责</w:t>
      </w:r>
    </w:p>
    <w:p>
      <w:pPr>
        <w:pStyle w:val="9"/>
        <w:spacing w:beforeAutospacing="0" w:afterAutospacing="0" w:line="579" w:lineRule="exact"/>
        <w:ind w:firstLine="640" w:firstLineChars="200"/>
        <w:jc w:val="both"/>
        <w:rPr>
          <w:rStyle w:val="12"/>
          <w:rFonts w:ascii="方正仿宋_GBK" w:hAnsi="方正仿宋_GBK" w:eastAsia="方正仿宋_GBK" w:cs="方正仿宋_GBK"/>
          <w:b w:val="0"/>
          <w:bCs/>
          <w:sz w:val="32"/>
          <w:szCs w:val="32"/>
          <w:shd w:val="clear" w:color="auto" w:fill="FFFFFF"/>
        </w:rPr>
      </w:pPr>
      <w:r>
        <w:rPr>
          <w:rStyle w:val="12"/>
          <w:rFonts w:hint="eastAsia" w:ascii="方正仿宋_GBK" w:hAnsi="方正仿宋_GBK" w:eastAsia="方正仿宋_GBK" w:cs="方正仿宋_GBK"/>
          <w:b w:val="0"/>
          <w:bCs/>
          <w:sz w:val="32"/>
          <w:szCs w:val="32"/>
          <w:shd w:val="clear" w:color="auto" w:fill="FFFFFF"/>
        </w:rPr>
        <w:t>宣传贯彻执行党和国家的教育方针、政策、法律法规等，坚持依法治教、依法治学。配合县、乡人民政府制定符合党的教育方针和国家教育法律法规以及本校实际的教育发展规划，组织开展本校的教育教学科研和教育教学改革，科研兴教，全力推进素质教育实施。指导，管理，检查 ，评价本校的教育教学工作，提高办学质量和办学效益。认真完成普及初等教育的任务，严格执行小学教学大纲，保证完成小学教育、教学计划；按教育规律办事，坚持“德、智、体、美、劳”全面发展。</w:t>
      </w:r>
    </w:p>
    <w:p>
      <w:pPr>
        <w:pStyle w:val="9"/>
        <w:spacing w:beforeAutospacing="0" w:afterAutospacing="0" w:line="579" w:lineRule="exact"/>
        <w:ind w:firstLine="640" w:firstLineChars="200"/>
        <w:jc w:val="both"/>
        <w:rPr>
          <w:rFonts w:ascii="Times New Roman" w:hAnsi="Times New Roman" w:eastAsia="方正楷体_GBK"/>
          <w:sz w:val="32"/>
          <w:szCs w:val="32"/>
        </w:rPr>
      </w:pPr>
      <w:r>
        <w:rPr>
          <w:rFonts w:ascii="Times New Roman" w:hAnsi="Times New Roman" w:eastAsia="方正楷体_GBK"/>
          <w:sz w:val="32"/>
          <w:szCs w:val="32"/>
        </w:rPr>
        <w:t>（二）机构设置</w:t>
      </w:r>
    </w:p>
    <w:p>
      <w:pPr>
        <w:pStyle w:val="9"/>
        <w:spacing w:beforeAutospacing="0" w:afterAutospacing="0" w:line="579" w:lineRule="exact"/>
        <w:ind w:firstLine="640" w:firstLineChars="200"/>
        <w:jc w:val="both"/>
        <w:rPr>
          <w:rStyle w:val="12"/>
          <w:rFonts w:ascii="方正仿宋_GBK" w:hAnsi="方正仿宋_GBK" w:eastAsia="方正仿宋_GBK" w:cs="方正仿宋_GBK"/>
          <w:b w:val="0"/>
          <w:bCs/>
          <w:sz w:val="32"/>
          <w:szCs w:val="32"/>
          <w:shd w:val="clear" w:color="auto" w:fill="FFFFFF"/>
        </w:rPr>
      </w:pPr>
      <w:r>
        <w:rPr>
          <w:rStyle w:val="12"/>
          <w:rFonts w:ascii="方正仿宋_GBK" w:hAnsi="方正仿宋_GBK" w:eastAsia="方正仿宋_GBK" w:cs="方正仿宋_GBK"/>
          <w:b w:val="0"/>
          <w:bCs/>
          <w:sz w:val="32"/>
          <w:szCs w:val="32"/>
          <w:shd w:val="clear" w:color="auto" w:fill="FFFFFF"/>
        </w:rPr>
        <w:t>我校属于独立编制结构，独立核算机构。</w:t>
      </w:r>
    </w:p>
    <w:p>
      <w:pPr>
        <w:pStyle w:val="9"/>
        <w:spacing w:beforeAutospacing="0" w:afterAutospacing="0" w:line="579" w:lineRule="exact"/>
        <w:ind w:firstLine="640" w:firstLineChars="200"/>
        <w:jc w:val="both"/>
        <w:rPr>
          <w:rStyle w:val="12"/>
          <w:rFonts w:ascii="Times New Roman" w:hAnsi="Times New Roman" w:eastAsia="宋体"/>
          <w:shd w:val="clear" w:color="auto" w:fill="FFFFFF"/>
        </w:rPr>
      </w:pPr>
      <w:r>
        <w:rPr>
          <w:rFonts w:ascii="Times New Roman" w:hAnsi="Times New Roman" w:eastAsia="方正楷体_GBK"/>
          <w:sz w:val="32"/>
          <w:szCs w:val="32"/>
        </w:rPr>
        <w:t>（三）单位构成</w:t>
      </w:r>
    </w:p>
    <w:p>
      <w:pPr>
        <w:pStyle w:val="9"/>
        <w:spacing w:beforeAutospacing="0" w:afterAutospacing="0" w:line="579" w:lineRule="exact"/>
        <w:ind w:firstLine="640" w:firstLineChars="200"/>
        <w:jc w:val="both"/>
        <w:rPr>
          <w:rStyle w:val="12"/>
          <w:rFonts w:ascii="方正仿宋_GBK" w:hAnsi="方正仿宋_GBK" w:eastAsia="方正仿宋_GBK" w:cs="方正仿宋_GBK"/>
          <w:b w:val="0"/>
          <w:bCs/>
          <w:sz w:val="32"/>
          <w:szCs w:val="32"/>
          <w:shd w:val="clear" w:color="auto" w:fill="FFFFFF"/>
        </w:rPr>
      </w:pPr>
      <w:r>
        <w:rPr>
          <w:rStyle w:val="12"/>
          <w:rFonts w:ascii="方正仿宋_GBK" w:hAnsi="方正仿宋_GBK" w:eastAsia="方正仿宋_GBK" w:cs="方正仿宋_GBK"/>
          <w:b w:val="0"/>
          <w:bCs/>
          <w:sz w:val="32"/>
          <w:szCs w:val="32"/>
          <w:shd w:val="clear" w:color="auto" w:fill="FFFFFF"/>
        </w:rPr>
        <w:t>无下级预算单位</w:t>
      </w:r>
      <w:r>
        <w:rPr>
          <w:rStyle w:val="12"/>
          <w:rFonts w:hint="eastAsia" w:ascii="方正仿宋_GBK" w:hAnsi="方正仿宋_GBK" w:eastAsia="方正仿宋_GBK" w:cs="方正仿宋_GBK"/>
          <w:b w:val="0"/>
          <w:bCs/>
          <w:sz w:val="32"/>
          <w:szCs w:val="32"/>
          <w:shd w:val="clear" w:color="auto" w:fill="FFFFFF"/>
        </w:rPr>
        <w:t>。</w:t>
      </w:r>
    </w:p>
    <w:p>
      <w:pPr>
        <w:pStyle w:val="13"/>
        <w:widowControl w:val="0"/>
        <w:tabs>
          <w:tab w:val="center" w:pos="4153"/>
          <w:tab w:val="left" w:pos="7275"/>
        </w:tabs>
        <w:spacing w:line="579" w:lineRule="exact"/>
        <w:ind w:firstLine="640"/>
        <w:jc w:val="both"/>
        <w:rPr>
          <w:rFonts w:ascii="方正黑体_GBK" w:hAnsi="Times New Roman" w:eastAsia="方正黑体_GBK"/>
          <w:kern w:val="2"/>
          <w:sz w:val="32"/>
          <w:szCs w:val="32"/>
        </w:rPr>
      </w:pPr>
      <w:r>
        <w:rPr>
          <w:rFonts w:hint="eastAsia" w:ascii="方正黑体_GBK" w:hAnsi="Times New Roman" w:eastAsia="方正黑体_GBK"/>
          <w:kern w:val="2"/>
          <w:sz w:val="32"/>
          <w:szCs w:val="32"/>
        </w:rPr>
        <w:t>二、部门决算情况说明</w:t>
      </w:r>
    </w:p>
    <w:p>
      <w:pPr>
        <w:pStyle w:val="9"/>
        <w:spacing w:beforeAutospacing="0" w:afterAutospacing="0" w:line="579" w:lineRule="exact"/>
        <w:ind w:firstLine="640" w:firstLineChars="200"/>
        <w:jc w:val="both"/>
        <w:rPr>
          <w:rFonts w:ascii="Times New Roman" w:hAnsi="Times New Roman" w:eastAsia="方正楷体_GBK"/>
          <w:sz w:val="32"/>
          <w:szCs w:val="32"/>
        </w:rPr>
      </w:pPr>
      <w:r>
        <w:rPr>
          <w:rFonts w:ascii="Times New Roman" w:hAnsi="Times New Roman" w:eastAsia="方正楷体_GBK"/>
          <w:sz w:val="32"/>
          <w:szCs w:val="32"/>
        </w:rPr>
        <w:t>（一）收入支出决算总体情况说明</w:t>
      </w:r>
    </w:p>
    <w:p>
      <w:pPr>
        <w:pStyle w:val="9"/>
        <w:spacing w:beforeAutospacing="0" w:afterAutospacing="0" w:line="579" w:lineRule="exact"/>
        <w:ind w:firstLine="640" w:firstLineChars="200"/>
        <w:jc w:val="both"/>
        <w:rPr>
          <w:rStyle w:val="12"/>
          <w:rFonts w:ascii="方正仿宋_GBK" w:hAnsi="方正仿宋_GBK" w:eastAsia="方正仿宋_GBK" w:cs="方正仿宋_GBK"/>
          <w:b w:val="0"/>
          <w:bCs/>
          <w:sz w:val="32"/>
          <w:szCs w:val="32"/>
          <w:shd w:val="clear" w:color="auto" w:fill="FFFFFF"/>
        </w:rPr>
      </w:pPr>
      <w:r>
        <w:rPr>
          <w:rStyle w:val="12"/>
          <w:rFonts w:ascii="Times New Roman" w:hAnsi="Times New Roman" w:eastAsia="方正仿宋_GBK"/>
          <w:b w:val="0"/>
          <w:bCs/>
          <w:sz w:val="32"/>
          <w:szCs w:val="32"/>
          <w:shd w:val="clear" w:color="auto" w:fill="FFFFFF"/>
        </w:rPr>
        <w:t>1.</w:t>
      </w:r>
      <w:r>
        <w:rPr>
          <w:rStyle w:val="12"/>
          <w:rFonts w:ascii="方正仿宋_GBK" w:hAnsi="方正仿宋_GBK" w:eastAsia="方正仿宋_GBK" w:cs="方正仿宋_GBK"/>
          <w:b w:val="0"/>
          <w:bCs/>
          <w:sz w:val="32"/>
          <w:szCs w:val="32"/>
          <w:shd w:val="clear" w:color="auto" w:fill="FFFFFF"/>
        </w:rPr>
        <w:t>总体情况</w:t>
      </w:r>
      <w:r>
        <w:rPr>
          <w:rStyle w:val="12"/>
          <w:rFonts w:ascii="Times New Roman" w:hAnsi="Times New Roman" w:eastAsia="方正仿宋_GBK"/>
          <w:b w:val="0"/>
          <w:bCs/>
          <w:sz w:val="32"/>
          <w:szCs w:val="32"/>
          <w:shd w:val="clear" w:color="auto" w:fill="FFFFFF"/>
        </w:rPr>
        <w:t>。2022</w:t>
      </w:r>
      <w:r>
        <w:rPr>
          <w:rStyle w:val="12"/>
          <w:rFonts w:ascii="方正仿宋_GBK" w:hAnsi="方正仿宋_GBK" w:eastAsia="方正仿宋_GBK" w:cs="方正仿宋_GBK"/>
          <w:b w:val="0"/>
          <w:bCs/>
          <w:sz w:val="32"/>
          <w:szCs w:val="32"/>
          <w:shd w:val="clear" w:color="auto" w:fill="FFFFFF"/>
        </w:rPr>
        <w:t>年度收入总计</w:t>
      </w:r>
      <w:r>
        <w:rPr>
          <w:rStyle w:val="12"/>
          <w:rFonts w:ascii="Times New Roman" w:hAnsi="Times New Roman" w:eastAsia="方正仿宋_GBK"/>
          <w:b w:val="0"/>
          <w:bCs/>
          <w:sz w:val="32"/>
          <w:szCs w:val="32"/>
          <w:shd w:val="clear" w:color="auto" w:fill="FFFFFF"/>
        </w:rPr>
        <w:t>369.45</w:t>
      </w:r>
      <w:r>
        <w:rPr>
          <w:rStyle w:val="12"/>
          <w:rFonts w:ascii="方正仿宋_GBK" w:hAnsi="方正仿宋_GBK" w:eastAsia="方正仿宋_GBK" w:cs="方正仿宋_GBK"/>
          <w:b w:val="0"/>
          <w:bCs/>
          <w:sz w:val="32"/>
          <w:szCs w:val="32"/>
          <w:shd w:val="clear" w:color="auto" w:fill="FFFFFF"/>
        </w:rPr>
        <w:t>万元，支出总</w:t>
      </w:r>
      <w:r>
        <w:rPr>
          <w:rStyle w:val="12"/>
          <w:rFonts w:ascii="Times New Roman" w:hAnsi="Times New Roman" w:eastAsia="方正仿宋_GBK"/>
          <w:b w:val="0"/>
          <w:bCs/>
          <w:sz w:val="32"/>
          <w:szCs w:val="32"/>
          <w:shd w:val="clear" w:color="auto" w:fill="FFFFFF"/>
        </w:rPr>
        <w:t>计369.45万元。收支较上年决算数减少55.56万元,下降13.1%，主要原因是主要原因是学校工程建设减少，人员调动，工资绩效变化等情况。</w:t>
      </w:r>
    </w:p>
    <w:p>
      <w:pPr>
        <w:pStyle w:val="9"/>
        <w:spacing w:beforeAutospacing="0" w:afterAutospacing="0" w:line="579" w:lineRule="exact"/>
        <w:ind w:firstLine="640" w:firstLineChars="200"/>
        <w:jc w:val="both"/>
        <w:rPr>
          <w:rStyle w:val="12"/>
          <w:rFonts w:ascii="Times New Roman" w:hAnsi="Times New Roman" w:eastAsia="方正仿宋_GBK"/>
          <w:b w:val="0"/>
          <w:bCs/>
          <w:sz w:val="32"/>
          <w:szCs w:val="32"/>
          <w:shd w:val="clear" w:color="auto" w:fill="FFFFFF"/>
        </w:rPr>
      </w:pPr>
      <w:r>
        <w:rPr>
          <w:rStyle w:val="12"/>
          <w:rFonts w:ascii="Times New Roman" w:hAnsi="Times New Roman" w:eastAsia="方正仿宋_GBK"/>
          <w:b w:val="0"/>
          <w:bCs/>
          <w:sz w:val="32"/>
          <w:szCs w:val="32"/>
          <w:shd w:val="clear" w:color="auto" w:fill="FFFFFF"/>
        </w:rPr>
        <w:t>2.收入情况。2022年度收入合计369.45万元，较上年决算数减少41.42万元，下降10.1%，主要原因是主要原因是学校工程建设减少，人员调动，工资绩效变化等情况。其中：财政拨款收入356.12万元，占96.4%；事业收入3.58万元，占1%；其他收入9.75万元，占2.6%。</w:t>
      </w:r>
    </w:p>
    <w:p>
      <w:pPr>
        <w:pStyle w:val="9"/>
        <w:spacing w:beforeAutospacing="0" w:afterAutospacing="0" w:line="579" w:lineRule="exact"/>
        <w:ind w:firstLine="640" w:firstLineChars="200"/>
        <w:jc w:val="both"/>
        <w:rPr>
          <w:rStyle w:val="12"/>
          <w:rFonts w:ascii="Times New Roman" w:hAnsi="Times New Roman" w:eastAsia="方正仿宋_GBK"/>
          <w:b w:val="0"/>
          <w:bCs/>
          <w:sz w:val="32"/>
          <w:szCs w:val="32"/>
          <w:shd w:val="clear" w:color="auto" w:fill="FFFFFF"/>
        </w:rPr>
      </w:pPr>
      <w:r>
        <w:rPr>
          <w:rStyle w:val="12"/>
          <w:rFonts w:ascii="Times New Roman" w:hAnsi="Times New Roman" w:eastAsia="方正仿宋_GBK"/>
          <w:b w:val="0"/>
          <w:bCs/>
          <w:sz w:val="32"/>
          <w:szCs w:val="32"/>
          <w:shd w:val="clear" w:color="auto" w:fill="FFFFFF"/>
        </w:rPr>
        <w:t>3.支出情况。2022年度支出合计369.45万元，较上年决算减少55.56万元，下降13.1%，主要原因是主要原因是学校工程建设减少，人员调动，工资绩效变化等情况。其中：基本支出320.62万元，占86.8%；项目支出48.83万元，占13.2%。</w:t>
      </w:r>
    </w:p>
    <w:p>
      <w:pPr>
        <w:pStyle w:val="9"/>
        <w:spacing w:beforeAutospacing="0" w:afterAutospacing="0" w:line="579" w:lineRule="exact"/>
        <w:ind w:firstLine="640" w:firstLineChars="200"/>
        <w:jc w:val="both"/>
        <w:rPr>
          <w:rStyle w:val="12"/>
          <w:rFonts w:ascii="Times New Roman" w:hAnsi="Times New Roman" w:eastAsia="方正仿宋_GBK"/>
          <w:b w:val="0"/>
          <w:bCs/>
          <w:sz w:val="32"/>
          <w:szCs w:val="32"/>
          <w:shd w:val="clear" w:color="auto" w:fill="FFFFFF"/>
        </w:rPr>
      </w:pPr>
      <w:r>
        <w:rPr>
          <w:rStyle w:val="12"/>
          <w:rFonts w:ascii="Times New Roman" w:hAnsi="Times New Roman" w:eastAsia="方正仿宋_GBK"/>
          <w:b w:val="0"/>
          <w:bCs/>
          <w:sz w:val="32"/>
          <w:szCs w:val="32"/>
          <w:shd w:val="clear" w:color="auto" w:fill="FFFFFF"/>
        </w:rPr>
        <w:t>4.结转结余情况。2022年度年末结转和结余0.00万元，较上年决算数增加0.00万元，增长</w:t>
      </w:r>
      <w:r>
        <w:rPr>
          <w:rStyle w:val="12"/>
          <w:rFonts w:hint="eastAsia" w:ascii="Times New Roman" w:hAnsi="Times New Roman" w:eastAsia="方正仿宋_GBK"/>
          <w:b w:val="0"/>
          <w:bCs/>
          <w:sz w:val="32"/>
          <w:szCs w:val="32"/>
          <w:shd w:val="clear" w:color="auto" w:fill="FFFFFF"/>
        </w:rPr>
        <w:t>0%</w:t>
      </w:r>
      <w:r>
        <w:rPr>
          <w:rStyle w:val="12"/>
          <w:rFonts w:ascii="Times New Roman" w:hAnsi="Times New Roman" w:eastAsia="方正仿宋_GBK"/>
          <w:b w:val="0"/>
          <w:bCs/>
          <w:sz w:val="32"/>
          <w:szCs w:val="32"/>
          <w:shd w:val="clear" w:color="auto" w:fill="FFFFFF"/>
        </w:rPr>
        <w:t>，主要原因是项目资金及时支出</w:t>
      </w:r>
      <w:r>
        <w:rPr>
          <w:rStyle w:val="12"/>
          <w:rFonts w:hint="eastAsia" w:ascii="Times New Roman" w:hAnsi="Times New Roman" w:eastAsia="方正仿宋_GBK"/>
          <w:b w:val="0"/>
          <w:bCs/>
          <w:sz w:val="32"/>
          <w:szCs w:val="32"/>
          <w:shd w:val="clear" w:color="auto" w:fill="FFFFFF"/>
        </w:rPr>
        <w:t>。</w:t>
      </w:r>
    </w:p>
    <w:p>
      <w:pPr>
        <w:widowControl w:val="0"/>
        <w:spacing w:line="579" w:lineRule="exact"/>
        <w:ind w:firstLine="640" w:firstLineChars="200"/>
        <w:jc w:val="both"/>
        <w:rPr>
          <w:rFonts w:ascii="Times New Roman" w:hAnsi="Times New Roman" w:eastAsia="方正楷体_GBK"/>
          <w:sz w:val="32"/>
          <w:szCs w:val="32"/>
        </w:rPr>
      </w:pPr>
      <w:r>
        <w:rPr>
          <w:rFonts w:ascii="Times New Roman" w:hAnsi="Times New Roman" w:eastAsia="方正楷体_GBK"/>
          <w:sz w:val="32"/>
          <w:szCs w:val="32"/>
        </w:rPr>
        <w:t>（二）财政拨款收入支出决算总体情况说明</w:t>
      </w:r>
    </w:p>
    <w:p>
      <w:pPr>
        <w:pStyle w:val="9"/>
        <w:spacing w:beforeAutospacing="0" w:afterAutospacing="0" w:line="579" w:lineRule="exact"/>
        <w:ind w:firstLine="640" w:firstLineChars="200"/>
        <w:jc w:val="both"/>
        <w:rPr>
          <w:rStyle w:val="12"/>
          <w:rFonts w:ascii="Times New Roman" w:hAnsi="Times New Roman" w:eastAsia="方正仿宋_GBK"/>
          <w:b w:val="0"/>
          <w:bCs/>
          <w:sz w:val="32"/>
          <w:szCs w:val="32"/>
          <w:shd w:val="clear" w:color="auto" w:fill="FFFFFF"/>
        </w:rPr>
      </w:pPr>
      <w:r>
        <w:rPr>
          <w:rStyle w:val="12"/>
          <w:rFonts w:ascii="Times New Roman" w:hAnsi="Times New Roman" w:eastAsia="方正仿宋_GBK"/>
          <w:b w:val="0"/>
          <w:bCs/>
          <w:sz w:val="32"/>
          <w:szCs w:val="32"/>
          <w:shd w:val="clear" w:color="auto" w:fill="FFFFFF"/>
        </w:rPr>
        <w:t>2022年度财政拨款收、支总计356.12万元。与2021年相比，财政拨款收、支总计各减少65.47万元，下降15.5%。主要原因是主要原因是学校工程建设减少，人员调动，工资绩效变化等情况。</w:t>
      </w:r>
    </w:p>
    <w:p>
      <w:pPr>
        <w:pStyle w:val="9"/>
        <w:spacing w:beforeAutospacing="0" w:afterAutospacing="0" w:line="579" w:lineRule="exact"/>
        <w:ind w:firstLine="640" w:firstLineChars="200"/>
        <w:jc w:val="both"/>
      </w:pPr>
      <w:r>
        <w:rPr>
          <w:rFonts w:ascii="Times New Roman" w:hAnsi="Times New Roman" w:eastAsia="方正楷体_GBK"/>
          <w:sz w:val="32"/>
          <w:szCs w:val="32"/>
        </w:rPr>
        <w:t>（三）一般公共预算财政拨款收入支出决算情况说明</w:t>
      </w:r>
    </w:p>
    <w:p>
      <w:pPr>
        <w:pStyle w:val="9"/>
        <w:spacing w:beforeAutospacing="0" w:afterAutospacing="0" w:line="579" w:lineRule="exact"/>
        <w:ind w:firstLine="640" w:firstLineChars="200"/>
        <w:jc w:val="both"/>
        <w:rPr>
          <w:rStyle w:val="12"/>
          <w:rFonts w:ascii="Times New Roman" w:hAnsi="Times New Roman" w:eastAsia="方正仿宋_GBK"/>
          <w:b w:val="0"/>
          <w:bCs/>
          <w:sz w:val="32"/>
          <w:szCs w:val="32"/>
          <w:shd w:val="clear" w:color="auto" w:fill="FFFFFF"/>
        </w:rPr>
      </w:pPr>
      <w:r>
        <w:rPr>
          <w:rStyle w:val="12"/>
          <w:rFonts w:ascii="Times New Roman" w:hAnsi="Times New Roman" w:eastAsia="方正仿宋_GBK"/>
          <w:b w:val="0"/>
          <w:bCs/>
          <w:sz w:val="32"/>
          <w:szCs w:val="32"/>
          <w:shd w:val="clear" w:color="auto" w:fill="FFFFFF"/>
        </w:rPr>
        <w:t>1.收入情况。2022年度一般公共预算财政拨款收入356.12万元，较上年决算数减少51.33万元，下降12.6%。主要原因是主要原因是学校工程建设减少，人员调动，工资绩效变化等情况。较年初预算数增加44.05万元，增长14.1%。主要原因是主要原因是学生资助、人员经费等年中有预算调整。此外，年初财政拨款结转和结余0.00万元。</w:t>
      </w:r>
    </w:p>
    <w:p>
      <w:pPr>
        <w:pStyle w:val="9"/>
        <w:spacing w:beforeAutospacing="0" w:afterAutospacing="0" w:line="579" w:lineRule="exact"/>
        <w:ind w:firstLine="640" w:firstLineChars="200"/>
        <w:jc w:val="both"/>
        <w:rPr>
          <w:rStyle w:val="12"/>
          <w:rFonts w:ascii="Times New Roman" w:hAnsi="Times New Roman" w:eastAsia="方正仿宋_GBK"/>
          <w:b w:val="0"/>
          <w:bCs/>
          <w:sz w:val="32"/>
          <w:szCs w:val="32"/>
          <w:shd w:val="clear" w:color="auto" w:fill="FFFFFF"/>
        </w:rPr>
      </w:pPr>
      <w:r>
        <w:rPr>
          <w:rStyle w:val="12"/>
          <w:rFonts w:ascii="Times New Roman" w:hAnsi="Times New Roman" w:eastAsia="方正仿宋_GBK"/>
          <w:b w:val="0"/>
          <w:bCs/>
          <w:sz w:val="32"/>
          <w:szCs w:val="32"/>
          <w:shd w:val="clear" w:color="auto" w:fill="FFFFFF"/>
        </w:rPr>
        <w:t>2.支出情况。2022年度一般公共预算财政拨款支出356.12万元，较上年决算数减少65.47万元，下降15.5%。主要原因是学校工程建设减少，人员调动，工资绩效变化等情况。较年初预算数增加44.05万元，增长14.1%。主要原因是学生资助、人员经费等年中有预算调整。</w:t>
      </w:r>
    </w:p>
    <w:p>
      <w:pPr>
        <w:pStyle w:val="9"/>
        <w:spacing w:beforeAutospacing="0" w:afterAutospacing="0" w:line="579" w:lineRule="exact"/>
        <w:ind w:firstLine="640" w:firstLineChars="200"/>
        <w:jc w:val="both"/>
        <w:rPr>
          <w:rStyle w:val="12"/>
          <w:rFonts w:ascii="Times New Roman" w:hAnsi="Times New Roman" w:eastAsia="方正仿宋_GBK"/>
          <w:b w:val="0"/>
          <w:bCs/>
          <w:sz w:val="32"/>
          <w:szCs w:val="32"/>
          <w:shd w:val="clear" w:color="auto" w:fill="FFFFFF"/>
        </w:rPr>
      </w:pPr>
      <w:r>
        <w:rPr>
          <w:rStyle w:val="12"/>
          <w:rFonts w:ascii="Times New Roman" w:hAnsi="Times New Roman" w:eastAsia="方正仿宋_GBK"/>
          <w:b w:val="0"/>
          <w:bCs/>
          <w:sz w:val="32"/>
          <w:szCs w:val="32"/>
          <w:shd w:val="clear" w:color="auto" w:fill="FFFFFF"/>
        </w:rPr>
        <w:t>3.结转结余情况。2022年度年末一般公共预算财政拨款结转和结余0.00万元，较上年决算数增加0.00万元，增长</w:t>
      </w:r>
      <w:r>
        <w:rPr>
          <w:rStyle w:val="12"/>
          <w:rFonts w:hint="eastAsia" w:ascii="Times New Roman" w:hAnsi="Times New Roman" w:eastAsia="方正仿宋_GBK"/>
          <w:b w:val="0"/>
          <w:bCs/>
          <w:sz w:val="32"/>
          <w:szCs w:val="32"/>
          <w:shd w:val="clear" w:color="auto" w:fill="FFFFFF"/>
        </w:rPr>
        <w:t>0</w:t>
      </w:r>
      <w:r>
        <w:rPr>
          <w:rStyle w:val="12"/>
          <w:rFonts w:ascii="Times New Roman" w:hAnsi="Times New Roman" w:eastAsia="方正仿宋_GBK"/>
          <w:b w:val="0"/>
          <w:bCs/>
          <w:sz w:val="32"/>
          <w:szCs w:val="32"/>
          <w:shd w:val="clear" w:color="auto" w:fill="FFFFFF"/>
        </w:rPr>
        <w:t>%，主要原因是项目资金及时支出。</w:t>
      </w:r>
    </w:p>
    <w:p>
      <w:pPr>
        <w:pStyle w:val="9"/>
        <w:spacing w:beforeAutospacing="0" w:afterAutospacing="0" w:line="579" w:lineRule="exact"/>
        <w:ind w:firstLine="640" w:firstLineChars="200"/>
        <w:jc w:val="both"/>
        <w:rPr>
          <w:rStyle w:val="12"/>
          <w:rFonts w:ascii="Times New Roman" w:hAnsi="Times New Roman" w:eastAsia="方正仿宋_GBK"/>
          <w:b w:val="0"/>
          <w:bCs/>
          <w:sz w:val="32"/>
          <w:szCs w:val="32"/>
          <w:shd w:val="clear" w:color="auto" w:fill="FFFFFF"/>
        </w:rPr>
      </w:pPr>
      <w:r>
        <w:rPr>
          <w:rStyle w:val="12"/>
          <w:rFonts w:ascii="Times New Roman" w:hAnsi="Times New Roman" w:eastAsia="方正仿宋_GBK"/>
          <w:b w:val="0"/>
          <w:bCs/>
          <w:sz w:val="32"/>
          <w:szCs w:val="32"/>
          <w:shd w:val="clear" w:color="auto" w:fill="FFFFFF"/>
        </w:rPr>
        <w:t>4.比较情况。本部门2022年度一般公共预算财政拨款支出主要用于以下几个方面：</w:t>
      </w:r>
    </w:p>
    <w:p>
      <w:pPr>
        <w:pStyle w:val="9"/>
        <w:spacing w:beforeAutospacing="0" w:afterAutospacing="0" w:line="579" w:lineRule="exact"/>
        <w:ind w:firstLine="640" w:firstLineChars="200"/>
        <w:jc w:val="both"/>
        <w:rPr>
          <w:rStyle w:val="12"/>
          <w:rFonts w:ascii="Times New Roman" w:hAnsi="Times New Roman" w:eastAsia="方正仿宋_GBK"/>
          <w:b w:val="0"/>
          <w:bCs/>
          <w:sz w:val="32"/>
          <w:szCs w:val="32"/>
          <w:shd w:val="clear" w:color="auto" w:fill="FFFFFF"/>
        </w:rPr>
      </w:pPr>
      <w:r>
        <w:rPr>
          <w:rStyle w:val="12"/>
          <w:rFonts w:ascii="Times New Roman" w:hAnsi="Times New Roman" w:eastAsia="方正仿宋_GBK"/>
          <w:b w:val="0"/>
          <w:bCs/>
          <w:sz w:val="32"/>
          <w:szCs w:val="32"/>
          <w:shd w:val="clear" w:color="auto" w:fill="FFFFFF"/>
        </w:rPr>
        <w:t>（1）一般公共服务支出0.19万元，占0.1%，较年初预算数减少1.02万元，下降84.3%，主要原因是</w:t>
      </w:r>
      <w:r>
        <w:rPr>
          <w:rStyle w:val="12"/>
          <w:rFonts w:hint="eastAsia" w:ascii="Times New Roman" w:hAnsi="Times New Roman" w:eastAsia="方正仿宋_GBK"/>
          <w:b w:val="0"/>
          <w:bCs/>
          <w:sz w:val="32"/>
          <w:szCs w:val="32"/>
          <w:shd w:val="clear" w:color="auto" w:fill="FFFFFF"/>
        </w:rPr>
        <w:t>教师调整，预算数减少。</w:t>
      </w:r>
    </w:p>
    <w:p>
      <w:pPr>
        <w:pStyle w:val="9"/>
        <w:spacing w:beforeAutospacing="0" w:afterAutospacing="0" w:line="579" w:lineRule="exact"/>
        <w:ind w:firstLine="640" w:firstLineChars="200"/>
        <w:jc w:val="both"/>
        <w:rPr>
          <w:rStyle w:val="12"/>
          <w:rFonts w:ascii="Times New Roman" w:hAnsi="Times New Roman" w:eastAsia="方正仿宋_GBK"/>
          <w:b w:val="0"/>
          <w:bCs/>
          <w:sz w:val="32"/>
          <w:szCs w:val="32"/>
          <w:shd w:val="clear" w:color="auto" w:fill="FFFFFF"/>
        </w:rPr>
      </w:pPr>
      <w:r>
        <w:rPr>
          <w:rStyle w:val="12"/>
          <w:rFonts w:ascii="Times New Roman" w:hAnsi="Times New Roman" w:eastAsia="方正仿宋_GBK"/>
          <w:b w:val="0"/>
          <w:bCs/>
          <w:sz w:val="32"/>
          <w:szCs w:val="32"/>
          <w:shd w:val="clear" w:color="auto" w:fill="FFFFFF"/>
        </w:rPr>
        <w:t>（</w:t>
      </w:r>
      <w:r>
        <w:rPr>
          <w:rStyle w:val="12"/>
          <w:rFonts w:hint="eastAsia" w:ascii="Times New Roman" w:hAnsi="Times New Roman" w:eastAsia="方正仿宋_GBK"/>
          <w:b w:val="0"/>
          <w:bCs/>
          <w:sz w:val="32"/>
          <w:szCs w:val="32"/>
          <w:shd w:val="clear" w:color="auto" w:fill="FFFFFF"/>
        </w:rPr>
        <w:t>2</w:t>
      </w:r>
      <w:r>
        <w:rPr>
          <w:rStyle w:val="12"/>
          <w:rFonts w:ascii="Times New Roman" w:hAnsi="Times New Roman" w:eastAsia="方正仿宋_GBK"/>
          <w:b w:val="0"/>
          <w:bCs/>
          <w:sz w:val="32"/>
          <w:szCs w:val="32"/>
          <w:shd w:val="clear" w:color="auto" w:fill="FFFFFF"/>
        </w:rPr>
        <w:t>）教育支出298.03万元，占83.7%，较年初预算数增加65.77，增长28.3%，主要原因是学生资助、人员经费等年中有预算调整</w:t>
      </w:r>
      <w:r>
        <w:rPr>
          <w:rStyle w:val="12"/>
          <w:rFonts w:hint="eastAsia" w:ascii="Times New Roman" w:hAnsi="Times New Roman" w:eastAsia="方正仿宋_GBK"/>
          <w:b w:val="0"/>
          <w:bCs/>
          <w:sz w:val="32"/>
          <w:szCs w:val="32"/>
          <w:shd w:val="clear" w:color="auto" w:fill="FFFFFF"/>
        </w:rPr>
        <w:t>。</w:t>
      </w:r>
    </w:p>
    <w:p>
      <w:pPr>
        <w:pStyle w:val="9"/>
        <w:spacing w:beforeAutospacing="0" w:afterAutospacing="0" w:line="579" w:lineRule="exact"/>
        <w:ind w:firstLine="640" w:firstLineChars="200"/>
        <w:jc w:val="both"/>
        <w:rPr>
          <w:rStyle w:val="12"/>
          <w:rFonts w:ascii="Times New Roman" w:hAnsi="Times New Roman" w:eastAsia="方正仿宋_GBK"/>
          <w:b w:val="0"/>
          <w:bCs/>
          <w:sz w:val="32"/>
          <w:szCs w:val="32"/>
          <w:shd w:val="clear" w:color="auto" w:fill="FFFFFF"/>
        </w:rPr>
      </w:pPr>
      <w:r>
        <w:rPr>
          <w:rStyle w:val="12"/>
          <w:rFonts w:ascii="Times New Roman" w:hAnsi="Times New Roman" w:eastAsia="方正仿宋_GBK"/>
          <w:b w:val="0"/>
          <w:bCs/>
          <w:sz w:val="32"/>
          <w:szCs w:val="32"/>
          <w:shd w:val="clear" w:color="auto" w:fill="FFFFFF"/>
        </w:rPr>
        <w:t>（</w:t>
      </w:r>
      <w:r>
        <w:rPr>
          <w:rStyle w:val="12"/>
          <w:rFonts w:hint="eastAsia" w:ascii="Times New Roman" w:hAnsi="Times New Roman" w:eastAsia="方正仿宋_GBK"/>
          <w:b w:val="0"/>
          <w:bCs/>
          <w:sz w:val="32"/>
          <w:szCs w:val="32"/>
          <w:shd w:val="clear" w:color="auto" w:fill="FFFFFF"/>
        </w:rPr>
        <w:t>3</w:t>
      </w:r>
      <w:r>
        <w:rPr>
          <w:rStyle w:val="12"/>
          <w:rFonts w:ascii="Times New Roman" w:hAnsi="Times New Roman" w:eastAsia="方正仿宋_GBK"/>
          <w:b w:val="0"/>
          <w:bCs/>
          <w:sz w:val="32"/>
          <w:szCs w:val="32"/>
          <w:shd w:val="clear" w:color="auto" w:fill="FFFFFF"/>
        </w:rPr>
        <w:t>）社会保障与就业支出30.01万元，占8.4%，较年初预算数减少20.70万元，下降40.8%，主要原因是</w:t>
      </w:r>
      <w:r>
        <w:rPr>
          <w:rStyle w:val="12"/>
          <w:rFonts w:hint="eastAsia" w:ascii="Times New Roman" w:hAnsi="Times New Roman" w:eastAsia="方正仿宋_GBK"/>
          <w:b w:val="0"/>
          <w:bCs/>
          <w:sz w:val="32"/>
          <w:szCs w:val="32"/>
          <w:shd w:val="clear" w:color="auto" w:fill="FFFFFF"/>
        </w:rPr>
        <w:t>无需</w:t>
      </w:r>
      <w:r>
        <w:rPr>
          <w:rStyle w:val="12"/>
          <w:rFonts w:ascii="Times New Roman" w:hAnsi="Times New Roman" w:eastAsia="方正仿宋_GBK"/>
          <w:b w:val="0"/>
          <w:bCs/>
          <w:sz w:val="32"/>
          <w:szCs w:val="32"/>
          <w:shd w:val="clear" w:color="auto" w:fill="FFFFFF"/>
        </w:rPr>
        <w:t>补缴</w:t>
      </w:r>
      <w:r>
        <w:rPr>
          <w:rStyle w:val="12"/>
          <w:rFonts w:hint="eastAsia" w:ascii="Times New Roman" w:hAnsi="Times New Roman" w:eastAsia="方正仿宋_GBK"/>
          <w:b w:val="0"/>
          <w:bCs/>
          <w:sz w:val="32"/>
          <w:szCs w:val="32"/>
          <w:shd w:val="clear" w:color="auto" w:fill="FFFFFF"/>
        </w:rPr>
        <w:t>特岗教师</w:t>
      </w:r>
      <w:r>
        <w:rPr>
          <w:rStyle w:val="12"/>
          <w:rFonts w:ascii="Times New Roman" w:hAnsi="Times New Roman" w:eastAsia="方正仿宋_GBK"/>
          <w:b w:val="0"/>
          <w:bCs/>
          <w:sz w:val="32"/>
          <w:szCs w:val="32"/>
          <w:shd w:val="clear" w:color="auto" w:fill="FFFFFF"/>
        </w:rPr>
        <w:t>以前年度养老保险</w:t>
      </w:r>
      <w:r>
        <w:rPr>
          <w:rStyle w:val="12"/>
          <w:rFonts w:hint="eastAsia" w:ascii="Times New Roman" w:hAnsi="Times New Roman" w:eastAsia="方正仿宋_GBK"/>
          <w:b w:val="0"/>
          <w:bCs/>
          <w:sz w:val="32"/>
          <w:szCs w:val="32"/>
          <w:shd w:val="clear" w:color="auto" w:fill="FFFFFF"/>
        </w:rPr>
        <w:t>。</w:t>
      </w:r>
    </w:p>
    <w:p>
      <w:pPr>
        <w:pStyle w:val="9"/>
        <w:spacing w:beforeAutospacing="0" w:afterAutospacing="0" w:line="579" w:lineRule="exact"/>
        <w:ind w:firstLine="640" w:firstLineChars="200"/>
        <w:jc w:val="both"/>
        <w:rPr>
          <w:rStyle w:val="12"/>
          <w:rFonts w:ascii="Times New Roman" w:hAnsi="Times New Roman" w:eastAsia="方正仿宋_GBK"/>
          <w:b w:val="0"/>
          <w:bCs/>
          <w:sz w:val="32"/>
          <w:szCs w:val="32"/>
          <w:shd w:val="clear" w:color="auto" w:fill="FFFFFF"/>
        </w:rPr>
      </w:pPr>
      <w:r>
        <w:rPr>
          <w:rStyle w:val="12"/>
          <w:rFonts w:ascii="Times New Roman" w:hAnsi="Times New Roman" w:eastAsia="方正仿宋_GBK"/>
          <w:b w:val="0"/>
          <w:bCs/>
          <w:sz w:val="32"/>
          <w:szCs w:val="32"/>
          <w:shd w:val="clear" w:color="auto" w:fill="FFFFFF"/>
        </w:rPr>
        <w:t>（</w:t>
      </w:r>
      <w:r>
        <w:rPr>
          <w:rStyle w:val="12"/>
          <w:rFonts w:hint="eastAsia" w:ascii="Times New Roman" w:hAnsi="Times New Roman" w:eastAsia="方正仿宋_GBK"/>
          <w:b w:val="0"/>
          <w:bCs/>
          <w:sz w:val="32"/>
          <w:szCs w:val="32"/>
          <w:shd w:val="clear" w:color="auto" w:fill="FFFFFF"/>
        </w:rPr>
        <w:t>4</w:t>
      </w:r>
      <w:r>
        <w:rPr>
          <w:rStyle w:val="12"/>
          <w:rFonts w:ascii="Times New Roman" w:hAnsi="Times New Roman" w:eastAsia="方正仿宋_GBK"/>
          <w:b w:val="0"/>
          <w:bCs/>
          <w:sz w:val="32"/>
          <w:szCs w:val="32"/>
          <w:shd w:val="clear" w:color="auto" w:fill="FFFFFF"/>
        </w:rPr>
        <w:t>）卫生健康支出12.88万元，占3.6%，较年初预算数增加0.00万元，增长0%，主要原因是</w:t>
      </w:r>
      <w:r>
        <w:rPr>
          <w:rStyle w:val="12"/>
          <w:rFonts w:hint="eastAsia" w:ascii="Times New Roman" w:hAnsi="Times New Roman" w:eastAsia="方正仿宋_GBK"/>
          <w:b w:val="0"/>
          <w:bCs/>
          <w:sz w:val="32"/>
          <w:szCs w:val="32"/>
          <w:shd w:val="clear" w:color="auto" w:fill="FFFFFF"/>
        </w:rPr>
        <w:t>未作调整预算。</w:t>
      </w:r>
    </w:p>
    <w:p>
      <w:pPr>
        <w:pStyle w:val="9"/>
        <w:spacing w:beforeAutospacing="0" w:afterAutospacing="0" w:line="579" w:lineRule="exact"/>
        <w:ind w:firstLine="640" w:firstLineChars="200"/>
        <w:jc w:val="both"/>
        <w:rPr>
          <w:rStyle w:val="12"/>
          <w:rFonts w:ascii="Times New Roman" w:hAnsi="Times New Roman" w:eastAsia="方正仿宋_GBK"/>
          <w:b w:val="0"/>
          <w:bCs/>
          <w:sz w:val="32"/>
          <w:szCs w:val="32"/>
          <w:shd w:val="clear" w:color="auto" w:fill="FFFFFF"/>
        </w:rPr>
      </w:pPr>
      <w:r>
        <w:rPr>
          <w:rStyle w:val="12"/>
          <w:rFonts w:ascii="Times New Roman" w:hAnsi="Times New Roman" w:eastAsia="方正仿宋_GBK"/>
          <w:b w:val="0"/>
          <w:bCs/>
          <w:sz w:val="32"/>
          <w:szCs w:val="32"/>
          <w:shd w:val="clear" w:color="auto" w:fill="FFFFFF"/>
        </w:rPr>
        <w:t>（</w:t>
      </w:r>
      <w:r>
        <w:rPr>
          <w:rStyle w:val="12"/>
          <w:rFonts w:hint="eastAsia" w:ascii="Times New Roman" w:hAnsi="Times New Roman" w:eastAsia="方正仿宋_GBK"/>
          <w:b w:val="0"/>
          <w:bCs/>
          <w:sz w:val="32"/>
          <w:szCs w:val="32"/>
          <w:shd w:val="clear" w:color="auto" w:fill="FFFFFF"/>
        </w:rPr>
        <w:t>5</w:t>
      </w:r>
      <w:r>
        <w:rPr>
          <w:rStyle w:val="12"/>
          <w:rFonts w:ascii="Times New Roman" w:hAnsi="Times New Roman" w:eastAsia="方正仿宋_GBK"/>
          <w:b w:val="0"/>
          <w:bCs/>
          <w:sz w:val="32"/>
          <w:szCs w:val="32"/>
          <w:shd w:val="clear" w:color="auto" w:fill="FFFFFF"/>
        </w:rPr>
        <w:t>）住房保障支出15.00万元，占4.2%，较年初预算数增加0.00万元，增长0%，主要原因是</w:t>
      </w:r>
      <w:r>
        <w:rPr>
          <w:rStyle w:val="12"/>
          <w:rFonts w:hint="eastAsia" w:ascii="Times New Roman" w:hAnsi="Times New Roman" w:eastAsia="方正仿宋_GBK"/>
          <w:b w:val="0"/>
          <w:bCs/>
          <w:sz w:val="32"/>
          <w:szCs w:val="32"/>
          <w:shd w:val="clear" w:color="auto" w:fill="FFFFFF"/>
        </w:rPr>
        <w:t>未作调整预算。</w:t>
      </w:r>
    </w:p>
    <w:p>
      <w:pPr>
        <w:pStyle w:val="9"/>
        <w:spacing w:beforeAutospacing="0" w:afterAutospacing="0" w:line="579" w:lineRule="exact"/>
        <w:ind w:firstLine="640" w:firstLineChars="200"/>
        <w:jc w:val="both"/>
        <w:rPr>
          <w:rStyle w:val="12"/>
          <w:rFonts w:ascii="Times New Roman" w:hAnsi="Times New Roman" w:eastAsia="方正仿宋_GBK"/>
          <w:b w:val="0"/>
          <w:bCs/>
          <w:sz w:val="32"/>
          <w:szCs w:val="32"/>
          <w:shd w:val="clear" w:color="auto" w:fill="FFFFFF"/>
        </w:rPr>
      </w:pPr>
      <w:r>
        <w:rPr>
          <w:rStyle w:val="12"/>
          <w:rFonts w:ascii="Times New Roman" w:hAnsi="Times New Roman" w:eastAsia="方正仿宋_GBK"/>
          <w:b w:val="0"/>
          <w:bCs/>
          <w:sz w:val="32"/>
          <w:szCs w:val="32"/>
          <w:shd w:val="clear" w:color="auto" w:fill="FFFFFF"/>
        </w:rPr>
        <w:t>（四）一般公共预算财政拨款基本支出决算情况说明</w:t>
      </w:r>
    </w:p>
    <w:p>
      <w:pPr>
        <w:pStyle w:val="9"/>
        <w:spacing w:beforeAutospacing="0" w:afterAutospacing="0" w:line="579" w:lineRule="exact"/>
        <w:ind w:firstLine="640" w:firstLineChars="200"/>
        <w:jc w:val="both"/>
        <w:rPr>
          <w:rStyle w:val="12"/>
          <w:rFonts w:ascii="Times New Roman" w:hAnsi="Times New Roman" w:eastAsia="方正仿宋_GBK"/>
          <w:b w:val="0"/>
          <w:bCs/>
          <w:sz w:val="32"/>
          <w:szCs w:val="32"/>
          <w:shd w:val="clear" w:color="auto" w:fill="FFFFFF"/>
        </w:rPr>
      </w:pPr>
      <w:r>
        <w:rPr>
          <w:rStyle w:val="12"/>
          <w:rFonts w:ascii="Times New Roman" w:hAnsi="Times New Roman" w:eastAsia="方正仿宋_GBK"/>
          <w:b w:val="0"/>
          <w:bCs/>
          <w:sz w:val="32"/>
          <w:szCs w:val="32"/>
          <w:shd w:val="clear" w:color="auto" w:fill="FFFFFF"/>
        </w:rPr>
        <w:t>2022年度一般公共预算财政拨款基本支出307.29万元。其中：人员经费285.61万元，较上年决算数减少38.24万元，下降11.8%，主要原因</w:t>
      </w:r>
      <w:r>
        <w:rPr>
          <w:rStyle w:val="12"/>
          <w:rFonts w:hint="eastAsia" w:ascii="Times New Roman" w:hAnsi="Times New Roman" w:eastAsia="方正仿宋_GBK"/>
          <w:b w:val="0"/>
          <w:bCs/>
          <w:sz w:val="32"/>
          <w:szCs w:val="32"/>
          <w:shd w:val="clear" w:color="auto" w:fill="FFFFFF"/>
        </w:rPr>
        <w:t>人员调整，</w:t>
      </w:r>
      <w:r>
        <w:rPr>
          <w:rStyle w:val="12"/>
          <w:rFonts w:ascii="Times New Roman" w:hAnsi="Times New Roman" w:eastAsia="方正仿宋_GBK"/>
          <w:b w:val="0"/>
          <w:bCs/>
          <w:sz w:val="32"/>
          <w:szCs w:val="32"/>
          <w:shd w:val="clear" w:color="auto" w:fill="FFFFFF"/>
        </w:rPr>
        <w:t>人员经费</w:t>
      </w:r>
      <w:r>
        <w:rPr>
          <w:rStyle w:val="12"/>
          <w:rFonts w:hint="eastAsia" w:ascii="Times New Roman" w:hAnsi="Times New Roman" w:eastAsia="方正仿宋_GBK"/>
          <w:b w:val="0"/>
          <w:bCs/>
          <w:sz w:val="32"/>
          <w:szCs w:val="32"/>
          <w:shd w:val="clear" w:color="auto" w:fill="FFFFFF"/>
        </w:rPr>
        <w:t>减少。</w:t>
      </w:r>
      <w:r>
        <w:rPr>
          <w:rStyle w:val="12"/>
          <w:rFonts w:ascii="Times New Roman" w:hAnsi="Times New Roman" w:eastAsia="方正仿宋_GBK"/>
          <w:b w:val="0"/>
          <w:bCs/>
          <w:sz w:val="32"/>
          <w:szCs w:val="32"/>
          <w:shd w:val="clear" w:color="auto" w:fill="FFFFFF"/>
        </w:rPr>
        <w:t>人员经费用途主要包括人员经费用途主要包括基本工资、津贴补贴、绩效工资、社会保障缴费</w:t>
      </w:r>
      <w:r>
        <w:rPr>
          <w:rStyle w:val="12"/>
          <w:rFonts w:hint="eastAsia" w:ascii="Times New Roman" w:hAnsi="Times New Roman" w:eastAsia="方正仿宋_GBK"/>
          <w:b w:val="0"/>
          <w:bCs/>
          <w:sz w:val="32"/>
          <w:szCs w:val="32"/>
          <w:shd w:val="clear" w:color="auto" w:fill="FFFFFF"/>
        </w:rPr>
        <w:t>及退休健康休养费</w:t>
      </w:r>
      <w:r>
        <w:rPr>
          <w:rStyle w:val="12"/>
          <w:rFonts w:ascii="Times New Roman" w:hAnsi="Times New Roman" w:eastAsia="方正仿宋_GBK"/>
          <w:b w:val="0"/>
          <w:bCs/>
          <w:sz w:val="32"/>
          <w:szCs w:val="32"/>
          <w:shd w:val="clear" w:color="auto" w:fill="FFFFFF"/>
        </w:rPr>
        <w:t>等。公用经费21.67万元，较上年决算数减少4.33万元，下降16.7%，主要原因是</w:t>
      </w:r>
      <w:r>
        <w:rPr>
          <w:rStyle w:val="12"/>
          <w:rFonts w:hint="eastAsia" w:ascii="Times New Roman" w:hAnsi="Times New Roman" w:eastAsia="方正仿宋_GBK"/>
          <w:b w:val="0"/>
          <w:bCs/>
          <w:sz w:val="32"/>
          <w:szCs w:val="32"/>
          <w:shd w:val="clear" w:color="auto" w:fill="FFFFFF"/>
        </w:rPr>
        <w:t>学生人数减少，预算公用经费减少。</w:t>
      </w:r>
      <w:r>
        <w:rPr>
          <w:rStyle w:val="12"/>
          <w:rFonts w:ascii="Times New Roman" w:hAnsi="Times New Roman" w:eastAsia="方正仿宋_GBK"/>
          <w:b w:val="0"/>
          <w:bCs/>
          <w:sz w:val="32"/>
          <w:szCs w:val="32"/>
          <w:shd w:val="clear" w:color="auto" w:fill="FFFFFF"/>
        </w:rPr>
        <w:t>公用经费用途主要包括办公费、水费、电费、邮电费、差旅费、维修费、培训费、工会费等。</w:t>
      </w:r>
    </w:p>
    <w:p>
      <w:pPr>
        <w:pStyle w:val="9"/>
        <w:spacing w:beforeAutospacing="0" w:afterAutospacing="0" w:line="579" w:lineRule="exact"/>
        <w:ind w:firstLine="640" w:firstLineChars="200"/>
        <w:jc w:val="both"/>
        <w:rPr>
          <w:rStyle w:val="12"/>
          <w:rFonts w:ascii="Times New Roman" w:hAnsi="Times New Roman" w:eastAsia="方正仿宋_GBK"/>
          <w:b w:val="0"/>
          <w:bCs/>
          <w:sz w:val="32"/>
          <w:szCs w:val="32"/>
          <w:shd w:val="clear" w:color="auto" w:fill="FFFFFF"/>
        </w:rPr>
      </w:pPr>
      <w:r>
        <w:rPr>
          <w:rStyle w:val="12"/>
          <w:rFonts w:ascii="Times New Roman" w:hAnsi="Times New Roman" w:eastAsia="方正仿宋_GBK"/>
          <w:b w:val="0"/>
          <w:bCs/>
          <w:sz w:val="32"/>
          <w:szCs w:val="32"/>
          <w:shd w:val="clear" w:color="auto" w:fill="FFFFFF"/>
        </w:rPr>
        <w:t>（五）政府性基金预算收支决算情况说明。</w:t>
      </w:r>
    </w:p>
    <w:p>
      <w:pPr>
        <w:pStyle w:val="9"/>
        <w:spacing w:beforeAutospacing="0" w:afterAutospacing="0" w:line="579" w:lineRule="exact"/>
        <w:ind w:firstLine="640" w:firstLineChars="200"/>
        <w:jc w:val="both"/>
        <w:rPr>
          <w:rStyle w:val="12"/>
          <w:rFonts w:ascii="Times New Roman" w:hAnsi="Times New Roman" w:eastAsia="方正仿宋_GBK"/>
          <w:b w:val="0"/>
          <w:bCs/>
          <w:sz w:val="32"/>
          <w:szCs w:val="32"/>
          <w:shd w:val="clear" w:color="auto" w:fill="FFFFFF"/>
        </w:rPr>
      </w:pPr>
      <w:r>
        <w:rPr>
          <w:rStyle w:val="12"/>
          <w:rFonts w:ascii="Times New Roman" w:hAnsi="Times New Roman" w:eastAsia="方正仿宋_GBK"/>
          <w:b w:val="0"/>
          <w:bCs/>
          <w:sz w:val="32"/>
          <w:szCs w:val="32"/>
          <w:shd w:val="clear" w:color="auto" w:fill="FFFFFF"/>
        </w:rPr>
        <w:t>本部门2022年度无政府性基金预算财政拨款收支。</w:t>
      </w:r>
    </w:p>
    <w:p>
      <w:pPr>
        <w:pStyle w:val="9"/>
        <w:spacing w:beforeAutospacing="0" w:afterAutospacing="0" w:line="579" w:lineRule="exact"/>
        <w:ind w:firstLine="640" w:firstLineChars="200"/>
        <w:jc w:val="both"/>
        <w:rPr>
          <w:rStyle w:val="12"/>
          <w:rFonts w:ascii="Times New Roman" w:hAnsi="Times New Roman" w:eastAsia="方正仿宋_GBK"/>
          <w:b w:val="0"/>
          <w:bCs/>
          <w:sz w:val="32"/>
          <w:szCs w:val="32"/>
          <w:shd w:val="clear" w:color="auto" w:fill="FFFFFF"/>
        </w:rPr>
      </w:pPr>
      <w:r>
        <w:rPr>
          <w:rStyle w:val="12"/>
          <w:rFonts w:ascii="Times New Roman" w:hAnsi="Times New Roman" w:eastAsia="方正仿宋_GBK"/>
          <w:b w:val="0"/>
          <w:bCs/>
          <w:sz w:val="32"/>
          <w:szCs w:val="32"/>
          <w:shd w:val="clear" w:color="auto" w:fill="FFFFFF"/>
        </w:rPr>
        <w:t>（六）国有资本经营预算财政拨款支出决算情况说明。</w:t>
      </w:r>
    </w:p>
    <w:p>
      <w:pPr>
        <w:pStyle w:val="9"/>
        <w:spacing w:beforeAutospacing="0" w:afterAutospacing="0" w:line="579" w:lineRule="exact"/>
        <w:ind w:firstLine="640" w:firstLineChars="200"/>
        <w:jc w:val="both"/>
        <w:rPr>
          <w:rStyle w:val="12"/>
          <w:rFonts w:ascii="Times New Roman" w:hAnsi="Times New Roman" w:eastAsia="方正仿宋_GBK"/>
          <w:b w:val="0"/>
          <w:bCs/>
          <w:sz w:val="32"/>
          <w:szCs w:val="32"/>
          <w:shd w:val="clear" w:color="auto" w:fill="FFFFFF"/>
        </w:rPr>
      </w:pPr>
      <w:r>
        <w:rPr>
          <w:rStyle w:val="12"/>
          <w:rFonts w:ascii="Times New Roman" w:hAnsi="Times New Roman" w:eastAsia="方正仿宋_GBK"/>
          <w:b w:val="0"/>
          <w:bCs/>
          <w:sz w:val="32"/>
          <w:szCs w:val="32"/>
          <w:shd w:val="clear" w:color="auto" w:fill="FFFFFF"/>
        </w:rPr>
        <w:t>本部门2022年度无国有资本经营预算财政拨款支出。</w:t>
      </w:r>
    </w:p>
    <w:p>
      <w:pPr>
        <w:pStyle w:val="9"/>
        <w:spacing w:beforeAutospacing="0" w:afterAutospacing="0" w:line="579" w:lineRule="exact"/>
        <w:ind w:firstLine="640" w:firstLineChars="200"/>
        <w:jc w:val="both"/>
        <w:rPr>
          <w:rFonts w:ascii="方正黑体_GBK" w:hAnsi="Times New Roman" w:eastAsia="方正黑体_GBK"/>
          <w:kern w:val="2"/>
          <w:sz w:val="32"/>
          <w:szCs w:val="32"/>
        </w:rPr>
      </w:pPr>
      <w:r>
        <w:rPr>
          <w:rFonts w:hint="eastAsia" w:ascii="方正黑体_GBK" w:hAnsi="Times New Roman" w:eastAsia="方正黑体_GBK"/>
          <w:kern w:val="2"/>
          <w:sz w:val="32"/>
          <w:szCs w:val="32"/>
        </w:rPr>
        <w:t>三、“三公”经费情况说明</w:t>
      </w:r>
    </w:p>
    <w:p>
      <w:pPr>
        <w:pStyle w:val="9"/>
        <w:spacing w:beforeAutospacing="0" w:afterAutospacing="0" w:line="579" w:lineRule="exact"/>
        <w:ind w:firstLine="640" w:firstLineChars="200"/>
        <w:jc w:val="both"/>
        <w:rPr>
          <w:rFonts w:ascii="Times New Roman" w:hAnsi="Times New Roman" w:eastAsia="方正楷体_GBK"/>
          <w:sz w:val="32"/>
          <w:szCs w:val="32"/>
        </w:rPr>
      </w:pPr>
      <w:r>
        <w:rPr>
          <w:rFonts w:ascii="Times New Roman" w:hAnsi="Times New Roman" w:eastAsia="方正楷体_GBK"/>
          <w:sz w:val="32"/>
          <w:szCs w:val="32"/>
        </w:rPr>
        <w:t>（一）“三公”经费支出总体情况说明</w:t>
      </w:r>
    </w:p>
    <w:p>
      <w:pPr>
        <w:pStyle w:val="9"/>
        <w:spacing w:beforeAutospacing="0" w:afterAutospacing="0" w:line="579" w:lineRule="exact"/>
        <w:ind w:firstLine="640" w:firstLineChars="200"/>
        <w:jc w:val="both"/>
        <w:rPr>
          <w:rStyle w:val="12"/>
          <w:rFonts w:ascii="Times New Roman" w:hAnsi="Times New Roman" w:eastAsia="方正仿宋_GBK"/>
          <w:b w:val="0"/>
          <w:bCs/>
          <w:sz w:val="32"/>
          <w:szCs w:val="32"/>
          <w:shd w:val="clear" w:color="auto" w:fill="FFFFFF"/>
        </w:rPr>
      </w:pPr>
      <w:r>
        <w:rPr>
          <w:rStyle w:val="12"/>
          <w:rFonts w:ascii="Times New Roman" w:hAnsi="Times New Roman" w:eastAsia="方正仿宋_GBK"/>
          <w:b w:val="0"/>
          <w:bCs/>
          <w:sz w:val="32"/>
          <w:szCs w:val="32"/>
          <w:shd w:val="clear" w:color="auto" w:fill="FFFFFF"/>
        </w:rPr>
        <w:t>2022年度“三公”经费支出共计0.10万元，较年初预算数减少0.35万元，下降77.8%，主要原因是主要原因是在年初预算的基础上减少了一些不必要的接待。较上年支出数减少0.55万元，下降84.6%，主要原因是严格执行中央八项</w:t>
      </w:r>
      <w:r>
        <w:rPr>
          <w:rStyle w:val="12"/>
          <w:rFonts w:hint="eastAsia" w:ascii="Times New Roman" w:hAnsi="Times New Roman" w:eastAsia="方正仿宋_GBK"/>
          <w:b w:val="0"/>
          <w:bCs/>
          <w:sz w:val="32"/>
          <w:szCs w:val="32"/>
          <w:shd w:val="clear" w:color="auto" w:fill="FFFFFF"/>
        </w:rPr>
        <w:t>规定</w:t>
      </w:r>
      <w:r>
        <w:rPr>
          <w:rStyle w:val="12"/>
          <w:rFonts w:ascii="Times New Roman" w:hAnsi="Times New Roman" w:eastAsia="方正仿宋_GBK"/>
          <w:b w:val="0"/>
          <w:bCs/>
          <w:sz w:val="32"/>
          <w:szCs w:val="32"/>
          <w:shd w:val="clear" w:color="auto" w:fill="FFFFFF"/>
        </w:rPr>
        <w:t>，力争“三公”经费只减不增。</w:t>
      </w:r>
    </w:p>
    <w:p>
      <w:pPr>
        <w:pStyle w:val="9"/>
        <w:spacing w:beforeAutospacing="0" w:afterAutospacing="0" w:line="579" w:lineRule="exact"/>
        <w:ind w:firstLine="640" w:firstLineChars="200"/>
        <w:jc w:val="both"/>
        <w:rPr>
          <w:rFonts w:ascii="Times New Roman" w:hAnsi="Times New Roman" w:eastAsia="方正楷体_GBK"/>
          <w:sz w:val="32"/>
          <w:szCs w:val="32"/>
        </w:rPr>
      </w:pPr>
      <w:r>
        <w:rPr>
          <w:rFonts w:ascii="Times New Roman" w:hAnsi="Times New Roman" w:eastAsia="方正楷体_GBK"/>
          <w:sz w:val="32"/>
          <w:szCs w:val="32"/>
        </w:rPr>
        <w:t>（二）“三公”经费分项支出情况</w:t>
      </w:r>
    </w:p>
    <w:p>
      <w:pPr>
        <w:pStyle w:val="9"/>
        <w:spacing w:beforeAutospacing="0" w:afterAutospacing="0" w:line="579" w:lineRule="exact"/>
        <w:ind w:firstLine="640" w:firstLineChars="200"/>
        <w:jc w:val="both"/>
        <w:rPr>
          <w:rStyle w:val="12"/>
          <w:rFonts w:ascii="Times New Roman" w:hAnsi="Times New Roman" w:eastAsia="方正仿宋_GBK"/>
          <w:b w:val="0"/>
          <w:bCs/>
          <w:sz w:val="32"/>
          <w:szCs w:val="32"/>
          <w:shd w:val="clear" w:color="auto" w:fill="FFFFFF"/>
        </w:rPr>
      </w:pPr>
      <w:r>
        <w:rPr>
          <w:rStyle w:val="12"/>
          <w:rFonts w:ascii="Times New Roman" w:hAnsi="Times New Roman" w:eastAsia="方正仿宋_GBK"/>
          <w:b w:val="0"/>
          <w:bCs/>
          <w:sz w:val="32"/>
          <w:szCs w:val="32"/>
          <w:shd w:val="clear" w:color="auto" w:fill="FFFFFF"/>
        </w:rPr>
        <w:t>2022年度本部门因公出国（境）费用0.00万元，主要是本单位2022年度未发生因公出国（境）费用支出</w:t>
      </w:r>
      <w:r>
        <w:rPr>
          <w:rStyle w:val="12"/>
          <w:rFonts w:hint="eastAsia" w:ascii="Times New Roman" w:hAnsi="Times New Roman" w:eastAsia="方正仿宋_GBK"/>
          <w:b w:val="0"/>
          <w:bCs/>
          <w:sz w:val="32"/>
          <w:szCs w:val="32"/>
          <w:shd w:val="clear" w:color="auto" w:fill="FFFFFF"/>
        </w:rPr>
        <w:t>，</w:t>
      </w:r>
      <w:r>
        <w:rPr>
          <w:rStyle w:val="12"/>
          <w:rFonts w:ascii="Times New Roman" w:hAnsi="Times New Roman" w:eastAsia="方正仿宋_GBK"/>
          <w:b w:val="0"/>
          <w:bCs/>
          <w:sz w:val="32"/>
          <w:szCs w:val="32"/>
          <w:shd w:val="clear" w:color="auto" w:fill="FFFFFF"/>
        </w:rPr>
        <w:t>与上年决算数相比，基本持平</w:t>
      </w:r>
      <w:r>
        <w:rPr>
          <w:rStyle w:val="12"/>
          <w:rFonts w:hint="eastAsia" w:ascii="Times New Roman" w:hAnsi="Times New Roman" w:eastAsia="方正仿宋_GBK"/>
          <w:b w:val="0"/>
          <w:bCs/>
          <w:sz w:val="32"/>
          <w:szCs w:val="32"/>
          <w:shd w:val="clear" w:color="auto" w:fill="FFFFFF"/>
        </w:rPr>
        <w:t>。</w:t>
      </w:r>
      <w:r>
        <w:rPr>
          <w:rStyle w:val="12"/>
          <w:rFonts w:ascii="Times New Roman" w:hAnsi="Times New Roman" w:eastAsia="方正仿宋_GBK"/>
          <w:b w:val="0"/>
          <w:bCs/>
          <w:sz w:val="32"/>
          <w:szCs w:val="32"/>
          <w:shd w:val="clear" w:color="auto" w:fill="FFFFFF"/>
        </w:rPr>
        <w:t>费用支出较年初预算数增加0.00万元，增长</w:t>
      </w:r>
      <w:r>
        <w:rPr>
          <w:rStyle w:val="12"/>
          <w:rFonts w:hint="eastAsia" w:ascii="Times New Roman" w:hAnsi="Times New Roman" w:eastAsia="方正仿宋_GBK"/>
          <w:b w:val="0"/>
          <w:bCs/>
          <w:sz w:val="32"/>
          <w:szCs w:val="32"/>
          <w:shd w:val="clear" w:color="auto" w:fill="FFFFFF"/>
        </w:rPr>
        <w:t>0</w:t>
      </w:r>
      <w:r>
        <w:rPr>
          <w:rStyle w:val="12"/>
          <w:rFonts w:ascii="Times New Roman" w:hAnsi="Times New Roman" w:eastAsia="方正仿宋_GBK"/>
          <w:b w:val="0"/>
          <w:bCs/>
          <w:sz w:val="32"/>
          <w:szCs w:val="32"/>
          <w:shd w:val="clear" w:color="auto" w:fill="FFFFFF"/>
        </w:rPr>
        <w:t>%，主要原因是</w:t>
      </w:r>
      <w:r>
        <w:rPr>
          <w:rStyle w:val="12"/>
          <w:rFonts w:hint="eastAsia" w:ascii="Times New Roman" w:hAnsi="Times New Roman" w:eastAsia="方正仿宋_GBK"/>
          <w:b w:val="0"/>
          <w:bCs/>
          <w:sz w:val="32"/>
          <w:szCs w:val="32"/>
          <w:shd w:val="clear" w:color="auto" w:fill="FFFFFF"/>
        </w:rPr>
        <w:t>未发费用支出。</w:t>
      </w:r>
      <w:r>
        <w:rPr>
          <w:rStyle w:val="12"/>
          <w:rFonts w:ascii="Times New Roman" w:hAnsi="Times New Roman" w:eastAsia="方正仿宋_GBK"/>
          <w:b w:val="0"/>
          <w:bCs/>
          <w:sz w:val="32"/>
          <w:szCs w:val="32"/>
          <w:shd w:val="clear" w:color="auto" w:fill="FFFFFF"/>
        </w:rPr>
        <w:t>较上年支出数增加0.00万元，增长</w:t>
      </w:r>
      <w:r>
        <w:rPr>
          <w:rStyle w:val="12"/>
          <w:rFonts w:hint="eastAsia" w:ascii="Times New Roman" w:hAnsi="Times New Roman" w:eastAsia="方正仿宋_GBK"/>
          <w:b w:val="0"/>
          <w:bCs/>
          <w:sz w:val="32"/>
          <w:szCs w:val="32"/>
          <w:shd w:val="clear" w:color="auto" w:fill="FFFFFF"/>
        </w:rPr>
        <w:t>0</w:t>
      </w:r>
      <w:r>
        <w:rPr>
          <w:rStyle w:val="12"/>
          <w:rFonts w:ascii="Times New Roman" w:hAnsi="Times New Roman" w:eastAsia="方正仿宋_GBK"/>
          <w:b w:val="0"/>
          <w:bCs/>
          <w:sz w:val="32"/>
          <w:szCs w:val="32"/>
          <w:shd w:val="clear" w:color="auto" w:fill="FFFFFF"/>
        </w:rPr>
        <w:t>%，主要原因是</w:t>
      </w:r>
      <w:r>
        <w:rPr>
          <w:rStyle w:val="12"/>
          <w:rFonts w:hint="eastAsia" w:ascii="Times New Roman" w:hAnsi="Times New Roman" w:eastAsia="方正仿宋_GBK"/>
          <w:b w:val="0"/>
          <w:bCs/>
          <w:sz w:val="32"/>
          <w:szCs w:val="32"/>
          <w:shd w:val="clear" w:color="auto" w:fill="FFFFFF"/>
        </w:rPr>
        <w:t>未发生费用支出。</w:t>
      </w:r>
    </w:p>
    <w:p>
      <w:pPr>
        <w:pStyle w:val="9"/>
        <w:spacing w:beforeAutospacing="0" w:afterAutospacing="0" w:line="579" w:lineRule="exact"/>
        <w:ind w:firstLine="640" w:firstLineChars="200"/>
        <w:jc w:val="both"/>
        <w:rPr>
          <w:rStyle w:val="12"/>
          <w:rFonts w:ascii="Times New Roman" w:hAnsi="Times New Roman" w:eastAsia="方正仿宋_GBK"/>
          <w:b w:val="0"/>
          <w:bCs/>
          <w:sz w:val="32"/>
          <w:szCs w:val="32"/>
          <w:shd w:val="clear" w:color="auto" w:fill="FFFFFF"/>
        </w:rPr>
      </w:pPr>
      <w:r>
        <w:rPr>
          <w:rStyle w:val="12"/>
          <w:rFonts w:ascii="Times New Roman" w:hAnsi="Times New Roman" w:eastAsia="方正仿宋_GBK"/>
          <w:b w:val="0"/>
          <w:bCs/>
          <w:sz w:val="32"/>
          <w:szCs w:val="32"/>
          <w:shd w:val="clear" w:color="auto" w:fill="FFFFFF"/>
        </w:rPr>
        <w:t>公务车购置费0.00万元，主要用于本单位2022年度未发生</w:t>
      </w:r>
      <w:r>
        <w:rPr>
          <w:rStyle w:val="12"/>
          <w:rFonts w:hint="eastAsia" w:ascii="Times New Roman" w:hAnsi="Times New Roman" w:eastAsia="方正仿宋_GBK"/>
          <w:b w:val="0"/>
          <w:bCs/>
          <w:sz w:val="32"/>
          <w:szCs w:val="32"/>
          <w:shd w:val="clear" w:color="auto" w:fill="FFFFFF"/>
        </w:rPr>
        <w:t>购置公务车</w:t>
      </w:r>
      <w:r>
        <w:rPr>
          <w:rStyle w:val="12"/>
          <w:rFonts w:ascii="Times New Roman" w:hAnsi="Times New Roman" w:eastAsia="方正仿宋_GBK"/>
          <w:b w:val="0"/>
          <w:bCs/>
          <w:sz w:val="32"/>
          <w:szCs w:val="32"/>
          <w:shd w:val="clear" w:color="auto" w:fill="FFFFFF"/>
        </w:rPr>
        <w:t>费用支出</w:t>
      </w:r>
      <w:r>
        <w:rPr>
          <w:rStyle w:val="12"/>
          <w:rFonts w:hint="eastAsia" w:ascii="Times New Roman" w:hAnsi="Times New Roman" w:eastAsia="方正仿宋_GBK"/>
          <w:b w:val="0"/>
          <w:bCs/>
          <w:sz w:val="32"/>
          <w:szCs w:val="32"/>
          <w:shd w:val="clear" w:color="auto" w:fill="FFFFFF"/>
        </w:rPr>
        <w:t>，</w:t>
      </w:r>
      <w:r>
        <w:rPr>
          <w:rStyle w:val="12"/>
          <w:rFonts w:ascii="Times New Roman" w:hAnsi="Times New Roman" w:eastAsia="方正仿宋_GBK"/>
          <w:b w:val="0"/>
          <w:bCs/>
          <w:sz w:val="32"/>
          <w:szCs w:val="32"/>
          <w:shd w:val="clear" w:color="auto" w:fill="FFFFFF"/>
        </w:rPr>
        <w:t>与上年决算数相比，基本持平。</w:t>
      </w:r>
      <w:r>
        <w:rPr>
          <w:rStyle w:val="12"/>
          <w:rFonts w:hint="eastAsia" w:ascii="Times New Roman" w:hAnsi="Times New Roman" w:eastAsia="方正仿宋_GBK"/>
          <w:b w:val="0"/>
          <w:bCs/>
          <w:sz w:val="32"/>
          <w:szCs w:val="32"/>
          <w:shd w:val="clear" w:color="auto" w:fill="FFFFFF"/>
        </w:rPr>
        <w:t>。</w:t>
      </w:r>
      <w:r>
        <w:rPr>
          <w:rStyle w:val="12"/>
          <w:rFonts w:ascii="Times New Roman" w:hAnsi="Times New Roman" w:eastAsia="方正仿宋_GBK"/>
          <w:b w:val="0"/>
          <w:bCs/>
          <w:sz w:val="32"/>
          <w:szCs w:val="32"/>
          <w:shd w:val="clear" w:color="auto" w:fill="FFFFFF"/>
        </w:rPr>
        <w:t>费用支出较年初预算数增加0.00万元，增长</w:t>
      </w:r>
      <w:r>
        <w:rPr>
          <w:rStyle w:val="12"/>
          <w:rFonts w:hint="eastAsia" w:ascii="Times New Roman" w:hAnsi="Times New Roman" w:eastAsia="方正仿宋_GBK"/>
          <w:b w:val="0"/>
          <w:bCs/>
          <w:sz w:val="32"/>
          <w:szCs w:val="32"/>
          <w:shd w:val="clear" w:color="auto" w:fill="FFFFFF"/>
        </w:rPr>
        <w:t>0</w:t>
      </w:r>
      <w:r>
        <w:rPr>
          <w:rStyle w:val="12"/>
          <w:rFonts w:ascii="Times New Roman" w:hAnsi="Times New Roman" w:eastAsia="方正仿宋_GBK"/>
          <w:b w:val="0"/>
          <w:bCs/>
          <w:sz w:val="32"/>
          <w:szCs w:val="32"/>
          <w:shd w:val="clear" w:color="auto" w:fill="FFFFFF"/>
        </w:rPr>
        <w:t>%，主要原因是</w:t>
      </w:r>
      <w:r>
        <w:rPr>
          <w:rStyle w:val="12"/>
          <w:rFonts w:hint="eastAsia" w:ascii="Times New Roman" w:hAnsi="Times New Roman" w:eastAsia="方正仿宋_GBK"/>
          <w:b w:val="0"/>
          <w:bCs/>
          <w:sz w:val="32"/>
          <w:szCs w:val="32"/>
          <w:shd w:val="clear" w:color="auto" w:fill="FFFFFF"/>
        </w:rPr>
        <w:t>未发生费用支出。</w:t>
      </w:r>
      <w:r>
        <w:rPr>
          <w:rStyle w:val="12"/>
          <w:rFonts w:ascii="Times New Roman" w:hAnsi="Times New Roman" w:eastAsia="方正仿宋_GBK"/>
          <w:b w:val="0"/>
          <w:bCs/>
          <w:sz w:val="32"/>
          <w:szCs w:val="32"/>
          <w:shd w:val="clear" w:color="auto" w:fill="FFFFFF"/>
        </w:rPr>
        <w:t>较上年支出数增加0.00万元，增长</w:t>
      </w:r>
      <w:r>
        <w:rPr>
          <w:rStyle w:val="12"/>
          <w:rFonts w:hint="eastAsia" w:ascii="Times New Roman" w:hAnsi="Times New Roman" w:eastAsia="方正仿宋_GBK"/>
          <w:b w:val="0"/>
          <w:bCs/>
          <w:sz w:val="32"/>
          <w:szCs w:val="32"/>
          <w:shd w:val="clear" w:color="auto" w:fill="FFFFFF"/>
        </w:rPr>
        <w:t>0</w:t>
      </w:r>
      <w:r>
        <w:rPr>
          <w:rStyle w:val="12"/>
          <w:rFonts w:ascii="Times New Roman" w:hAnsi="Times New Roman" w:eastAsia="方正仿宋_GBK"/>
          <w:b w:val="0"/>
          <w:bCs/>
          <w:sz w:val="32"/>
          <w:szCs w:val="32"/>
          <w:shd w:val="clear" w:color="auto" w:fill="FFFFFF"/>
        </w:rPr>
        <w:t>%，主要原因是</w:t>
      </w:r>
      <w:r>
        <w:rPr>
          <w:rStyle w:val="12"/>
          <w:rFonts w:hint="eastAsia" w:ascii="Times New Roman" w:hAnsi="Times New Roman" w:eastAsia="方正仿宋_GBK"/>
          <w:b w:val="0"/>
          <w:bCs/>
          <w:sz w:val="32"/>
          <w:szCs w:val="32"/>
          <w:shd w:val="clear" w:color="auto" w:fill="FFFFFF"/>
        </w:rPr>
        <w:t>未发生费用支出。</w:t>
      </w:r>
    </w:p>
    <w:p>
      <w:pPr>
        <w:pStyle w:val="9"/>
        <w:spacing w:beforeAutospacing="0" w:afterAutospacing="0" w:line="579" w:lineRule="exact"/>
        <w:ind w:firstLine="640" w:firstLineChars="200"/>
        <w:jc w:val="both"/>
        <w:rPr>
          <w:rStyle w:val="12"/>
          <w:rFonts w:ascii="Times New Roman" w:hAnsi="Times New Roman" w:eastAsia="方正仿宋_GBK"/>
          <w:b w:val="0"/>
          <w:bCs/>
          <w:sz w:val="32"/>
          <w:szCs w:val="32"/>
          <w:shd w:val="clear" w:color="auto" w:fill="FFFFFF"/>
        </w:rPr>
      </w:pPr>
      <w:r>
        <w:rPr>
          <w:rStyle w:val="12"/>
          <w:rFonts w:ascii="Times New Roman" w:hAnsi="Times New Roman" w:eastAsia="方正仿宋_GBK"/>
          <w:b w:val="0"/>
          <w:bCs/>
          <w:sz w:val="32"/>
          <w:szCs w:val="32"/>
          <w:shd w:val="clear" w:color="auto" w:fill="FFFFFF"/>
        </w:rPr>
        <w:t>公务车运行维护费0.00万元，主要用于本单位2022年度未发生因公务车运行维护费用支出</w:t>
      </w:r>
      <w:r>
        <w:rPr>
          <w:rStyle w:val="12"/>
          <w:rFonts w:hint="eastAsia" w:ascii="Times New Roman" w:hAnsi="Times New Roman" w:eastAsia="方正仿宋_GBK"/>
          <w:b w:val="0"/>
          <w:bCs/>
          <w:sz w:val="32"/>
          <w:szCs w:val="32"/>
          <w:shd w:val="clear" w:color="auto" w:fill="FFFFFF"/>
        </w:rPr>
        <w:t>，</w:t>
      </w:r>
      <w:r>
        <w:rPr>
          <w:rStyle w:val="12"/>
          <w:rFonts w:ascii="Times New Roman" w:hAnsi="Times New Roman" w:eastAsia="方正仿宋_GBK"/>
          <w:b w:val="0"/>
          <w:bCs/>
          <w:sz w:val="32"/>
          <w:szCs w:val="32"/>
          <w:shd w:val="clear" w:color="auto" w:fill="FFFFFF"/>
        </w:rPr>
        <w:t>与上年决算数相比，基本持平</w:t>
      </w:r>
      <w:r>
        <w:rPr>
          <w:rStyle w:val="12"/>
          <w:rFonts w:hint="eastAsia" w:ascii="Times New Roman" w:hAnsi="Times New Roman" w:eastAsia="方正仿宋_GBK"/>
          <w:b w:val="0"/>
          <w:bCs/>
          <w:sz w:val="32"/>
          <w:szCs w:val="32"/>
          <w:shd w:val="clear" w:color="auto" w:fill="FFFFFF"/>
        </w:rPr>
        <w:t>。</w:t>
      </w:r>
      <w:r>
        <w:rPr>
          <w:rStyle w:val="12"/>
          <w:rFonts w:ascii="Times New Roman" w:hAnsi="Times New Roman" w:eastAsia="方正仿宋_GBK"/>
          <w:b w:val="0"/>
          <w:bCs/>
          <w:sz w:val="32"/>
          <w:szCs w:val="32"/>
          <w:shd w:val="clear" w:color="auto" w:fill="FFFFFF"/>
        </w:rPr>
        <w:t>费用支出较年初预算数增加0.00万元，增长</w:t>
      </w:r>
      <w:r>
        <w:rPr>
          <w:rStyle w:val="12"/>
          <w:rFonts w:hint="eastAsia" w:ascii="Times New Roman" w:hAnsi="Times New Roman" w:eastAsia="方正仿宋_GBK"/>
          <w:b w:val="0"/>
          <w:bCs/>
          <w:sz w:val="32"/>
          <w:szCs w:val="32"/>
          <w:shd w:val="clear" w:color="auto" w:fill="FFFFFF"/>
        </w:rPr>
        <w:t>0</w:t>
      </w:r>
      <w:r>
        <w:rPr>
          <w:rStyle w:val="12"/>
          <w:rFonts w:ascii="Times New Roman" w:hAnsi="Times New Roman" w:eastAsia="方正仿宋_GBK"/>
          <w:b w:val="0"/>
          <w:bCs/>
          <w:sz w:val="32"/>
          <w:szCs w:val="32"/>
          <w:shd w:val="clear" w:color="auto" w:fill="FFFFFF"/>
        </w:rPr>
        <w:t>%，主要原因是</w:t>
      </w:r>
      <w:r>
        <w:rPr>
          <w:rStyle w:val="12"/>
          <w:rFonts w:hint="eastAsia" w:ascii="Times New Roman" w:hAnsi="Times New Roman" w:eastAsia="方正仿宋_GBK"/>
          <w:b w:val="0"/>
          <w:bCs/>
          <w:sz w:val="32"/>
          <w:szCs w:val="32"/>
          <w:shd w:val="clear" w:color="auto" w:fill="FFFFFF"/>
        </w:rPr>
        <w:t>未发生费用支出。</w:t>
      </w:r>
      <w:r>
        <w:rPr>
          <w:rStyle w:val="12"/>
          <w:rFonts w:ascii="Times New Roman" w:hAnsi="Times New Roman" w:eastAsia="方正仿宋_GBK"/>
          <w:b w:val="0"/>
          <w:bCs/>
          <w:sz w:val="32"/>
          <w:szCs w:val="32"/>
          <w:shd w:val="clear" w:color="auto" w:fill="FFFFFF"/>
        </w:rPr>
        <w:t>较上年支出数增加0.00万元，增长</w:t>
      </w:r>
      <w:r>
        <w:rPr>
          <w:rStyle w:val="12"/>
          <w:rFonts w:hint="eastAsia" w:ascii="Times New Roman" w:hAnsi="Times New Roman" w:eastAsia="方正仿宋_GBK"/>
          <w:b w:val="0"/>
          <w:bCs/>
          <w:sz w:val="32"/>
          <w:szCs w:val="32"/>
          <w:shd w:val="clear" w:color="auto" w:fill="FFFFFF"/>
        </w:rPr>
        <w:t>0</w:t>
      </w:r>
      <w:r>
        <w:rPr>
          <w:rStyle w:val="12"/>
          <w:rFonts w:ascii="Times New Roman" w:hAnsi="Times New Roman" w:eastAsia="方正仿宋_GBK"/>
          <w:b w:val="0"/>
          <w:bCs/>
          <w:sz w:val="32"/>
          <w:szCs w:val="32"/>
          <w:shd w:val="clear" w:color="auto" w:fill="FFFFFF"/>
        </w:rPr>
        <w:t>%，主要原因是</w:t>
      </w:r>
      <w:r>
        <w:rPr>
          <w:rStyle w:val="12"/>
          <w:rFonts w:hint="eastAsia" w:ascii="Times New Roman" w:hAnsi="Times New Roman" w:eastAsia="方正仿宋_GBK"/>
          <w:b w:val="0"/>
          <w:bCs/>
          <w:sz w:val="32"/>
          <w:szCs w:val="32"/>
          <w:shd w:val="clear" w:color="auto" w:fill="FFFFFF"/>
        </w:rPr>
        <w:t>未发生费用支出。</w:t>
      </w:r>
    </w:p>
    <w:p>
      <w:pPr>
        <w:pStyle w:val="9"/>
        <w:spacing w:beforeAutospacing="0" w:afterAutospacing="0" w:line="579" w:lineRule="exact"/>
        <w:ind w:firstLine="640" w:firstLineChars="200"/>
        <w:jc w:val="both"/>
        <w:rPr>
          <w:rStyle w:val="12"/>
          <w:rFonts w:ascii="Times New Roman" w:hAnsi="Times New Roman" w:eastAsia="方正仿宋_GBK"/>
          <w:b w:val="0"/>
          <w:bCs/>
          <w:sz w:val="32"/>
          <w:szCs w:val="32"/>
          <w:shd w:val="clear" w:color="auto" w:fill="FFFFFF"/>
        </w:rPr>
      </w:pPr>
      <w:r>
        <w:rPr>
          <w:rStyle w:val="12"/>
          <w:rFonts w:ascii="Times New Roman" w:hAnsi="Times New Roman" w:eastAsia="方正仿宋_GBK"/>
          <w:b w:val="0"/>
          <w:bCs/>
          <w:sz w:val="32"/>
          <w:szCs w:val="32"/>
          <w:shd w:val="clear" w:color="auto" w:fill="FFFFFF"/>
        </w:rPr>
        <w:t>公务接待费0.10万元，主要用于接待接待到我校联系工作的人员发生的费用。费用支出较年初预算数减少0.35万元，下降77.8%，主要原因是在年初预算的基础上减少了一些不必要的接待。较上年支出数减少0.55万元，下降84.6%，主要原因是严格执行中央八项</w:t>
      </w:r>
      <w:r>
        <w:rPr>
          <w:rStyle w:val="12"/>
          <w:rFonts w:hint="eastAsia" w:ascii="Times New Roman" w:hAnsi="Times New Roman" w:eastAsia="方正仿宋_GBK"/>
          <w:b w:val="0"/>
          <w:bCs/>
          <w:sz w:val="32"/>
          <w:szCs w:val="32"/>
          <w:shd w:val="clear" w:color="auto" w:fill="FFFFFF"/>
        </w:rPr>
        <w:t>规定</w:t>
      </w:r>
      <w:r>
        <w:rPr>
          <w:rStyle w:val="12"/>
          <w:rFonts w:ascii="Times New Roman" w:hAnsi="Times New Roman" w:eastAsia="方正仿宋_GBK"/>
          <w:b w:val="0"/>
          <w:bCs/>
          <w:sz w:val="32"/>
          <w:szCs w:val="32"/>
          <w:shd w:val="clear" w:color="auto" w:fill="FFFFFF"/>
        </w:rPr>
        <w:t>，力争“三公”经费只减不增。</w:t>
      </w:r>
    </w:p>
    <w:p>
      <w:pPr>
        <w:pStyle w:val="9"/>
        <w:spacing w:beforeAutospacing="0" w:afterAutospacing="0" w:line="579" w:lineRule="exact"/>
        <w:ind w:firstLine="640" w:firstLineChars="200"/>
        <w:jc w:val="both"/>
        <w:rPr>
          <w:rFonts w:ascii="Times New Roman" w:hAnsi="Times New Roman" w:eastAsia="方正楷体_GBK"/>
          <w:sz w:val="32"/>
          <w:szCs w:val="32"/>
        </w:rPr>
      </w:pPr>
      <w:r>
        <w:rPr>
          <w:rFonts w:ascii="Times New Roman" w:hAnsi="Times New Roman" w:eastAsia="方正楷体_GBK"/>
          <w:sz w:val="32"/>
          <w:szCs w:val="32"/>
        </w:rPr>
        <w:t>（三）“三公”经费实物量情况</w:t>
      </w:r>
    </w:p>
    <w:p>
      <w:pPr>
        <w:pStyle w:val="9"/>
        <w:spacing w:beforeAutospacing="0" w:afterAutospacing="0" w:line="579" w:lineRule="exact"/>
        <w:ind w:firstLine="640" w:firstLineChars="200"/>
        <w:jc w:val="both"/>
        <w:rPr>
          <w:rStyle w:val="12"/>
          <w:rFonts w:ascii="Times New Roman" w:hAnsi="Times New Roman" w:eastAsia="方正仿宋_GBK"/>
          <w:b w:val="0"/>
          <w:bCs/>
          <w:sz w:val="32"/>
          <w:szCs w:val="32"/>
          <w:shd w:val="clear" w:color="auto" w:fill="FFFFFF"/>
        </w:rPr>
      </w:pPr>
      <w:r>
        <w:rPr>
          <w:rStyle w:val="12"/>
          <w:rFonts w:ascii="Times New Roman" w:hAnsi="Times New Roman" w:eastAsia="方正仿宋_GBK"/>
          <w:b w:val="0"/>
          <w:bCs/>
          <w:sz w:val="32"/>
          <w:szCs w:val="32"/>
          <w:shd w:val="clear" w:color="auto" w:fill="FFFFFF"/>
        </w:rPr>
        <w:t>2022年度本部门因公出国（境）共计0个团组，0人；公务用车购置0辆，公务车保有量为0辆；国内公务接待3批次10人，其中：国内外事接待0批次，0人；国（境）外公务接待0批次，0人。2022年本部门人均接待费100.00元，车均购置费0.00万元，车均维护费0.00万元。</w:t>
      </w:r>
    </w:p>
    <w:p>
      <w:pPr>
        <w:pStyle w:val="9"/>
        <w:spacing w:beforeAutospacing="0" w:afterAutospacing="0" w:line="579" w:lineRule="exact"/>
        <w:ind w:firstLine="640" w:firstLineChars="200"/>
        <w:jc w:val="both"/>
        <w:rPr>
          <w:rFonts w:ascii="方正黑体_GBK" w:hAnsi="Times New Roman" w:eastAsia="方正黑体_GBK"/>
          <w:kern w:val="2"/>
          <w:sz w:val="32"/>
          <w:szCs w:val="32"/>
        </w:rPr>
      </w:pPr>
      <w:r>
        <w:rPr>
          <w:rFonts w:hint="eastAsia" w:ascii="方正黑体_GBK" w:hAnsi="Times New Roman" w:eastAsia="方正黑体_GBK"/>
          <w:kern w:val="2"/>
          <w:sz w:val="32"/>
          <w:szCs w:val="32"/>
        </w:rPr>
        <w:t>四、其他需要说明的事项</w:t>
      </w:r>
    </w:p>
    <w:p>
      <w:pPr>
        <w:pStyle w:val="9"/>
        <w:spacing w:beforeAutospacing="0" w:afterAutospacing="0" w:line="579" w:lineRule="exact"/>
        <w:ind w:firstLine="640" w:firstLineChars="200"/>
        <w:jc w:val="both"/>
        <w:rPr>
          <w:rFonts w:ascii="Times New Roman" w:hAnsi="Times New Roman" w:eastAsia="方正楷体_GBK"/>
          <w:sz w:val="32"/>
          <w:szCs w:val="32"/>
        </w:rPr>
      </w:pPr>
      <w:r>
        <w:rPr>
          <w:rFonts w:ascii="Times New Roman" w:hAnsi="Times New Roman" w:eastAsia="方正楷体_GBK"/>
          <w:sz w:val="32"/>
          <w:szCs w:val="32"/>
        </w:rPr>
        <w:t>（一）财政拨款会议费和培训费情况说明</w:t>
      </w:r>
    </w:p>
    <w:p>
      <w:pPr>
        <w:pStyle w:val="9"/>
        <w:spacing w:beforeAutospacing="0" w:afterAutospacing="0" w:line="579" w:lineRule="exact"/>
        <w:ind w:firstLine="640" w:firstLineChars="200"/>
        <w:jc w:val="both"/>
        <w:rPr>
          <w:rStyle w:val="12"/>
          <w:rFonts w:ascii="Times New Roman" w:hAnsi="Times New Roman" w:eastAsia="方正仿宋_GBK"/>
          <w:b w:val="0"/>
          <w:bCs/>
          <w:sz w:val="32"/>
          <w:szCs w:val="32"/>
          <w:shd w:val="clear" w:color="auto" w:fill="FFFFFF"/>
        </w:rPr>
      </w:pPr>
      <w:r>
        <w:rPr>
          <w:rStyle w:val="12"/>
          <w:rFonts w:ascii="Times New Roman" w:hAnsi="Times New Roman" w:eastAsia="方正仿宋_GBK"/>
          <w:b w:val="0"/>
          <w:bCs/>
          <w:sz w:val="32"/>
          <w:szCs w:val="32"/>
          <w:shd w:val="clear" w:color="auto" w:fill="FFFFFF"/>
        </w:rPr>
        <w:t>本年度会议费支出0.10万元，较上年决算数增加0.10万元，增长</w:t>
      </w:r>
      <w:r>
        <w:rPr>
          <w:rStyle w:val="12"/>
          <w:rFonts w:hint="eastAsia" w:ascii="Times New Roman" w:hAnsi="Times New Roman" w:eastAsia="方正仿宋_GBK"/>
          <w:b w:val="0"/>
          <w:bCs/>
          <w:sz w:val="32"/>
          <w:szCs w:val="32"/>
          <w:shd w:val="clear" w:color="auto" w:fill="FFFFFF"/>
        </w:rPr>
        <w:t>0</w:t>
      </w:r>
      <w:r>
        <w:rPr>
          <w:rStyle w:val="12"/>
          <w:rFonts w:ascii="Times New Roman" w:hAnsi="Times New Roman" w:eastAsia="方正仿宋_GBK"/>
          <w:b w:val="0"/>
          <w:bCs/>
          <w:sz w:val="32"/>
          <w:szCs w:val="32"/>
          <w:shd w:val="clear" w:color="auto" w:fill="FFFFFF"/>
        </w:rPr>
        <w:t>%，主要原因是</w:t>
      </w:r>
      <w:r>
        <w:rPr>
          <w:rStyle w:val="12"/>
          <w:rFonts w:hint="eastAsia" w:ascii="Times New Roman" w:hAnsi="Times New Roman" w:eastAsia="方正仿宋_GBK"/>
          <w:b w:val="0"/>
          <w:bCs/>
          <w:sz w:val="32"/>
          <w:szCs w:val="32"/>
          <w:shd w:val="clear" w:color="auto" w:fill="FFFFFF"/>
        </w:rPr>
        <w:t>在耗材费用与文件资料印刷费支出。</w:t>
      </w:r>
      <w:r>
        <w:rPr>
          <w:rStyle w:val="12"/>
          <w:rFonts w:ascii="Times New Roman" w:hAnsi="Times New Roman" w:eastAsia="方正仿宋_GBK"/>
          <w:b w:val="0"/>
          <w:bCs/>
          <w:sz w:val="32"/>
          <w:szCs w:val="32"/>
          <w:shd w:val="clear" w:color="auto" w:fill="FFFFFF"/>
        </w:rPr>
        <w:t>本年度培训费支出1.00万元，较上年决算数增加0.13万元，增长14.9%，主要原因是</w:t>
      </w:r>
      <w:r>
        <w:rPr>
          <w:rStyle w:val="12"/>
          <w:rFonts w:hint="eastAsia" w:ascii="Times New Roman" w:hAnsi="Times New Roman" w:eastAsia="方正仿宋_GBK"/>
          <w:b w:val="0"/>
          <w:bCs/>
          <w:sz w:val="32"/>
          <w:szCs w:val="32"/>
          <w:shd w:val="clear" w:color="auto" w:fill="FFFFFF"/>
        </w:rPr>
        <w:t>教师培训增加，费用支出增加。</w:t>
      </w:r>
    </w:p>
    <w:p>
      <w:pPr>
        <w:pStyle w:val="9"/>
        <w:spacing w:beforeAutospacing="0" w:afterAutospacing="0" w:line="579" w:lineRule="exact"/>
        <w:ind w:firstLine="640" w:firstLineChars="200"/>
        <w:jc w:val="both"/>
        <w:rPr>
          <w:rFonts w:ascii="Times New Roman" w:hAnsi="Times New Roman" w:eastAsia="方正楷体_GBK"/>
          <w:sz w:val="32"/>
          <w:szCs w:val="32"/>
        </w:rPr>
      </w:pPr>
      <w:r>
        <w:rPr>
          <w:rFonts w:ascii="Times New Roman" w:hAnsi="Times New Roman" w:eastAsia="方正楷体_GBK"/>
          <w:sz w:val="32"/>
          <w:szCs w:val="32"/>
        </w:rPr>
        <w:t>（二）机关运行经费支出情况说明</w:t>
      </w:r>
    </w:p>
    <w:p>
      <w:pPr>
        <w:pStyle w:val="9"/>
        <w:spacing w:beforeAutospacing="0" w:afterAutospacing="0" w:line="579" w:lineRule="exact"/>
        <w:ind w:firstLine="640" w:firstLineChars="200"/>
        <w:jc w:val="both"/>
        <w:rPr>
          <w:rStyle w:val="12"/>
          <w:rFonts w:ascii="Times New Roman" w:hAnsi="Times New Roman" w:eastAsia="方正仿宋_GBK"/>
          <w:b w:val="0"/>
          <w:bCs/>
          <w:sz w:val="32"/>
          <w:szCs w:val="32"/>
          <w:shd w:val="clear" w:color="auto" w:fill="FFFFFF"/>
        </w:rPr>
      </w:pPr>
      <w:r>
        <w:rPr>
          <w:rStyle w:val="12"/>
          <w:rFonts w:ascii="Times New Roman" w:hAnsi="Times New Roman" w:eastAsia="方正仿宋_GBK"/>
          <w:b w:val="0"/>
          <w:bCs/>
          <w:sz w:val="32"/>
          <w:szCs w:val="32"/>
          <w:shd w:val="clear" w:color="auto" w:fill="FFFFFF"/>
        </w:rPr>
        <w:t>2022年度本部门机关运行经费支出0.00万元，</w:t>
      </w:r>
      <w:r>
        <w:rPr>
          <w:rStyle w:val="12"/>
          <w:rFonts w:hint="eastAsia" w:ascii="Times New Roman" w:hAnsi="Times New Roman" w:eastAsia="方正仿宋_GBK"/>
          <w:b w:val="0"/>
          <w:bCs/>
          <w:sz w:val="32"/>
          <w:szCs w:val="32"/>
          <w:shd w:val="clear" w:color="auto" w:fill="FFFFFF"/>
        </w:rPr>
        <w:t>未产生费用支出。</w:t>
      </w:r>
      <w:r>
        <w:rPr>
          <w:rStyle w:val="12"/>
          <w:rFonts w:ascii="Times New Roman" w:hAnsi="Times New Roman" w:eastAsia="方正仿宋_GBK"/>
          <w:b w:val="0"/>
          <w:bCs/>
          <w:sz w:val="32"/>
          <w:szCs w:val="32"/>
          <w:shd w:val="clear" w:color="auto" w:fill="FFFFFF"/>
        </w:rPr>
        <w:t>机关运行经费较上年决算数增加0.00万元，增长</w:t>
      </w:r>
      <w:r>
        <w:rPr>
          <w:rStyle w:val="12"/>
          <w:rFonts w:hint="eastAsia" w:ascii="Times New Roman" w:hAnsi="Times New Roman" w:eastAsia="方正仿宋_GBK"/>
          <w:b w:val="0"/>
          <w:bCs/>
          <w:sz w:val="32"/>
          <w:szCs w:val="32"/>
          <w:shd w:val="clear" w:color="auto" w:fill="FFFFFF"/>
        </w:rPr>
        <w:t>0</w:t>
      </w:r>
      <w:r>
        <w:rPr>
          <w:rStyle w:val="12"/>
          <w:rFonts w:ascii="Times New Roman" w:hAnsi="Times New Roman" w:eastAsia="方正仿宋_GBK"/>
          <w:b w:val="0"/>
          <w:bCs/>
          <w:sz w:val="32"/>
          <w:szCs w:val="32"/>
          <w:shd w:val="clear" w:color="auto" w:fill="FFFFFF"/>
        </w:rPr>
        <w:t>%，主要原因是按照部门决算列报口径，我单位不在机关运行经费统计范围之内。</w:t>
      </w:r>
    </w:p>
    <w:p>
      <w:pPr>
        <w:pStyle w:val="9"/>
        <w:spacing w:beforeAutospacing="0" w:afterAutospacing="0" w:line="579" w:lineRule="exact"/>
        <w:ind w:firstLine="640" w:firstLineChars="200"/>
        <w:jc w:val="both"/>
        <w:rPr>
          <w:rFonts w:ascii="Times New Roman" w:hAnsi="Times New Roman" w:eastAsia="方正楷体_GBK"/>
          <w:sz w:val="32"/>
          <w:szCs w:val="32"/>
        </w:rPr>
      </w:pPr>
      <w:r>
        <w:rPr>
          <w:rFonts w:ascii="Times New Roman" w:hAnsi="Times New Roman" w:eastAsia="方正楷体_GBK"/>
          <w:sz w:val="32"/>
          <w:szCs w:val="32"/>
        </w:rPr>
        <w:t>（三）国有资产占用情况说明</w:t>
      </w:r>
    </w:p>
    <w:p>
      <w:pPr>
        <w:pStyle w:val="9"/>
        <w:spacing w:beforeAutospacing="0" w:afterAutospacing="0" w:line="579" w:lineRule="exact"/>
        <w:ind w:firstLine="640" w:firstLineChars="200"/>
        <w:jc w:val="both"/>
        <w:rPr>
          <w:rStyle w:val="12"/>
          <w:rFonts w:ascii="Times New Roman" w:hAnsi="Times New Roman" w:eastAsia="方正仿宋_GBK"/>
          <w:b w:val="0"/>
          <w:bCs/>
          <w:sz w:val="32"/>
          <w:szCs w:val="32"/>
          <w:shd w:val="clear" w:color="auto" w:fill="FFFFFF"/>
        </w:rPr>
      </w:pPr>
      <w:r>
        <w:rPr>
          <w:rStyle w:val="12"/>
          <w:rFonts w:ascii="Times New Roman" w:hAnsi="Times New Roman" w:eastAsia="方正仿宋_GBK"/>
          <w:b w:val="0"/>
          <w:bCs/>
          <w:sz w:val="32"/>
          <w:szCs w:val="32"/>
          <w:shd w:val="clear" w:color="auto" w:fill="FFFFFF"/>
        </w:rPr>
        <w:t>截至2022年12月31日，本部门共有车辆0辆，其中，副部（省）级及以上领导用车0辆、主要领导干部用车0辆、机要通信用车0辆、应急保障用车0辆、执法执勤用车0辆，特种专业技术用车0辆，离退休干部用车0辆，其他用车0辆。单价100万元（含）以上设备（不含车辆）0台（套）。</w:t>
      </w:r>
    </w:p>
    <w:p>
      <w:pPr>
        <w:pStyle w:val="9"/>
        <w:spacing w:beforeAutospacing="0" w:afterAutospacing="0" w:line="579" w:lineRule="exact"/>
        <w:ind w:firstLine="640" w:firstLineChars="200"/>
        <w:jc w:val="both"/>
        <w:rPr>
          <w:rFonts w:ascii="Times New Roman" w:hAnsi="Times New Roman" w:eastAsia="方正楷体_GBK"/>
          <w:sz w:val="32"/>
          <w:szCs w:val="32"/>
        </w:rPr>
      </w:pPr>
      <w:r>
        <w:rPr>
          <w:rFonts w:ascii="Times New Roman" w:hAnsi="Times New Roman" w:eastAsia="方正楷体_GBK"/>
          <w:sz w:val="32"/>
          <w:szCs w:val="32"/>
        </w:rPr>
        <w:t>（四）政府采购支出说明</w:t>
      </w:r>
    </w:p>
    <w:p>
      <w:pPr>
        <w:pStyle w:val="9"/>
        <w:spacing w:beforeAutospacing="0" w:afterAutospacing="0" w:line="579" w:lineRule="exact"/>
        <w:ind w:firstLine="640" w:firstLineChars="200"/>
        <w:jc w:val="both"/>
        <w:rPr>
          <w:rStyle w:val="12"/>
          <w:rFonts w:ascii="Times New Roman" w:hAnsi="Times New Roman" w:eastAsia="方正仿宋_GBK"/>
          <w:b w:val="0"/>
          <w:bCs/>
          <w:sz w:val="32"/>
          <w:szCs w:val="32"/>
          <w:shd w:val="clear" w:color="auto" w:fill="FFFFFF"/>
        </w:rPr>
      </w:pPr>
      <w:r>
        <w:rPr>
          <w:rStyle w:val="12"/>
          <w:rFonts w:ascii="Times New Roman" w:hAnsi="Times New Roman" w:eastAsia="方正仿宋_GBK"/>
          <w:b w:val="0"/>
          <w:bCs/>
          <w:sz w:val="32"/>
          <w:szCs w:val="32"/>
          <w:shd w:val="clear" w:color="auto" w:fill="FFFFFF"/>
        </w:rPr>
        <w:t>2022年度本部门政府采购支出总额0.00万元，2022年度我单位未发生政府采购事项，无相关经费支出。其中：政府采购货物支出0.00万元、政府采购工程支出0.00万元、政府采购服务支出0.00万元。授予中小企业合同金额0.00万元，占政府采购支出总额的</w:t>
      </w:r>
      <w:r>
        <w:rPr>
          <w:rStyle w:val="12"/>
          <w:rFonts w:hint="eastAsia" w:ascii="Times New Roman" w:hAnsi="Times New Roman" w:eastAsia="方正仿宋_GBK"/>
          <w:b w:val="0"/>
          <w:bCs/>
          <w:sz w:val="32"/>
          <w:szCs w:val="32"/>
          <w:shd w:val="clear" w:color="auto" w:fill="FFFFFF"/>
        </w:rPr>
        <w:t>0</w:t>
      </w:r>
      <w:r>
        <w:rPr>
          <w:rStyle w:val="12"/>
          <w:rFonts w:ascii="Times New Roman" w:hAnsi="Times New Roman" w:eastAsia="方正仿宋_GBK"/>
          <w:b w:val="0"/>
          <w:bCs/>
          <w:sz w:val="32"/>
          <w:szCs w:val="32"/>
          <w:shd w:val="clear" w:color="auto" w:fill="FFFFFF"/>
        </w:rPr>
        <w:t>%，其中：授予小微企业合同金额0.00万元，占政府采购支出总额的</w:t>
      </w:r>
      <w:r>
        <w:rPr>
          <w:rStyle w:val="12"/>
          <w:rFonts w:hint="eastAsia" w:ascii="Times New Roman" w:hAnsi="Times New Roman" w:eastAsia="方正仿宋_GBK"/>
          <w:b w:val="0"/>
          <w:bCs/>
          <w:sz w:val="32"/>
          <w:szCs w:val="32"/>
          <w:shd w:val="clear" w:color="auto" w:fill="FFFFFF"/>
        </w:rPr>
        <w:t>0</w:t>
      </w:r>
      <w:r>
        <w:rPr>
          <w:rStyle w:val="12"/>
          <w:rFonts w:ascii="Times New Roman" w:hAnsi="Times New Roman" w:eastAsia="方正仿宋_GBK"/>
          <w:b w:val="0"/>
          <w:bCs/>
          <w:sz w:val="32"/>
          <w:szCs w:val="32"/>
          <w:shd w:val="clear" w:color="auto" w:fill="FFFFFF"/>
        </w:rPr>
        <w:t>%。</w:t>
      </w:r>
    </w:p>
    <w:p>
      <w:pPr>
        <w:pStyle w:val="9"/>
        <w:spacing w:beforeAutospacing="0" w:afterAutospacing="0" w:line="579" w:lineRule="exact"/>
        <w:ind w:firstLine="640" w:firstLineChars="200"/>
        <w:jc w:val="both"/>
        <w:rPr>
          <w:rFonts w:ascii="方正黑体_GBK" w:hAnsi="Times New Roman" w:eastAsia="方正黑体_GBK"/>
          <w:kern w:val="2"/>
          <w:sz w:val="32"/>
          <w:szCs w:val="32"/>
        </w:rPr>
      </w:pPr>
      <w:r>
        <w:rPr>
          <w:rFonts w:hint="eastAsia" w:ascii="方正黑体_GBK" w:hAnsi="Times New Roman" w:eastAsia="方正黑体_GBK"/>
          <w:kern w:val="2"/>
          <w:sz w:val="32"/>
          <w:szCs w:val="32"/>
        </w:rPr>
        <w:t>五、预算绩效管理情况说明</w:t>
      </w:r>
    </w:p>
    <w:p>
      <w:pPr>
        <w:pStyle w:val="9"/>
        <w:spacing w:beforeAutospacing="0" w:afterAutospacing="0" w:line="579" w:lineRule="exact"/>
        <w:ind w:firstLine="640" w:firstLineChars="200"/>
        <w:jc w:val="both"/>
        <w:rPr>
          <w:rStyle w:val="12"/>
          <w:rFonts w:ascii="Times New Roman" w:hAnsi="Times New Roman" w:eastAsia="方正仿宋_GBK"/>
          <w:b w:val="0"/>
          <w:bCs/>
          <w:sz w:val="32"/>
          <w:szCs w:val="32"/>
          <w:shd w:val="clear" w:color="auto" w:fill="FFFFFF"/>
        </w:rPr>
      </w:pPr>
      <w:r>
        <w:rPr>
          <w:rStyle w:val="12"/>
          <w:rFonts w:hint="eastAsia" w:ascii="Times New Roman" w:hAnsi="Times New Roman" w:eastAsia="方正仿宋_GBK"/>
          <w:b w:val="0"/>
          <w:bCs/>
          <w:sz w:val="32"/>
          <w:szCs w:val="32"/>
          <w:shd w:val="clear" w:color="auto" w:fill="FFFFFF"/>
        </w:rPr>
        <w:t>预算绩效管理情况只针对一级预算单位，本单位为二级预算单位，故预算绩效管理情况在此不反映。</w:t>
      </w:r>
    </w:p>
    <w:p>
      <w:pPr>
        <w:pStyle w:val="9"/>
        <w:spacing w:beforeAutospacing="0" w:afterAutospacing="0" w:line="579" w:lineRule="exact"/>
        <w:ind w:firstLine="640" w:firstLineChars="200"/>
        <w:jc w:val="both"/>
        <w:rPr>
          <w:rFonts w:ascii="方正黑体_GBK" w:hAnsi="Times New Roman" w:eastAsia="方正黑体_GBK"/>
          <w:kern w:val="2"/>
          <w:sz w:val="32"/>
          <w:szCs w:val="32"/>
        </w:rPr>
      </w:pPr>
      <w:r>
        <w:rPr>
          <w:rFonts w:hint="eastAsia" w:ascii="方正黑体_GBK" w:hAnsi="Times New Roman" w:eastAsia="方正黑体_GBK"/>
          <w:kern w:val="2"/>
          <w:sz w:val="32"/>
          <w:szCs w:val="32"/>
        </w:rPr>
        <w:t>六、专业名词解释</w:t>
      </w:r>
    </w:p>
    <w:p>
      <w:pPr>
        <w:pStyle w:val="9"/>
        <w:spacing w:beforeAutospacing="0" w:afterAutospacing="0" w:line="579" w:lineRule="exact"/>
        <w:ind w:firstLine="640" w:firstLineChars="200"/>
        <w:jc w:val="both"/>
        <w:rPr>
          <w:rStyle w:val="12"/>
          <w:rFonts w:ascii="方正仿宋_GBK" w:hAnsi="方正仿宋_GBK" w:eastAsia="方正仿宋_GBK" w:cs="方正仿宋_GBK"/>
          <w:b w:val="0"/>
          <w:bCs/>
          <w:sz w:val="32"/>
          <w:szCs w:val="32"/>
          <w:shd w:val="clear" w:color="auto" w:fill="FFFFFF"/>
        </w:rPr>
      </w:pPr>
      <w:r>
        <w:rPr>
          <w:rFonts w:ascii="Times New Roman" w:hAnsi="Times New Roman" w:eastAsia="方正楷体_GBK"/>
          <w:sz w:val="32"/>
          <w:szCs w:val="32"/>
        </w:rPr>
        <w:t>（一）财政拨款收入</w:t>
      </w:r>
      <w:r>
        <w:rPr>
          <w:shd w:val="clear" w:color="auto" w:fill="FFFFFF"/>
        </w:rPr>
        <w:t>：</w:t>
      </w:r>
      <w:r>
        <w:rPr>
          <w:rStyle w:val="12"/>
          <w:rFonts w:ascii="方正仿宋_GBK" w:hAnsi="方正仿宋_GBK" w:eastAsia="方正仿宋_GBK" w:cs="方正仿宋_GBK"/>
          <w:b w:val="0"/>
          <w:bCs/>
          <w:sz w:val="32"/>
          <w:szCs w:val="32"/>
          <w:shd w:val="clear" w:color="auto" w:fill="FFFFFF"/>
        </w:rPr>
        <w:t>指本年度从本级财政部门取得的财政拨款，包括一般公共预算财政拨款和政府性基金预算财政拨款。</w:t>
      </w:r>
    </w:p>
    <w:p>
      <w:pPr>
        <w:pStyle w:val="9"/>
        <w:spacing w:beforeAutospacing="0" w:afterAutospacing="0" w:line="579" w:lineRule="exact"/>
        <w:ind w:firstLine="640" w:firstLineChars="200"/>
        <w:jc w:val="both"/>
        <w:rPr>
          <w:rStyle w:val="12"/>
          <w:rFonts w:ascii="方正仿宋_GBK" w:hAnsi="方正仿宋_GBK" w:eastAsia="方正仿宋_GBK" w:cs="方正仿宋_GBK"/>
          <w:b w:val="0"/>
          <w:bCs/>
          <w:sz w:val="32"/>
          <w:szCs w:val="32"/>
          <w:shd w:val="clear" w:color="auto" w:fill="FFFFFF"/>
        </w:rPr>
      </w:pPr>
      <w:r>
        <w:rPr>
          <w:rFonts w:ascii="Times New Roman" w:hAnsi="Times New Roman" w:eastAsia="方正楷体_GBK"/>
          <w:sz w:val="32"/>
          <w:szCs w:val="32"/>
        </w:rPr>
        <w:t>（二）事业收入：</w:t>
      </w:r>
      <w:r>
        <w:rPr>
          <w:rStyle w:val="12"/>
          <w:rFonts w:ascii="方正仿宋_GBK" w:hAnsi="方正仿宋_GBK" w:eastAsia="方正仿宋_GBK" w:cs="方正仿宋_GBK"/>
          <w:b w:val="0"/>
          <w:bCs/>
          <w:sz w:val="32"/>
          <w:szCs w:val="32"/>
          <w:shd w:val="clear" w:color="auto" w:fill="FFFFFF"/>
        </w:rPr>
        <w:t>指事业单位开展专业业务活动及其辅助活动取得的现金流入；事业单位收到的财政专户实际核拨的教育收费等资金在此反映。</w:t>
      </w:r>
    </w:p>
    <w:p>
      <w:pPr>
        <w:pStyle w:val="9"/>
        <w:spacing w:beforeAutospacing="0" w:afterAutospacing="0" w:line="579" w:lineRule="exact"/>
        <w:ind w:firstLine="640" w:firstLineChars="200"/>
        <w:jc w:val="both"/>
        <w:rPr>
          <w:rStyle w:val="12"/>
          <w:rFonts w:ascii="方正仿宋_GBK" w:hAnsi="方正仿宋_GBK" w:eastAsia="方正仿宋_GBK" w:cs="方正仿宋_GBK"/>
          <w:b w:val="0"/>
          <w:bCs/>
          <w:sz w:val="32"/>
          <w:szCs w:val="32"/>
          <w:shd w:val="clear" w:color="auto" w:fill="FFFFFF"/>
        </w:rPr>
      </w:pPr>
      <w:r>
        <w:rPr>
          <w:rFonts w:ascii="Times New Roman" w:hAnsi="Times New Roman" w:eastAsia="方正楷体_GBK"/>
          <w:sz w:val="32"/>
          <w:szCs w:val="32"/>
        </w:rPr>
        <w:t>（三）经营收入：</w:t>
      </w:r>
      <w:r>
        <w:rPr>
          <w:rStyle w:val="12"/>
          <w:rFonts w:ascii="方正仿宋_GBK" w:hAnsi="方正仿宋_GBK" w:eastAsia="方正仿宋_GBK" w:cs="方正仿宋_GBK"/>
          <w:b w:val="0"/>
          <w:bCs/>
          <w:sz w:val="32"/>
          <w:szCs w:val="32"/>
          <w:shd w:val="clear" w:color="auto" w:fill="FFFFFF"/>
        </w:rPr>
        <w:t>指事业单位在专业业务活动及其辅助活动之外开展非独立核算经营活动取得的现金流入。</w:t>
      </w:r>
    </w:p>
    <w:p>
      <w:pPr>
        <w:pStyle w:val="9"/>
        <w:spacing w:beforeAutospacing="0" w:afterAutospacing="0" w:line="579" w:lineRule="exact"/>
        <w:ind w:firstLine="640" w:firstLineChars="200"/>
        <w:jc w:val="both"/>
        <w:rPr>
          <w:rStyle w:val="12"/>
          <w:rFonts w:ascii="方正仿宋_GBK" w:hAnsi="方正仿宋_GBK" w:eastAsia="方正仿宋_GBK" w:cs="方正仿宋_GBK"/>
          <w:b w:val="0"/>
          <w:bCs/>
          <w:sz w:val="32"/>
          <w:szCs w:val="32"/>
          <w:shd w:val="clear" w:color="auto" w:fill="FFFFFF"/>
        </w:rPr>
      </w:pPr>
      <w:r>
        <w:rPr>
          <w:rFonts w:ascii="Times New Roman" w:hAnsi="Times New Roman" w:eastAsia="方正楷体_GBK"/>
          <w:sz w:val="32"/>
          <w:szCs w:val="32"/>
        </w:rPr>
        <w:t>（四）其他收入：</w:t>
      </w:r>
      <w:r>
        <w:rPr>
          <w:rStyle w:val="12"/>
          <w:rFonts w:ascii="方正仿宋_GBK" w:hAnsi="方正仿宋_GBK" w:eastAsia="方正仿宋_GBK" w:cs="方正仿宋_GBK"/>
          <w:b w:val="0"/>
          <w:bCs/>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9"/>
        <w:spacing w:beforeAutospacing="0" w:afterAutospacing="0" w:line="579" w:lineRule="exact"/>
        <w:ind w:firstLine="640" w:firstLineChars="200"/>
        <w:jc w:val="both"/>
        <w:rPr>
          <w:rStyle w:val="12"/>
          <w:rFonts w:ascii="方正仿宋_GBK" w:hAnsi="方正仿宋_GBK" w:eastAsia="方正仿宋_GBK" w:cs="方正仿宋_GBK"/>
          <w:b w:val="0"/>
          <w:bCs/>
          <w:sz w:val="32"/>
          <w:szCs w:val="32"/>
          <w:shd w:val="clear" w:color="auto" w:fill="FFFFFF"/>
        </w:rPr>
      </w:pPr>
      <w:r>
        <w:rPr>
          <w:rFonts w:ascii="Times New Roman" w:hAnsi="Times New Roman" w:eastAsia="方正楷体_GBK"/>
          <w:sz w:val="32"/>
          <w:szCs w:val="32"/>
        </w:rPr>
        <w:t>（五）使用非财政拨款结余：</w:t>
      </w:r>
      <w:r>
        <w:rPr>
          <w:rStyle w:val="12"/>
          <w:rFonts w:ascii="方正仿宋_GBK" w:hAnsi="方正仿宋_GBK" w:eastAsia="方正仿宋_GBK" w:cs="方正仿宋_GBK"/>
          <w:b w:val="0"/>
          <w:bCs/>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9"/>
        <w:spacing w:beforeAutospacing="0" w:afterAutospacing="0" w:line="579" w:lineRule="exact"/>
        <w:ind w:firstLine="640" w:firstLineChars="200"/>
        <w:jc w:val="both"/>
        <w:rPr>
          <w:rStyle w:val="12"/>
          <w:rFonts w:ascii="方正仿宋_GBK" w:hAnsi="方正仿宋_GBK" w:eastAsia="方正仿宋_GBK" w:cs="方正仿宋_GBK"/>
          <w:b w:val="0"/>
          <w:bCs/>
          <w:sz w:val="32"/>
          <w:szCs w:val="32"/>
          <w:shd w:val="clear" w:color="auto" w:fill="FFFFFF"/>
        </w:rPr>
      </w:pPr>
      <w:r>
        <w:rPr>
          <w:rFonts w:ascii="Times New Roman" w:hAnsi="Times New Roman" w:eastAsia="方正楷体_GBK"/>
          <w:sz w:val="32"/>
          <w:szCs w:val="32"/>
        </w:rPr>
        <w:t>（六）年初结转和结余：</w:t>
      </w:r>
      <w:r>
        <w:rPr>
          <w:rStyle w:val="12"/>
          <w:rFonts w:ascii="方正仿宋_GBK" w:hAnsi="方正仿宋_GBK" w:eastAsia="方正仿宋_GBK" w:cs="方正仿宋_GBK"/>
          <w:b w:val="0"/>
          <w:bCs/>
          <w:sz w:val="32"/>
          <w:szCs w:val="32"/>
          <w:shd w:val="clear" w:color="auto" w:fill="FFFFFF"/>
        </w:rPr>
        <w:t>指单位上年结转本年使用的基本支出结转、项目支出结转和结余、经营结余。</w:t>
      </w:r>
    </w:p>
    <w:p>
      <w:pPr>
        <w:pStyle w:val="9"/>
        <w:spacing w:beforeAutospacing="0" w:afterAutospacing="0" w:line="579" w:lineRule="exact"/>
        <w:ind w:firstLine="640" w:firstLineChars="200"/>
        <w:jc w:val="both"/>
        <w:rPr>
          <w:rStyle w:val="12"/>
          <w:rFonts w:ascii="方正仿宋_GBK" w:hAnsi="方正仿宋_GBK" w:eastAsia="方正仿宋_GBK" w:cs="方正仿宋_GBK"/>
          <w:b w:val="0"/>
          <w:bCs/>
          <w:sz w:val="32"/>
          <w:szCs w:val="32"/>
          <w:shd w:val="clear" w:color="auto" w:fill="FFFFFF"/>
        </w:rPr>
      </w:pPr>
      <w:r>
        <w:rPr>
          <w:rFonts w:ascii="Times New Roman" w:hAnsi="Times New Roman" w:eastAsia="方正楷体_GBK"/>
          <w:sz w:val="32"/>
          <w:szCs w:val="32"/>
        </w:rPr>
        <w:t>（七）结余分配：</w:t>
      </w:r>
      <w:r>
        <w:rPr>
          <w:rStyle w:val="12"/>
          <w:rFonts w:ascii="方正仿宋_GBK" w:hAnsi="方正仿宋_GBK" w:eastAsia="方正仿宋_GBK" w:cs="方正仿宋_GBK"/>
          <w:b w:val="0"/>
          <w:bCs/>
          <w:sz w:val="32"/>
          <w:szCs w:val="32"/>
          <w:shd w:val="clear" w:color="auto" w:fill="FFFFFF"/>
        </w:rPr>
        <w:t>指单位按照国家有关规定，缴纳所得税、提取专用基金、转入非财政拨款结余等当年结余的分配情况。</w:t>
      </w:r>
    </w:p>
    <w:p>
      <w:pPr>
        <w:pStyle w:val="9"/>
        <w:spacing w:beforeAutospacing="0" w:afterAutospacing="0" w:line="579" w:lineRule="exact"/>
        <w:ind w:firstLine="640" w:firstLineChars="200"/>
        <w:jc w:val="both"/>
        <w:rPr>
          <w:rStyle w:val="12"/>
          <w:rFonts w:ascii="方正仿宋_GBK" w:hAnsi="方正仿宋_GBK" w:eastAsia="方正仿宋_GBK" w:cs="方正仿宋_GBK"/>
          <w:b w:val="0"/>
          <w:bCs/>
          <w:sz w:val="32"/>
          <w:szCs w:val="32"/>
          <w:shd w:val="clear" w:color="auto" w:fill="FFFFFF"/>
        </w:rPr>
      </w:pPr>
      <w:r>
        <w:rPr>
          <w:rFonts w:ascii="Times New Roman" w:hAnsi="Times New Roman" w:eastAsia="方正楷体_GBK"/>
          <w:sz w:val="32"/>
          <w:szCs w:val="32"/>
        </w:rPr>
        <w:t>（八）年末结转和结余：</w:t>
      </w:r>
      <w:r>
        <w:rPr>
          <w:rStyle w:val="12"/>
          <w:rFonts w:ascii="方正仿宋_GBK" w:hAnsi="方正仿宋_GBK" w:eastAsia="方正仿宋_GBK" w:cs="方正仿宋_GBK"/>
          <w:b w:val="0"/>
          <w:bCs/>
          <w:sz w:val="32"/>
          <w:szCs w:val="32"/>
          <w:shd w:val="clear" w:color="auto" w:fill="FFFFFF"/>
        </w:rPr>
        <w:t>指单位结转下年的基本支出结转、项目支出结转和结余、经营结余。</w:t>
      </w:r>
    </w:p>
    <w:p>
      <w:pPr>
        <w:pStyle w:val="9"/>
        <w:spacing w:beforeAutospacing="0" w:afterAutospacing="0" w:line="579" w:lineRule="exact"/>
        <w:ind w:firstLine="640" w:firstLineChars="200"/>
        <w:jc w:val="both"/>
        <w:rPr>
          <w:rStyle w:val="12"/>
          <w:rFonts w:ascii="方正仿宋_GBK" w:hAnsi="方正仿宋_GBK" w:eastAsia="方正仿宋_GBK" w:cs="方正仿宋_GBK"/>
          <w:b w:val="0"/>
          <w:bCs/>
          <w:sz w:val="32"/>
          <w:szCs w:val="32"/>
          <w:shd w:val="clear" w:color="auto" w:fill="FFFFFF"/>
        </w:rPr>
      </w:pPr>
      <w:r>
        <w:rPr>
          <w:rFonts w:ascii="Times New Roman" w:hAnsi="Times New Roman" w:eastAsia="方正楷体_GBK"/>
          <w:sz w:val="32"/>
          <w:szCs w:val="32"/>
        </w:rPr>
        <w:t>（九）基本支出：</w:t>
      </w:r>
      <w:r>
        <w:rPr>
          <w:rStyle w:val="12"/>
          <w:rFonts w:ascii="方正仿宋_GBK" w:hAnsi="方正仿宋_GBK" w:eastAsia="方正仿宋_GBK" w:cs="方正仿宋_GBK"/>
          <w:b w:val="0"/>
          <w:bCs/>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9"/>
        <w:spacing w:beforeAutospacing="0" w:afterAutospacing="0" w:line="579" w:lineRule="exact"/>
        <w:ind w:firstLine="640" w:firstLineChars="200"/>
        <w:jc w:val="both"/>
        <w:rPr>
          <w:rStyle w:val="12"/>
          <w:rFonts w:ascii="方正仿宋_GBK" w:hAnsi="方正仿宋_GBK" w:eastAsia="方正仿宋_GBK" w:cs="方正仿宋_GBK"/>
          <w:b w:val="0"/>
          <w:bCs/>
          <w:sz w:val="32"/>
          <w:szCs w:val="32"/>
          <w:shd w:val="clear" w:color="auto" w:fill="FFFFFF"/>
        </w:rPr>
      </w:pPr>
      <w:r>
        <w:rPr>
          <w:rFonts w:ascii="Times New Roman" w:hAnsi="Times New Roman" w:eastAsia="方正楷体_GBK"/>
          <w:sz w:val="32"/>
          <w:szCs w:val="32"/>
        </w:rPr>
        <w:t>（十）项目支出：</w:t>
      </w:r>
      <w:r>
        <w:rPr>
          <w:rStyle w:val="12"/>
          <w:rFonts w:ascii="方正仿宋_GBK" w:hAnsi="方正仿宋_GBK" w:eastAsia="方正仿宋_GBK" w:cs="方正仿宋_GBK"/>
          <w:b w:val="0"/>
          <w:bCs/>
          <w:sz w:val="32"/>
          <w:szCs w:val="32"/>
          <w:shd w:val="clear" w:color="auto" w:fill="FFFFFF"/>
        </w:rPr>
        <w:t>指在基本支出之外为完成特定行政任务和事业发展目标所发生的支出。</w:t>
      </w:r>
    </w:p>
    <w:p>
      <w:pPr>
        <w:pStyle w:val="9"/>
        <w:spacing w:beforeAutospacing="0" w:afterAutospacing="0" w:line="579" w:lineRule="exact"/>
        <w:ind w:firstLine="640" w:firstLineChars="200"/>
        <w:jc w:val="both"/>
        <w:rPr>
          <w:rStyle w:val="12"/>
          <w:rFonts w:ascii="方正仿宋_GBK" w:hAnsi="方正仿宋_GBK" w:eastAsia="方正仿宋_GBK" w:cs="方正仿宋_GBK"/>
          <w:b w:val="0"/>
          <w:bCs/>
          <w:sz w:val="32"/>
          <w:szCs w:val="32"/>
          <w:shd w:val="clear" w:color="auto" w:fill="FFFFFF"/>
        </w:rPr>
      </w:pPr>
      <w:r>
        <w:rPr>
          <w:rFonts w:ascii="Times New Roman" w:hAnsi="Times New Roman" w:eastAsia="方正楷体_GBK"/>
          <w:sz w:val="32"/>
          <w:szCs w:val="32"/>
        </w:rPr>
        <w:t>（十一）经营支出：</w:t>
      </w:r>
      <w:r>
        <w:rPr>
          <w:rStyle w:val="12"/>
          <w:rFonts w:ascii="方正仿宋_GBK" w:hAnsi="方正仿宋_GBK" w:eastAsia="方正仿宋_GBK" w:cs="方正仿宋_GBK"/>
          <w:b w:val="0"/>
          <w:bCs/>
          <w:sz w:val="32"/>
          <w:szCs w:val="32"/>
          <w:shd w:val="clear" w:color="auto" w:fill="FFFFFF"/>
        </w:rPr>
        <w:t>指事业单位在专业业务活动及其辅助活动之外开展非独立核算经营活动发生的支出。</w:t>
      </w:r>
    </w:p>
    <w:p>
      <w:pPr>
        <w:pStyle w:val="9"/>
        <w:spacing w:beforeAutospacing="0" w:afterAutospacing="0" w:line="579" w:lineRule="exact"/>
        <w:ind w:firstLine="640" w:firstLineChars="200"/>
        <w:jc w:val="both"/>
        <w:rPr>
          <w:rStyle w:val="12"/>
          <w:rFonts w:ascii="方正仿宋_GBK" w:hAnsi="方正仿宋_GBK" w:eastAsia="方正仿宋_GBK" w:cs="方正仿宋_GBK"/>
          <w:b w:val="0"/>
          <w:bCs/>
          <w:sz w:val="32"/>
          <w:szCs w:val="32"/>
          <w:shd w:val="clear" w:color="auto" w:fill="FFFFFF"/>
        </w:rPr>
      </w:pPr>
      <w:r>
        <w:rPr>
          <w:rFonts w:ascii="Times New Roman" w:hAnsi="Times New Roman" w:eastAsia="方正楷体_GBK"/>
          <w:sz w:val="32"/>
          <w:szCs w:val="32"/>
        </w:rPr>
        <w:t>（十二）“三公”经费：</w:t>
      </w:r>
      <w:r>
        <w:rPr>
          <w:rStyle w:val="12"/>
          <w:rFonts w:ascii="方正仿宋_GBK" w:hAnsi="方正仿宋_GBK" w:eastAsia="方正仿宋_GBK" w:cs="方正仿宋_GBK"/>
          <w:b w:val="0"/>
          <w:bCs/>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9"/>
        <w:spacing w:beforeAutospacing="0" w:afterAutospacing="0" w:line="579" w:lineRule="exact"/>
        <w:ind w:firstLine="640" w:firstLineChars="200"/>
        <w:jc w:val="both"/>
        <w:rPr>
          <w:rStyle w:val="12"/>
          <w:rFonts w:ascii="方正仿宋_GBK" w:hAnsi="方正仿宋_GBK" w:eastAsia="方正仿宋_GBK" w:cs="方正仿宋_GBK"/>
          <w:b w:val="0"/>
          <w:bCs/>
          <w:sz w:val="32"/>
          <w:szCs w:val="32"/>
          <w:shd w:val="clear" w:color="auto" w:fill="FFFFFF"/>
        </w:rPr>
      </w:pPr>
      <w:r>
        <w:rPr>
          <w:rFonts w:ascii="Times New Roman" w:hAnsi="Times New Roman" w:eastAsia="方正楷体_GBK"/>
          <w:sz w:val="32"/>
          <w:szCs w:val="32"/>
        </w:rPr>
        <w:t>（十三）机关运行经费：</w:t>
      </w:r>
      <w:r>
        <w:rPr>
          <w:rStyle w:val="12"/>
          <w:rFonts w:ascii="方正仿宋_GBK" w:hAnsi="方正仿宋_GBK" w:eastAsia="方正仿宋_GBK" w:cs="方正仿宋_GBK"/>
          <w:b w:val="0"/>
          <w:bCs/>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9"/>
        <w:spacing w:beforeAutospacing="0" w:afterAutospacing="0" w:line="579" w:lineRule="exact"/>
        <w:ind w:firstLine="640" w:firstLineChars="200"/>
        <w:jc w:val="both"/>
        <w:rPr>
          <w:rStyle w:val="12"/>
          <w:rFonts w:ascii="方正仿宋_GBK" w:hAnsi="方正仿宋_GBK" w:eastAsia="方正仿宋_GBK" w:cs="方正仿宋_GBK"/>
          <w:b w:val="0"/>
          <w:bCs/>
          <w:sz w:val="32"/>
          <w:szCs w:val="32"/>
          <w:shd w:val="clear" w:color="auto" w:fill="FFFFFF"/>
        </w:rPr>
      </w:pPr>
      <w:r>
        <w:rPr>
          <w:rFonts w:ascii="Times New Roman" w:hAnsi="Times New Roman" w:eastAsia="方正楷体_GBK"/>
          <w:sz w:val="32"/>
          <w:szCs w:val="32"/>
        </w:rPr>
        <w:t>（十四）工资福利支出（支出经济分类科目类级）：</w:t>
      </w:r>
      <w:r>
        <w:rPr>
          <w:rStyle w:val="12"/>
          <w:rFonts w:ascii="方正仿宋_GBK" w:hAnsi="方正仿宋_GBK" w:eastAsia="方正仿宋_GBK" w:cs="方正仿宋_GBK"/>
          <w:b w:val="0"/>
          <w:bCs/>
          <w:sz w:val="32"/>
          <w:szCs w:val="32"/>
          <w:shd w:val="clear" w:color="auto" w:fill="FFFFFF"/>
        </w:rPr>
        <w:t>反映单位开支的在职职工和编制外长期聘用人员的各类劳动报酬，以及为上述人员缴纳的各项社会保险费等。</w:t>
      </w:r>
    </w:p>
    <w:p>
      <w:pPr>
        <w:pStyle w:val="9"/>
        <w:spacing w:beforeAutospacing="0" w:afterAutospacing="0" w:line="579" w:lineRule="exact"/>
        <w:ind w:firstLine="640" w:firstLineChars="200"/>
        <w:jc w:val="both"/>
        <w:rPr>
          <w:rStyle w:val="12"/>
          <w:rFonts w:ascii="方正仿宋_GBK" w:hAnsi="方正仿宋_GBK" w:eastAsia="方正仿宋_GBK" w:cs="方正仿宋_GBK"/>
          <w:b w:val="0"/>
          <w:bCs/>
          <w:sz w:val="32"/>
          <w:szCs w:val="32"/>
          <w:shd w:val="clear" w:color="auto" w:fill="FFFFFF"/>
        </w:rPr>
      </w:pPr>
      <w:r>
        <w:rPr>
          <w:rFonts w:ascii="Times New Roman" w:hAnsi="Times New Roman" w:eastAsia="方正楷体_GBK"/>
          <w:sz w:val="32"/>
          <w:szCs w:val="32"/>
        </w:rPr>
        <w:t>（十五）商品和服务支出（支出经济分类科目类级）：</w:t>
      </w:r>
      <w:r>
        <w:rPr>
          <w:rStyle w:val="12"/>
          <w:rFonts w:ascii="方正仿宋_GBK" w:hAnsi="方正仿宋_GBK" w:eastAsia="方正仿宋_GBK" w:cs="方正仿宋_GBK"/>
          <w:b w:val="0"/>
          <w:bCs/>
          <w:sz w:val="32"/>
          <w:szCs w:val="32"/>
          <w:shd w:val="clear" w:color="auto" w:fill="FFFFFF"/>
        </w:rPr>
        <w:t>反映单位购买商品和服务的支出（不包括用于购置固定资产的支出、战略性和应急储备支出）。</w:t>
      </w:r>
    </w:p>
    <w:p>
      <w:pPr>
        <w:pStyle w:val="9"/>
        <w:spacing w:beforeAutospacing="0" w:afterAutospacing="0" w:line="579" w:lineRule="exact"/>
        <w:ind w:firstLine="640" w:firstLineChars="200"/>
        <w:jc w:val="both"/>
        <w:rPr>
          <w:rStyle w:val="12"/>
          <w:rFonts w:ascii="方正仿宋_GBK" w:hAnsi="方正仿宋_GBK" w:eastAsia="方正仿宋_GBK" w:cs="方正仿宋_GBK"/>
          <w:b w:val="0"/>
          <w:bCs/>
          <w:sz w:val="32"/>
          <w:szCs w:val="32"/>
          <w:shd w:val="clear" w:color="auto" w:fill="FFFFFF"/>
        </w:rPr>
      </w:pPr>
      <w:r>
        <w:rPr>
          <w:rFonts w:ascii="Times New Roman" w:hAnsi="Times New Roman" w:eastAsia="方正楷体_GBK"/>
          <w:sz w:val="32"/>
          <w:szCs w:val="32"/>
        </w:rPr>
        <w:t>（十六）对个人和家庭的补助（支出经济分类科目类级）：</w:t>
      </w:r>
      <w:r>
        <w:rPr>
          <w:rStyle w:val="12"/>
          <w:rFonts w:ascii="方正仿宋_GBK" w:hAnsi="方正仿宋_GBK" w:eastAsia="方正仿宋_GBK" w:cs="方正仿宋_GBK"/>
          <w:b w:val="0"/>
          <w:bCs/>
          <w:sz w:val="32"/>
          <w:szCs w:val="32"/>
          <w:shd w:val="clear" w:color="auto" w:fill="FFFFFF"/>
        </w:rPr>
        <w:t>反映用于对个人和家庭的补助支出。</w:t>
      </w:r>
    </w:p>
    <w:p>
      <w:pPr>
        <w:pStyle w:val="9"/>
        <w:spacing w:beforeAutospacing="0" w:afterAutospacing="0" w:line="579" w:lineRule="exact"/>
        <w:ind w:firstLine="640" w:firstLineChars="200"/>
        <w:jc w:val="both"/>
        <w:rPr>
          <w:rStyle w:val="12"/>
          <w:rFonts w:ascii="方正仿宋_GBK" w:hAnsi="方正仿宋_GBK" w:eastAsia="方正仿宋_GBK" w:cs="方正仿宋_GBK"/>
          <w:b w:val="0"/>
          <w:bCs/>
          <w:sz w:val="32"/>
          <w:szCs w:val="32"/>
          <w:shd w:val="clear" w:color="auto" w:fill="FFFFFF"/>
        </w:rPr>
      </w:pPr>
      <w:r>
        <w:rPr>
          <w:rFonts w:ascii="Times New Roman" w:hAnsi="Times New Roman" w:eastAsia="方正楷体_GBK"/>
          <w:sz w:val="32"/>
          <w:szCs w:val="32"/>
        </w:rPr>
        <w:t>（十七）其他资本性支出（支出经济分类科目类级）：</w:t>
      </w:r>
      <w:r>
        <w:rPr>
          <w:rStyle w:val="12"/>
          <w:rFonts w:ascii="方正仿宋_GBK" w:hAnsi="方正仿宋_GBK" w:eastAsia="方正仿宋_GBK" w:cs="方正仿宋_GBK"/>
          <w:b w:val="0"/>
          <w:bCs/>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9"/>
        <w:spacing w:beforeAutospacing="0" w:afterAutospacing="0" w:line="579" w:lineRule="exact"/>
        <w:ind w:firstLine="642" w:firstLineChars="200"/>
        <w:jc w:val="both"/>
      </w:pPr>
      <w:r>
        <w:rPr>
          <w:rStyle w:val="12"/>
          <w:rFonts w:hint="eastAsia" w:ascii="方正黑体_GBK" w:hAnsi="方正黑体_GBK" w:eastAsia="方正黑体_GBK" w:cs="方正黑体_GBK"/>
          <w:sz w:val="32"/>
          <w:szCs w:val="32"/>
          <w:shd w:val="clear" w:color="auto" w:fill="FFFFFF"/>
        </w:rPr>
        <w:t>七、决算公开联系方式及信息反馈渠道</w:t>
      </w:r>
    </w:p>
    <w:p>
      <w:pPr>
        <w:pStyle w:val="9"/>
        <w:spacing w:beforeAutospacing="0" w:afterAutospacing="0" w:line="579" w:lineRule="exact"/>
        <w:ind w:firstLine="640" w:firstLineChars="200"/>
        <w:jc w:val="both"/>
        <w:rPr>
          <w:rStyle w:val="12"/>
          <w:rFonts w:ascii="方正仿宋_GBK" w:hAnsi="方正仿宋_GBK" w:eastAsia="方正仿宋_GBK" w:cs="方正仿宋_GBK"/>
          <w:b w:val="0"/>
          <w:bCs/>
          <w:sz w:val="32"/>
          <w:szCs w:val="32"/>
          <w:shd w:val="clear" w:color="auto" w:fill="FFFFFF"/>
        </w:rPr>
      </w:pPr>
      <w:r>
        <w:rPr>
          <w:rStyle w:val="12"/>
          <w:rFonts w:ascii="方正仿宋_GBK" w:hAnsi="方正仿宋_GBK" w:eastAsia="方正仿宋_GBK" w:cs="方正仿宋_GBK"/>
          <w:b w:val="0"/>
          <w:bCs/>
          <w:sz w:val="32"/>
          <w:szCs w:val="32"/>
          <w:shd w:val="clear" w:color="auto" w:fill="FFFFFF"/>
        </w:rPr>
        <w:t>本单位决算公开信息反馈和联系方式：</w:t>
      </w:r>
    </w:p>
    <w:p>
      <w:pPr>
        <w:pStyle w:val="9"/>
        <w:spacing w:beforeAutospacing="0" w:afterAutospacing="0" w:line="579" w:lineRule="exact"/>
        <w:ind w:firstLine="640" w:firstLineChars="200"/>
        <w:jc w:val="both"/>
        <w:rPr>
          <w:rStyle w:val="12"/>
          <w:rFonts w:ascii="Times New Roman" w:hAnsi="Times New Roman" w:eastAsia="方正仿宋_GBK"/>
          <w:b w:val="0"/>
          <w:bCs/>
          <w:sz w:val="32"/>
          <w:szCs w:val="32"/>
          <w:shd w:val="clear" w:color="auto" w:fill="FFFFFF"/>
        </w:rPr>
      </w:pPr>
      <w:r>
        <w:rPr>
          <w:rStyle w:val="12"/>
          <w:rFonts w:hint="eastAsia" w:ascii="方正仿宋_GBK" w:hAnsi="方正仿宋_GBK" w:eastAsia="方正仿宋_GBK" w:cs="方正仿宋_GBK"/>
          <w:b w:val="0"/>
          <w:bCs/>
          <w:sz w:val="32"/>
          <w:szCs w:val="32"/>
          <w:shd w:val="clear" w:color="auto" w:fill="FFFFFF"/>
        </w:rPr>
        <w:t>冉小平</w:t>
      </w:r>
      <w:r>
        <w:rPr>
          <w:rStyle w:val="12"/>
          <w:rFonts w:ascii="方正仿宋_GBK" w:hAnsi="方正仿宋_GBK" w:eastAsia="方正仿宋_GBK" w:cs="方正仿宋_GBK"/>
          <w:b w:val="0"/>
          <w:bCs/>
          <w:sz w:val="32"/>
          <w:szCs w:val="32"/>
          <w:shd w:val="clear" w:color="auto" w:fill="FFFFFF"/>
        </w:rPr>
        <w:t> </w:t>
      </w:r>
      <w:r>
        <w:rPr>
          <w:rStyle w:val="12"/>
          <w:rFonts w:ascii="Times New Roman" w:hAnsi="Times New Roman" w:eastAsia="方正仿宋_GBK"/>
          <w:b w:val="0"/>
          <w:bCs/>
          <w:sz w:val="32"/>
          <w:szCs w:val="32"/>
          <w:shd w:val="clear" w:color="auto" w:fill="FFFFFF"/>
        </w:rPr>
        <w:t xml:space="preserve">  </w:t>
      </w:r>
      <w:r>
        <w:rPr>
          <w:rStyle w:val="12"/>
          <w:rFonts w:hint="eastAsia" w:ascii="Times New Roman" w:hAnsi="Times New Roman" w:eastAsia="方正仿宋_GBK"/>
          <w:b w:val="0"/>
          <w:bCs/>
          <w:sz w:val="32"/>
          <w:szCs w:val="32"/>
          <w:shd w:val="clear" w:color="auto" w:fill="FFFFFF"/>
        </w:rPr>
        <w:t>13668461924</w:t>
      </w:r>
    </w:p>
    <w:sectPr>
      <w:pgSz w:w="11915" w:h="16851"/>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bordersDoNotSurroundHeader w:val="true"/>
  <w:bordersDoNotSurroundFooter w:val="true"/>
  <w:documentProtection w:enforcement="0"/>
  <w:defaultTabStop w:val="420"/>
  <w:noPunctuationKerning w:val="true"/>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3MTdkMTA0MmU2M2E1YzJhZDc1NDhhZWY3OGMxOGUifQ=="/>
  </w:docVars>
  <w:rsids>
    <w:rsidRoot w:val="00EF19DA"/>
    <w:rsid w:val="00350EFF"/>
    <w:rsid w:val="00E948BE"/>
    <w:rsid w:val="00EF19DA"/>
    <w:rsid w:val="02B373C2"/>
    <w:rsid w:val="065645F4"/>
    <w:rsid w:val="08211FF3"/>
    <w:rsid w:val="08FF094D"/>
    <w:rsid w:val="096635BD"/>
    <w:rsid w:val="0A650C83"/>
    <w:rsid w:val="0FBC7598"/>
    <w:rsid w:val="0FE8038D"/>
    <w:rsid w:val="11DA3D05"/>
    <w:rsid w:val="13651CF4"/>
    <w:rsid w:val="16DB47A7"/>
    <w:rsid w:val="17F84EE5"/>
    <w:rsid w:val="18420856"/>
    <w:rsid w:val="1B762CF0"/>
    <w:rsid w:val="1DE26713"/>
    <w:rsid w:val="209B4FA7"/>
    <w:rsid w:val="260E3716"/>
    <w:rsid w:val="28CD26E6"/>
    <w:rsid w:val="2A554419"/>
    <w:rsid w:val="2D3B5B48"/>
    <w:rsid w:val="2F5D5371"/>
    <w:rsid w:val="2F967065"/>
    <w:rsid w:val="314A7CA1"/>
    <w:rsid w:val="32DB1233"/>
    <w:rsid w:val="350641B0"/>
    <w:rsid w:val="379F0A81"/>
    <w:rsid w:val="387939C8"/>
    <w:rsid w:val="39AD50C1"/>
    <w:rsid w:val="3B9A2627"/>
    <w:rsid w:val="3C942B7F"/>
    <w:rsid w:val="3CE70AA0"/>
    <w:rsid w:val="3DE43692"/>
    <w:rsid w:val="3DEA261E"/>
    <w:rsid w:val="413C7580"/>
    <w:rsid w:val="42F56341"/>
    <w:rsid w:val="43E602B2"/>
    <w:rsid w:val="45356EC9"/>
    <w:rsid w:val="463827CD"/>
    <w:rsid w:val="46C71494"/>
    <w:rsid w:val="47F15329"/>
    <w:rsid w:val="4BED4059"/>
    <w:rsid w:val="4CE0596C"/>
    <w:rsid w:val="4EE16AE7"/>
    <w:rsid w:val="4EE72DF2"/>
    <w:rsid w:val="4F1A33B7"/>
    <w:rsid w:val="4FCE5F50"/>
    <w:rsid w:val="50C57353"/>
    <w:rsid w:val="54D1769A"/>
    <w:rsid w:val="57C9597B"/>
    <w:rsid w:val="5A9C0C17"/>
    <w:rsid w:val="5B84021A"/>
    <w:rsid w:val="614B11AE"/>
    <w:rsid w:val="62D15C57"/>
    <w:rsid w:val="630D75F8"/>
    <w:rsid w:val="65897B96"/>
    <w:rsid w:val="677F7E04"/>
    <w:rsid w:val="679A229F"/>
    <w:rsid w:val="69412C89"/>
    <w:rsid w:val="6BF34005"/>
    <w:rsid w:val="6E723A38"/>
    <w:rsid w:val="708B5A6B"/>
    <w:rsid w:val="727560F9"/>
    <w:rsid w:val="79BF6786"/>
    <w:rsid w:val="7A1940E8"/>
    <w:rsid w:val="7D276B1C"/>
    <w:rsid w:val="AF3B5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EastAsia" w:hAnsiTheme="minorEastAsia" w:eastAsiaTheme="minorEastAsia"/>
      <w:sz w:val="24"/>
      <w:szCs w:val="24"/>
      <w:lang w:val="en-US" w:eastAsia="zh-CN" w:bidi="ar-SA"/>
    </w:rPr>
  </w:style>
  <w:style w:type="paragraph" w:styleId="2">
    <w:name w:val="heading 1"/>
    <w:basedOn w:val="1"/>
    <w:next w:val="1"/>
    <w:qFormat/>
    <w:uiPriority w:val="0"/>
    <w:pPr>
      <w:spacing w:beforeAutospacing="1" w:afterAutospacing="1"/>
      <w:outlineLvl w:val="0"/>
    </w:pPr>
    <w:rPr>
      <w:rFonts w:hint="eastAsia" w:ascii="宋体" w:hAnsi="宋体" w:eastAsia="宋体"/>
      <w:b/>
      <w:bCs/>
      <w:kern w:val="44"/>
      <w:sz w:val="48"/>
      <w:szCs w:val="48"/>
    </w:rPr>
  </w:style>
  <w:style w:type="paragraph" w:styleId="3">
    <w:name w:val="heading 2"/>
    <w:basedOn w:val="1"/>
    <w:next w:val="1"/>
    <w:semiHidden/>
    <w:unhideWhenUsed/>
    <w:qFormat/>
    <w:uiPriority w:val="0"/>
    <w:pPr>
      <w:spacing w:beforeAutospacing="1" w:afterAutospacing="1"/>
      <w:outlineLvl w:val="1"/>
    </w:pPr>
    <w:rPr>
      <w:rFonts w:hint="eastAsia" w:ascii="宋体" w:hAnsi="宋体" w:eastAsia="宋体"/>
      <w:b/>
      <w:bCs/>
      <w:sz w:val="36"/>
      <w:szCs w:val="36"/>
    </w:rPr>
  </w:style>
  <w:style w:type="paragraph" w:styleId="4">
    <w:name w:val="heading 3"/>
    <w:basedOn w:val="1"/>
    <w:next w:val="1"/>
    <w:semiHidden/>
    <w:unhideWhenUsed/>
    <w:qFormat/>
    <w:uiPriority w:val="0"/>
    <w:pPr>
      <w:spacing w:beforeAutospacing="1" w:afterAutospacing="1"/>
      <w:outlineLvl w:val="2"/>
    </w:pPr>
    <w:rPr>
      <w:rFonts w:hint="eastAsia" w:ascii="宋体" w:hAnsi="宋体" w:eastAsia="宋体"/>
      <w:b/>
      <w:bCs/>
      <w:sz w:val="27"/>
      <w:szCs w:val="27"/>
    </w:rPr>
  </w:style>
  <w:style w:type="paragraph" w:styleId="5">
    <w:name w:val="heading 4"/>
    <w:basedOn w:val="1"/>
    <w:next w:val="1"/>
    <w:semiHidden/>
    <w:unhideWhenUsed/>
    <w:qFormat/>
    <w:uiPriority w:val="0"/>
    <w:pPr>
      <w:spacing w:beforeAutospacing="1" w:afterAutospacing="1"/>
      <w:outlineLvl w:val="3"/>
    </w:pPr>
    <w:rPr>
      <w:rFonts w:hint="eastAsia" w:ascii="宋体" w:hAnsi="宋体" w:eastAsia="宋体"/>
      <w:b/>
      <w:bCs/>
    </w:rPr>
  </w:style>
  <w:style w:type="paragraph" w:styleId="6">
    <w:name w:val="heading 5"/>
    <w:basedOn w:val="1"/>
    <w:next w:val="1"/>
    <w:semiHidden/>
    <w:unhideWhenUsed/>
    <w:qFormat/>
    <w:uiPriority w:val="0"/>
    <w:pPr>
      <w:spacing w:beforeAutospacing="1" w:afterAutospacing="1"/>
      <w:outlineLvl w:val="4"/>
    </w:pPr>
    <w:rPr>
      <w:rFonts w:hint="eastAsia" w:ascii="宋体" w:hAnsi="宋体" w:eastAsia="宋体"/>
      <w:b/>
      <w:bCs/>
      <w:sz w:val="20"/>
      <w:szCs w:val="20"/>
    </w:rPr>
  </w:style>
  <w:style w:type="paragraph" w:styleId="7">
    <w:name w:val="heading 6"/>
    <w:basedOn w:val="1"/>
    <w:next w:val="1"/>
    <w:semiHidden/>
    <w:unhideWhenUsed/>
    <w:qFormat/>
    <w:uiPriority w:val="0"/>
    <w:pPr>
      <w:spacing w:beforeAutospacing="1" w:afterAutospacing="1"/>
      <w:outlineLvl w:val="5"/>
    </w:pPr>
    <w:rPr>
      <w:rFonts w:hint="eastAsia" w:ascii="宋体" w:hAnsi="宋体" w:eastAsia="宋体"/>
      <w:b/>
      <w:bCs/>
      <w:sz w:val="15"/>
      <w:szCs w:val="15"/>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rPr>
  </w:style>
  <w:style w:type="paragraph" w:styleId="9">
    <w:name w:val="Normal (Web)"/>
    <w:basedOn w:val="1"/>
    <w:qFormat/>
    <w:uiPriority w:val="0"/>
    <w:pPr>
      <w:spacing w:beforeAutospacing="1" w:afterAutospacing="1"/>
    </w:pPr>
  </w:style>
  <w:style w:type="character" w:styleId="12">
    <w:name w:val="Strong"/>
    <w:basedOn w:val="11"/>
    <w:qFormat/>
    <w:uiPriority w:val="0"/>
    <w:rPr>
      <w:b/>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747</Words>
  <Characters>4258</Characters>
  <Lines>35</Lines>
  <Paragraphs>9</Paragraphs>
  <TotalTime>26</TotalTime>
  <ScaleCrop>false</ScaleCrop>
  <LinksUpToDate>false</LinksUpToDate>
  <CharactersWithSpaces>4996</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2023-10-23T18:26:00Z</dcterms:created>
  <dc:creator>Administrator</dc:creator>
  <cp:lastModifiedBy>ckuos</cp:lastModifiedBy>
  <dcterms:modified xsi:type="dcterms:W3CDTF">2023-11-22T13:57:00Z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8B43E61E522E4DF5B3B62212EDDBDA19_12</vt:lpwstr>
  </property>
  <property fmtid="{D5CDD505-2E9C-101B-9397-08002B2CF9AE}" pid="4" name="KSOSaveFontToCloudKey">
    <vt:lpwstr>300157628_embed</vt:lpwstr>
  </property>
</Properties>
</file>