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9"/>
        <w:autoSpaceDE w:val="0"/>
        <w:spacing w:beforeAutospacing="0" w:line="579" w:lineRule="exact"/>
        <w:ind w:firstLine="883" w:firstLineChars="200"/>
        <w:jc w:val="center"/>
        <w:rPr>
          <w:rStyle w:val="20"/>
          <w:rFonts w:hint="eastAsia" w:ascii="方正小标宋_GBK" w:hAnsi="方正小标宋_GBK" w:eastAsia="方正小标宋_GBK" w:cs="方正小标宋_GBK"/>
          <w:sz w:val="44"/>
          <w:szCs w:val="44"/>
          <w:shd w:val="clear" w:color="auto" w:fill="FFFFFF"/>
        </w:rPr>
      </w:pPr>
      <w:r>
        <w:rPr>
          <w:rStyle w:val="20"/>
          <w:rFonts w:hint="eastAsia" w:ascii="方正小标宋_GBK" w:hAnsi="方正小标宋_GBK" w:eastAsia="方正小标宋_GBK" w:cs="方正小标宋_GBK"/>
          <w:sz w:val="44"/>
          <w:szCs w:val="44"/>
          <w:shd w:val="clear" w:color="auto" w:fill="FFFFFF"/>
        </w:rPr>
        <w:t>重庆市城口县双河乡中心小学</w:t>
      </w:r>
    </w:p>
    <w:p>
      <w:pPr>
        <w:pStyle w:val="19"/>
        <w:autoSpaceDE w:val="0"/>
        <w:spacing w:beforeAutospacing="0" w:line="579" w:lineRule="exact"/>
        <w:ind w:firstLine="883" w:firstLineChars="200"/>
        <w:jc w:val="center"/>
        <w:rPr>
          <w:rFonts w:hint="default" w:ascii="方正小标宋_GBK" w:hAnsi="方正小标宋_GBK" w:eastAsia="方正小标宋_GBK" w:cs="方正小标宋_GBK"/>
          <w:sz w:val="44"/>
          <w:szCs w:val="44"/>
        </w:rPr>
      </w:pPr>
      <w:r>
        <w:rPr>
          <w:rStyle w:val="20"/>
          <w:rFonts w:hint="eastAsia" w:ascii="方正小标宋_GBK" w:hAnsi="方正小标宋_GBK" w:eastAsia="方正小标宋_GBK" w:cs="方正小标宋_GBK"/>
          <w:sz w:val="44"/>
          <w:szCs w:val="44"/>
          <w:shd w:val="clear" w:color="auto" w:fill="FFFFFF"/>
        </w:rPr>
        <w:t>2022年度部门决算情况说明</w:t>
      </w:r>
    </w:p>
    <w:p>
      <w:pPr>
        <w:pStyle w:val="19"/>
        <w:autoSpaceDE w:val="0"/>
        <w:spacing w:beforeAutospacing="0" w:afterAutospacing="0" w:line="579" w:lineRule="exact"/>
        <w:ind w:firstLine="640" w:firstLineChars="200"/>
        <w:rPr>
          <w:rFonts w:hint="default" w:ascii="方正黑体_GBK" w:hAnsi="方正黑体_GBK" w:eastAsia="方正黑体_GBK" w:cs="方正黑体_GBK"/>
          <w:sz w:val="32"/>
          <w:szCs w:val="32"/>
        </w:rPr>
      </w:pPr>
      <w:r>
        <w:rPr>
          <w:rStyle w:val="20"/>
          <w:rFonts w:hint="eastAsia" w:ascii="方正黑体_GBK" w:hAnsi="方正黑体_GBK" w:eastAsia="方正黑体_GBK" w:cs="方正黑体_GBK"/>
          <w:b w:val="0"/>
          <w:sz w:val="32"/>
          <w:szCs w:val="32"/>
          <w:shd w:val="clear" w:color="auto" w:fill="FFFFFF"/>
        </w:rPr>
        <w:t>一、部门基本情况</w:t>
      </w:r>
    </w:p>
    <w:p>
      <w:pPr>
        <w:pStyle w:val="19"/>
        <w:autoSpaceDE w:val="0"/>
        <w:spacing w:beforeAutospacing="0" w:afterAutospacing="0" w:line="579" w:lineRule="exact"/>
        <w:ind w:firstLine="640" w:firstLineChars="200"/>
        <w:rPr>
          <w:rFonts w:hint="default" w:ascii="方正楷体_GBK" w:hAnsi="方正楷体_GBK" w:eastAsia="方正楷体_GBK" w:cs="方正楷体_GBK"/>
          <w:sz w:val="32"/>
          <w:szCs w:val="32"/>
        </w:rPr>
      </w:pPr>
      <w:r>
        <w:rPr>
          <w:rStyle w:val="20"/>
          <w:rFonts w:hint="eastAsia" w:ascii="方正楷体_GBK" w:hAnsi="方正楷体_GBK" w:eastAsia="方正楷体_GBK" w:cs="方正楷体_GBK"/>
          <w:b w:val="0"/>
          <w:sz w:val="32"/>
          <w:szCs w:val="32"/>
          <w:shd w:val="clear" w:color="auto" w:fill="FFFFFF"/>
        </w:rPr>
        <w:t>（一）职能职责</w:t>
      </w:r>
    </w:p>
    <w:p>
      <w:pPr>
        <w:autoSpaceDE w:val="0"/>
        <w:spacing w:line="579" w:lineRule="exact"/>
        <w:ind w:firstLine="640" w:firstLineChars="200"/>
        <w:jc w:val="both"/>
        <w:rPr>
          <w:rFonts w:hint="default" w:ascii="方正仿宋_GBK" w:hAnsi="方正仿宋_GBK" w:eastAsia="方正仿宋_GBK" w:cs="方正仿宋_GBK"/>
          <w:sz w:val="32"/>
          <w:szCs w:val="32"/>
          <w:shd w:val="clear" w:color="auto" w:fill="FFFFFF"/>
        </w:rPr>
      </w:pPr>
      <w:r>
        <w:rPr>
          <w:rFonts w:hint="default" w:ascii="Times New Roman" w:hAnsi="Times New Roman" w:eastAsia="方正仿宋_GBK"/>
          <w:sz w:val="32"/>
          <w:szCs w:val="32"/>
          <w:shd w:val="clear" w:color="auto" w:fill="FFFFFF"/>
        </w:rPr>
        <w:t>1.</w:t>
      </w:r>
      <w:r>
        <w:rPr>
          <w:rFonts w:ascii="方正仿宋_GBK" w:hAnsi="方正仿宋_GBK" w:eastAsia="方正仿宋_GBK" w:cs="方正仿宋_GBK"/>
          <w:sz w:val="32"/>
          <w:szCs w:val="32"/>
          <w:shd w:val="clear" w:color="auto" w:fill="FFFFFF"/>
        </w:rPr>
        <w:t>正确贯彻执行党和国家的教育方针、政策、法规。</w:t>
      </w:r>
    </w:p>
    <w:p>
      <w:pPr>
        <w:autoSpaceDE w:val="0"/>
        <w:spacing w:line="579" w:lineRule="exact"/>
        <w:ind w:firstLine="640" w:firstLineChars="200"/>
        <w:jc w:val="both"/>
        <w:rPr>
          <w:rFonts w:hint="default"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rPr>
        <w:t>2.</w:t>
      </w:r>
      <w:r>
        <w:rPr>
          <w:rFonts w:ascii="方正仿宋_GBK" w:hAnsi="方正仿宋_GBK" w:eastAsia="方正仿宋_GBK" w:cs="方正仿宋_GBK"/>
          <w:sz w:val="32"/>
          <w:szCs w:val="32"/>
          <w:shd w:val="clear" w:color="auto" w:fill="FFFFFF"/>
        </w:rPr>
        <w:t>维护学校的教学秩序，为学生创造良好的学习环境；</w:t>
      </w:r>
    </w:p>
    <w:p>
      <w:pPr>
        <w:autoSpaceDE w:val="0"/>
        <w:spacing w:line="579" w:lineRule="exact"/>
        <w:ind w:firstLine="640" w:firstLineChars="200"/>
        <w:jc w:val="both"/>
        <w:rPr>
          <w:rFonts w:hint="default"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rPr>
        <w:t>3.</w:t>
      </w:r>
      <w:r>
        <w:rPr>
          <w:rFonts w:ascii="方正仿宋_GBK" w:hAnsi="方正仿宋_GBK" w:eastAsia="方正仿宋_GBK" w:cs="方正仿宋_GBK"/>
          <w:sz w:val="32"/>
          <w:szCs w:val="32"/>
          <w:shd w:val="clear" w:color="auto" w:fill="FFFFFF"/>
        </w:rPr>
        <w:t>积极稳妥地推进教育改革，按</w:t>
      </w:r>
      <w:r>
        <w:fldChar w:fldCharType="begin"/>
      </w:r>
      <w:r>
        <w:instrText xml:space="preserve"> HYPERLINK "https://www.baidu.com/s?wd=%E6%95%99%E8%82%B2%E8%A7%84%E5%BE%8B&amp;tn=SE_PcZhidaonwhc_ngpagmjz&amp;rsv_dl=gh_pc_zhidao" </w:instrText>
      </w:r>
      <w:r>
        <w:fldChar w:fldCharType="separate"/>
      </w:r>
      <w:r>
        <w:rPr>
          <w:rStyle w:val="14"/>
          <w:rFonts w:ascii="方正仿宋_GBK" w:hAnsi="方正仿宋_GBK" w:eastAsia="方正仿宋_GBK" w:cs="方正仿宋_GBK"/>
          <w:color w:val="auto"/>
          <w:sz w:val="32"/>
          <w:szCs w:val="32"/>
          <w:u w:val="none"/>
          <w:shd w:val="clear" w:color="auto" w:fill="FFFFFF"/>
        </w:rPr>
        <w:t>教育规律</w:t>
      </w:r>
      <w:r>
        <w:rPr>
          <w:rStyle w:val="14"/>
          <w:rFonts w:ascii="方正仿宋_GBK" w:hAnsi="方正仿宋_GBK" w:eastAsia="方正仿宋_GBK" w:cs="方正仿宋_GBK"/>
          <w:color w:val="auto"/>
          <w:sz w:val="32"/>
          <w:szCs w:val="32"/>
          <w:u w:val="none"/>
          <w:shd w:val="clear" w:color="auto" w:fill="FFFFFF"/>
        </w:rPr>
        <w:fldChar w:fldCharType="end"/>
      </w:r>
      <w:r>
        <w:rPr>
          <w:rFonts w:ascii="方正仿宋_GBK" w:hAnsi="方正仿宋_GBK" w:eastAsia="方正仿宋_GBK" w:cs="方正仿宋_GBK"/>
          <w:sz w:val="32"/>
          <w:szCs w:val="32"/>
          <w:shd w:val="clear" w:color="auto" w:fill="FFFFFF"/>
        </w:rPr>
        <w:t>办事，不断提高</w:t>
      </w:r>
      <w:r>
        <w:fldChar w:fldCharType="begin"/>
      </w:r>
      <w:r>
        <w:instrText xml:space="preserve"> HYPERLINK "https://www.baidu.com/s?wd=%E6%95%99%E8%82%B2%E8%B4%A8%E9%87%8F&amp;tn=SE_PcZhidaonwhc_ngpagmjz&amp;rsv_dl=gh_pc_zhidao" </w:instrText>
      </w:r>
      <w:r>
        <w:fldChar w:fldCharType="separate"/>
      </w:r>
      <w:r>
        <w:rPr>
          <w:rStyle w:val="14"/>
          <w:rFonts w:ascii="方正仿宋_GBK" w:hAnsi="方正仿宋_GBK" w:eastAsia="方正仿宋_GBK" w:cs="方正仿宋_GBK"/>
          <w:color w:val="auto"/>
          <w:sz w:val="32"/>
          <w:szCs w:val="32"/>
          <w:u w:val="none"/>
          <w:shd w:val="clear" w:color="auto" w:fill="FFFFFF"/>
        </w:rPr>
        <w:t>教育质量</w:t>
      </w:r>
      <w:r>
        <w:rPr>
          <w:rStyle w:val="14"/>
          <w:rFonts w:ascii="方正仿宋_GBK" w:hAnsi="方正仿宋_GBK" w:eastAsia="方正仿宋_GBK" w:cs="方正仿宋_GBK"/>
          <w:color w:val="auto"/>
          <w:sz w:val="32"/>
          <w:szCs w:val="32"/>
          <w:u w:val="none"/>
          <w:shd w:val="clear" w:color="auto" w:fill="FFFFFF"/>
        </w:rPr>
        <w:fldChar w:fldCharType="end"/>
      </w:r>
      <w:r>
        <w:rPr>
          <w:rFonts w:ascii="方正仿宋_GBK" w:hAnsi="方正仿宋_GBK" w:eastAsia="方正仿宋_GBK" w:cs="方正仿宋_GBK"/>
          <w:sz w:val="32"/>
          <w:szCs w:val="32"/>
          <w:shd w:val="clear" w:color="auto" w:fill="FFFFFF"/>
        </w:rPr>
        <w:t>；</w:t>
      </w:r>
    </w:p>
    <w:p>
      <w:pPr>
        <w:autoSpaceDE w:val="0"/>
        <w:spacing w:line="579" w:lineRule="exact"/>
        <w:ind w:firstLine="640" w:firstLineChars="200"/>
        <w:jc w:val="both"/>
        <w:rPr>
          <w:rFonts w:hint="default"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rPr>
        <w:t>4.</w:t>
      </w:r>
      <w:r>
        <w:rPr>
          <w:rFonts w:ascii="方正仿宋_GBK" w:hAnsi="方正仿宋_GBK" w:eastAsia="方正仿宋_GBK" w:cs="方正仿宋_GBK"/>
          <w:sz w:val="32"/>
          <w:szCs w:val="32"/>
          <w:shd w:val="clear" w:color="auto" w:fill="FFFFFF"/>
        </w:rPr>
        <w:t>根据学校规模，设置学校管理机构，建立健全各项规章制度和</w:t>
      </w:r>
      <w:r>
        <w:fldChar w:fldCharType="begin"/>
      </w:r>
      <w:r>
        <w:instrText xml:space="preserve"> HYPERLINK "https://www.baidu.com/s?wd=%E5%B2%97%E4%BD%8D%E8%B4%A3%E4%BB%BB%E5%88%B6&amp;tn=SE_PcZhidaonwhc_ngpagmjz&amp;rsv_dl=gh_pc_zhidao" </w:instrText>
      </w:r>
      <w:r>
        <w:fldChar w:fldCharType="separate"/>
      </w:r>
      <w:r>
        <w:rPr>
          <w:rStyle w:val="14"/>
          <w:rFonts w:ascii="方正仿宋_GBK" w:hAnsi="方正仿宋_GBK" w:eastAsia="方正仿宋_GBK" w:cs="方正仿宋_GBK"/>
          <w:color w:val="auto"/>
          <w:sz w:val="32"/>
          <w:szCs w:val="32"/>
          <w:u w:val="none"/>
          <w:shd w:val="clear" w:color="auto" w:fill="FFFFFF"/>
        </w:rPr>
        <w:t>岗位责任制</w:t>
      </w:r>
      <w:r>
        <w:rPr>
          <w:rStyle w:val="14"/>
          <w:rFonts w:ascii="方正仿宋_GBK" w:hAnsi="方正仿宋_GBK" w:eastAsia="方正仿宋_GBK" w:cs="方正仿宋_GBK"/>
          <w:color w:val="auto"/>
          <w:sz w:val="32"/>
          <w:szCs w:val="32"/>
          <w:u w:val="none"/>
          <w:shd w:val="clear" w:color="auto" w:fill="FFFFFF"/>
        </w:rPr>
        <w:fldChar w:fldCharType="end"/>
      </w:r>
      <w:r>
        <w:rPr>
          <w:rFonts w:ascii="方正仿宋_GBK" w:hAnsi="方正仿宋_GBK" w:eastAsia="方正仿宋_GBK" w:cs="方正仿宋_GBK"/>
          <w:sz w:val="32"/>
          <w:szCs w:val="32"/>
          <w:shd w:val="clear" w:color="auto" w:fill="FFFFFF"/>
        </w:rPr>
        <w:t>。</w:t>
      </w:r>
    </w:p>
    <w:p>
      <w:pPr>
        <w:autoSpaceDE w:val="0"/>
        <w:spacing w:line="579" w:lineRule="exact"/>
        <w:ind w:firstLine="640" w:firstLineChars="200"/>
        <w:jc w:val="both"/>
        <w:rPr>
          <w:rFonts w:hint="default"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rPr>
        <w:t>5.</w:t>
      </w:r>
      <w:r>
        <w:rPr>
          <w:rFonts w:ascii="方正仿宋_GBK" w:hAnsi="方正仿宋_GBK" w:eastAsia="方正仿宋_GBK" w:cs="方正仿宋_GBK"/>
          <w:sz w:val="32"/>
          <w:szCs w:val="32"/>
          <w:shd w:val="clear" w:color="auto" w:fill="FFFFFF"/>
        </w:rPr>
        <w:t>坚持教书育人，服务育人，环境育人方针，加强对学生的</w:t>
      </w:r>
      <w:r>
        <w:fldChar w:fldCharType="begin"/>
      </w:r>
      <w:r>
        <w:instrText xml:space="preserve"> HYPERLINK "https://www.baidu.com/s?wd=%E6%80%9D%E6%83%B3%E5%93%81%E5%BE%B7&amp;tn=SE_PcZhidaonwhc_ngpagmjz&amp;rsv_dl=gh_pc_zhidao" </w:instrText>
      </w:r>
      <w:r>
        <w:fldChar w:fldCharType="separate"/>
      </w:r>
      <w:r>
        <w:rPr>
          <w:rStyle w:val="14"/>
          <w:rFonts w:ascii="方正仿宋_GBK" w:hAnsi="方正仿宋_GBK" w:eastAsia="方正仿宋_GBK" w:cs="方正仿宋_GBK"/>
          <w:color w:val="auto"/>
          <w:sz w:val="32"/>
          <w:szCs w:val="32"/>
          <w:u w:val="none"/>
          <w:shd w:val="clear" w:color="auto" w:fill="FFFFFF"/>
        </w:rPr>
        <w:t>思想品德</w:t>
      </w:r>
      <w:r>
        <w:rPr>
          <w:rStyle w:val="14"/>
          <w:rFonts w:ascii="方正仿宋_GBK" w:hAnsi="方正仿宋_GBK" w:eastAsia="方正仿宋_GBK" w:cs="方正仿宋_GBK"/>
          <w:color w:val="auto"/>
          <w:sz w:val="32"/>
          <w:szCs w:val="32"/>
          <w:u w:val="none"/>
          <w:shd w:val="clear" w:color="auto" w:fill="FFFFFF"/>
        </w:rPr>
        <w:fldChar w:fldCharType="end"/>
      </w:r>
      <w:r>
        <w:rPr>
          <w:rFonts w:ascii="方正仿宋_GBK" w:hAnsi="方正仿宋_GBK" w:eastAsia="方正仿宋_GBK" w:cs="方正仿宋_GBK"/>
          <w:sz w:val="32"/>
          <w:szCs w:val="32"/>
          <w:shd w:val="clear" w:color="auto" w:fill="FFFFFF"/>
        </w:rPr>
        <w:t>教育，使学生的德智体全面发展。</w:t>
      </w:r>
    </w:p>
    <w:p>
      <w:pPr>
        <w:autoSpaceDE w:val="0"/>
        <w:spacing w:line="579" w:lineRule="exact"/>
        <w:ind w:firstLine="640" w:firstLineChars="200"/>
        <w:jc w:val="both"/>
        <w:rPr>
          <w:rFonts w:hint="default"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rPr>
        <w:t>6.</w:t>
      </w:r>
      <w:r>
        <w:rPr>
          <w:rFonts w:ascii="方正仿宋_GBK" w:hAnsi="方正仿宋_GBK" w:eastAsia="方正仿宋_GBK" w:cs="方正仿宋_GBK"/>
          <w:sz w:val="32"/>
          <w:szCs w:val="32"/>
          <w:shd w:val="clear" w:color="auto" w:fill="FFFFFF"/>
        </w:rPr>
        <w:t>抓好教师队伍建设，使每个教师都热心于教育事业；</w:t>
      </w:r>
    </w:p>
    <w:p>
      <w:pPr>
        <w:autoSpaceDE w:val="0"/>
        <w:spacing w:line="579" w:lineRule="exact"/>
        <w:ind w:firstLine="640" w:firstLineChars="200"/>
        <w:jc w:val="both"/>
        <w:rPr>
          <w:rFonts w:hint="default" w:ascii="方正仿宋_GBK" w:hAnsi="方正仿宋_GBK" w:eastAsia="方正仿宋_GBK" w:cs="方正仿宋_GBK"/>
          <w:sz w:val="32"/>
          <w:szCs w:val="32"/>
          <w:shd w:val="clear" w:color="auto" w:fill="FFFFFF"/>
        </w:rPr>
      </w:pPr>
      <w:r>
        <w:rPr>
          <w:rFonts w:ascii="Times New Roman" w:hAnsi="Times New Roman" w:eastAsia="方正仿宋_GBK"/>
          <w:sz w:val="32"/>
          <w:szCs w:val="32"/>
          <w:shd w:val="clear" w:color="auto" w:fill="FFFFFF"/>
        </w:rPr>
        <w:t>7.</w:t>
      </w:r>
      <w:r>
        <w:rPr>
          <w:rFonts w:ascii="方正仿宋_GBK" w:hAnsi="方正仿宋_GBK" w:eastAsia="方正仿宋_GBK" w:cs="方正仿宋_GBK"/>
          <w:sz w:val="32"/>
          <w:szCs w:val="32"/>
          <w:shd w:val="clear" w:color="auto" w:fill="FFFFFF"/>
        </w:rPr>
        <w:t>做好安全防范，保证学生的</w:t>
      </w:r>
      <w:r>
        <w:rPr>
          <w:rFonts w:hint="eastAsia" w:ascii="方正仿宋_GBK" w:hAnsi="方正仿宋_GBK" w:eastAsia="方正仿宋_GBK" w:cs="方正仿宋_GBK"/>
          <w:sz w:val="32"/>
          <w:szCs w:val="32"/>
          <w:shd w:val="clear" w:color="auto" w:fill="FFFFFF"/>
          <w:lang w:eastAsia="zh-CN"/>
        </w:rPr>
        <w:t>人身</w:t>
      </w:r>
      <w:bookmarkStart w:id="0" w:name="_GoBack"/>
      <w:bookmarkEnd w:id="0"/>
      <w:r>
        <w:rPr>
          <w:rFonts w:ascii="方正仿宋_GBK" w:hAnsi="方正仿宋_GBK" w:eastAsia="方正仿宋_GBK" w:cs="方正仿宋_GBK"/>
          <w:sz w:val="32"/>
          <w:szCs w:val="32"/>
          <w:shd w:val="clear" w:color="auto" w:fill="FFFFFF"/>
        </w:rPr>
        <w:t>安全。</w:t>
      </w:r>
    </w:p>
    <w:p>
      <w:pPr>
        <w:pStyle w:val="19"/>
        <w:autoSpaceDE w:val="0"/>
        <w:spacing w:beforeAutospacing="0" w:afterAutospacing="0" w:line="579" w:lineRule="exact"/>
        <w:ind w:firstLine="640" w:firstLineChars="200"/>
        <w:rPr>
          <w:rFonts w:hint="default" w:ascii="方正楷体_GBK" w:hAnsi="方正楷体_GBK" w:eastAsia="方正楷体_GBK" w:cs="方正楷体_GBK"/>
          <w:sz w:val="32"/>
          <w:szCs w:val="32"/>
          <w:shd w:val="clear" w:color="auto" w:fill="FFFFFF"/>
        </w:rPr>
      </w:pPr>
      <w:r>
        <w:rPr>
          <w:rStyle w:val="20"/>
          <w:rFonts w:hint="eastAsia" w:ascii="方正楷体_GBK" w:hAnsi="方正楷体_GBK" w:eastAsia="方正楷体_GBK" w:cs="方正楷体_GBK"/>
          <w:b w:val="0"/>
          <w:sz w:val="32"/>
          <w:szCs w:val="32"/>
          <w:shd w:val="clear" w:color="auto" w:fill="FFFFFF"/>
        </w:rPr>
        <w:t>（二）机构设置</w:t>
      </w:r>
    </w:p>
    <w:p>
      <w:pPr>
        <w:pStyle w:val="19"/>
        <w:autoSpaceDE w:val="0"/>
        <w:spacing w:beforeAutospacing="0" w:afterAutospacing="0" w:line="579" w:lineRule="exact"/>
        <w:ind w:firstLine="640" w:firstLineChars="200"/>
        <w:rPr>
          <w:rFonts w:hint="default" w:ascii="Times New Roman" w:hAnsi="Times New Roman" w:eastAsia="方正仿宋_GBK"/>
          <w:sz w:val="32"/>
          <w:szCs w:val="32"/>
          <w:shd w:val="clear" w:color="auto" w:fill="FFFFFF"/>
          <w:lang w:bidi="ar"/>
        </w:rPr>
      </w:pPr>
      <w:r>
        <w:rPr>
          <w:rFonts w:ascii="Times New Roman" w:hAnsi="Times New Roman" w:eastAsia="方正仿宋_GBK"/>
          <w:sz w:val="32"/>
          <w:szCs w:val="32"/>
          <w:shd w:val="clear" w:color="auto" w:fill="FFFFFF"/>
          <w:lang w:bidi="ar"/>
        </w:rPr>
        <w:t>本部门机构由学校一个单位构成，学校设正职领导</w:t>
      </w:r>
      <w:r>
        <w:rPr>
          <w:rFonts w:hint="default" w:ascii="Times New Roman" w:hAnsi="Times New Roman" w:eastAsia="方正仿宋_GBK"/>
          <w:sz w:val="32"/>
          <w:szCs w:val="32"/>
          <w:shd w:val="clear" w:color="auto" w:fill="FFFFFF"/>
          <w:lang w:bidi="ar"/>
        </w:rPr>
        <w:t>1</w:t>
      </w:r>
      <w:r>
        <w:rPr>
          <w:rFonts w:ascii="Times New Roman" w:hAnsi="Times New Roman" w:eastAsia="方正仿宋_GBK"/>
          <w:sz w:val="32"/>
          <w:szCs w:val="32"/>
          <w:shd w:val="clear" w:color="auto" w:fill="FFFFFF"/>
          <w:lang w:bidi="ar"/>
        </w:rPr>
        <w:t>名，副职领导</w:t>
      </w:r>
      <w:r>
        <w:rPr>
          <w:rFonts w:hint="default" w:ascii="Times New Roman" w:hAnsi="Times New Roman" w:eastAsia="方正仿宋_GBK"/>
          <w:sz w:val="32"/>
          <w:szCs w:val="32"/>
          <w:shd w:val="clear" w:color="auto" w:fill="FFFFFF"/>
          <w:lang w:bidi="ar"/>
        </w:rPr>
        <w:t>2</w:t>
      </w:r>
      <w:r>
        <w:rPr>
          <w:rFonts w:ascii="Times New Roman" w:hAnsi="Times New Roman" w:eastAsia="方正仿宋_GBK"/>
          <w:sz w:val="32"/>
          <w:szCs w:val="32"/>
          <w:shd w:val="clear" w:color="auto" w:fill="FFFFFF"/>
          <w:lang w:bidi="ar"/>
        </w:rPr>
        <w:t>名。单位内设机构:教导处、校务处，内设机构领导正职1名。</w:t>
      </w:r>
    </w:p>
    <w:p>
      <w:pPr>
        <w:pStyle w:val="19"/>
        <w:autoSpaceDE w:val="0"/>
        <w:spacing w:beforeAutospacing="0" w:afterAutospacing="0" w:line="579" w:lineRule="exact"/>
        <w:ind w:firstLine="640" w:firstLineChars="200"/>
        <w:rPr>
          <w:rStyle w:val="20"/>
          <w:rFonts w:hint="eastAsia" w:ascii="方正黑体_GBK" w:hAnsi="方正黑体_GBK" w:eastAsia="方正黑体_GBK" w:cs="方正黑体_GBK"/>
          <w:b w:val="0"/>
          <w:sz w:val="32"/>
          <w:szCs w:val="32"/>
          <w:shd w:val="clear" w:color="auto" w:fill="FFFFFF"/>
        </w:rPr>
      </w:pPr>
      <w:r>
        <w:rPr>
          <w:rStyle w:val="20"/>
          <w:rFonts w:hint="eastAsia" w:ascii="方正黑体_GBK" w:hAnsi="方正黑体_GBK" w:eastAsia="方正黑体_GBK" w:cs="方正黑体_GBK"/>
          <w:b w:val="0"/>
          <w:sz w:val="32"/>
          <w:szCs w:val="32"/>
          <w:shd w:val="clear" w:color="auto" w:fill="FFFFFF"/>
        </w:rPr>
        <w:t>二、部门决算情况说明</w:t>
      </w:r>
    </w:p>
    <w:p>
      <w:pPr>
        <w:pStyle w:val="19"/>
        <w:autoSpaceDE w:val="0"/>
        <w:spacing w:beforeAutospacing="0" w:afterAutospacing="0" w:line="579" w:lineRule="exact"/>
        <w:ind w:firstLine="640" w:firstLineChars="200"/>
        <w:rPr>
          <w:rStyle w:val="20"/>
          <w:rFonts w:hint="eastAsia" w:ascii="方正楷体_GBK" w:hAnsi="方正楷体_GBK" w:eastAsia="方正楷体_GBK" w:cs="方正楷体_GBK"/>
          <w:b w:val="0"/>
          <w:sz w:val="32"/>
          <w:szCs w:val="32"/>
          <w:shd w:val="clear" w:color="auto" w:fill="FFFFFF"/>
        </w:rPr>
      </w:pPr>
      <w:r>
        <w:rPr>
          <w:rStyle w:val="20"/>
          <w:rFonts w:hint="eastAsia" w:ascii="方正楷体_GBK" w:hAnsi="方正楷体_GBK" w:eastAsia="方正楷体_GBK" w:cs="方正楷体_GBK"/>
          <w:b w:val="0"/>
          <w:sz w:val="32"/>
          <w:szCs w:val="32"/>
          <w:shd w:val="clear" w:color="auto" w:fill="FFFFFF"/>
        </w:rPr>
        <w:t>（一）收入支出决算总体情况说明</w:t>
      </w:r>
    </w:p>
    <w:p>
      <w:pPr>
        <w:pStyle w:val="19"/>
        <w:autoSpaceDE w:val="0"/>
        <w:spacing w:beforeAutospacing="0" w:afterAutospacing="0" w:line="579" w:lineRule="exact"/>
        <w:ind w:firstLine="640" w:firstLineChars="200"/>
        <w:rPr>
          <w:rFonts w:hint="default" w:ascii="Times New Roman" w:hAnsi="Times New Roman" w:eastAsia="方正仿宋_GBK"/>
          <w:sz w:val="32"/>
          <w:szCs w:val="32"/>
          <w:shd w:val="clear" w:color="auto" w:fill="FFFFFF"/>
          <w:lang w:bidi="ar"/>
        </w:rPr>
      </w:pPr>
      <w:r>
        <w:rPr>
          <w:rFonts w:ascii="Times New Roman" w:hAnsi="Times New Roman" w:eastAsia="方正仿宋_GBK"/>
          <w:sz w:val="32"/>
          <w:szCs w:val="32"/>
          <w:shd w:val="clear" w:color="auto" w:fill="FFFFFF"/>
          <w:lang w:bidi="ar"/>
        </w:rPr>
        <w:t>1.总体情况。2022年度收入总计872.26万元，支出总计872.26万元。收支较上年决算数减少168.79万元,下降16.2%，主要原因是项目经费减少</w:t>
      </w:r>
      <w:r>
        <w:rPr>
          <w:rFonts w:hint="default" w:ascii="Times New Roman" w:hAnsi="Times New Roman" w:eastAsia="方正仿宋_GBK"/>
          <w:sz w:val="32"/>
          <w:szCs w:val="32"/>
          <w:shd w:val="clear" w:color="auto" w:fill="FFFFFF"/>
          <w:lang w:bidi="ar"/>
        </w:rPr>
        <w:t>,</w:t>
      </w:r>
      <w:r>
        <w:rPr>
          <w:rFonts w:ascii="Times New Roman" w:hAnsi="Times New Roman" w:eastAsia="方正仿宋_GBK"/>
          <w:sz w:val="32"/>
          <w:szCs w:val="32"/>
          <w:shd w:val="clear" w:color="auto" w:fill="FFFFFF"/>
          <w:lang w:bidi="ar"/>
        </w:rPr>
        <w:t>公用经费减少。</w:t>
      </w:r>
    </w:p>
    <w:p>
      <w:pPr>
        <w:pStyle w:val="19"/>
        <w:autoSpaceDE w:val="0"/>
        <w:spacing w:beforeAutospacing="0" w:afterAutospacing="0" w:line="579" w:lineRule="exact"/>
        <w:ind w:firstLine="640" w:firstLineChars="200"/>
        <w:rPr>
          <w:rFonts w:hint="default" w:ascii="Times New Roman" w:hAnsi="Times New Roman" w:eastAsia="方正仿宋_GBK"/>
          <w:sz w:val="32"/>
          <w:szCs w:val="32"/>
          <w:shd w:val="clear" w:color="auto" w:fill="FFFFFF"/>
          <w:lang w:bidi="ar"/>
        </w:rPr>
      </w:pPr>
      <w:r>
        <w:rPr>
          <w:rFonts w:ascii="Times New Roman" w:hAnsi="Times New Roman" w:eastAsia="方正仿宋_GBK"/>
          <w:sz w:val="32"/>
          <w:szCs w:val="32"/>
          <w:shd w:val="clear" w:color="auto" w:fill="FFFFFF"/>
          <w:lang w:bidi="ar"/>
        </w:rPr>
        <w:t>2.收入情况。2022年度收入合计872.26万元，较上年决算数减少168.79万元，下降16.2%，主要原因是项目经费减少</w:t>
      </w:r>
      <w:r>
        <w:rPr>
          <w:rFonts w:hint="default" w:ascii="Times New Roman" w:hAnsi="Times New Roman" w:eastAsia="方正仿宋_GBK"/>
          <w:sz w:val="32"/>
          <w:szCs w:val="32"/>
          <w:shd w:val="clear" w:color="auto" w:fill="FFFFFF"/>
          <w:lang w:bidi="ar"/>
        </w:rPr>
        <w:t>,</w:t>
      </w:r>
      <w:r>
        <w:rPr>
          <w:rFonts w:ascii="Times New Roman" w:hAnsi="Times New Roman" w:eastAsia="方正仿宋_GBK"/>
          <w:sz w:val="32"/>
          <w:szCs w:val="32"/>
          <w:shd w:val="clear" w:color="auto" w:fill="FFFFFF"/>
          <w:lang w:bidi="ar"/>
        </w:rPr>
        <w:t>公用经费减少。其中：财政拨款收入861.56万元，占98.8%；事业收入10.70万元，占1.2%；经营收入0.00万元，占0%；其他收入0.00万元，占0%。此外，使用非财政拨款结余0.00万元，年初结转和结余0.00万元。</w:t>
      </w:r>
    </w:p>
    <w:p>
      <w:pPr>
        <w:pStyle w:val="19"/>
        <w:autoSpaceDE w:val="0"/>
        <w:spacing w:beforeAutospacing="0" w:afterAutospacing="0" w:line="579" w:lineRule="exact"/>
        <w:ind w:firstLine="640" w:firstLineChars="200"/>
        <w:rPr>
          <w:rFonts w:hint="default" w:ascii="Times New Roman" w:hAnsi="Times New Roman" w:eastAsia="方正仿宋_GBK"/>
          <w:sz w:val="32"/>
          <w:szCs w:val="32"/>
          <w:shd w:val="clear" w:color="auto" w:fill="FFFFFF"/>
          <w:lang w:bidi="ar"/>
        </w:rPr>
      </w:pPr>
      <w:r>
        <w:rPr>
          <w:rFonts w:ascii="Times New Roman" w:hAnsi="Times New Roman" w:eastAsia="方正仿宋_GBK"/>
          <w:sz w:val="32"/>
          <w:szCs w:val="32"/>
          <w:shd w:val="clear" w:color="auto" w:fill="FFFFFF"/>
          <w:lang w:bidi="ar"/>
        </w:rPr>
        <w:t>3.支出情况。2022年度支出合计872.26万元，较上年决算减少168.79万元，下降16.2%，主要原因是项目经费减少</w:t>
      </w:r>
      <w:r>
        <w:rPr>
          <w:rFonts w:hint="default" w:ascii="Times New Roman" w:hAnsi="Times New Roman" w:eastAsia="方正仿宋_GBK"/>
          <w:sz w:val="32"/>
          <w:szCs w:val="32"/>
          <w:shd w:val="clear" w:color="auto" w:fill="FFFFFF"/>
          <w:lang w:bidi="ar"/>
        </w:rPr>
        <w:t>,</w:t>
      </w:r>
      <w:r>
        <w:rPr>
          <w:rFonts w:ascii="Times New Roman" w:hAnsi="Times New Roman" w:eastAsia="方正仿宋_GBK"/>
          <w:sz w:val="32"/>
          <w:szCs w:val="32"/>
          <w:shd w:val="clear" w:color="auto" w:fill="FFFFFF"/>
          <w:lang w:bidi="ar"/>
        </w:rPr>
        <w:t>公用经费减少。其中：基本支出748.31万元，占85.8%；项目支出123.95万元，占14.2%；经营支出0.00万元，占0%。此外，结余分配0.00万元。</w:t>
      </w:r>
    </w:p>
    <w:p>
      <w:pPr>
        <w:pStyle w:val="19"/>
        <w:autoSpaceDE w:val="0"/>
        <w:spacing w:beforeAutospacing="0" w:afterAutospacing="0" w:line="579" w:lineRule="exact"/>
        <w:ind w:firstLine="640" w:firstLineChars="200"/>
        <w:rPr>
          <w:rFonts w:hint="default" w:ascii="Times New Roman" w:hAnsi="Times New Roman" w:eastAsia="方正仿宋_GBK"/>
          <w:sz w:val="32"/>
          <w:szCs w:val="32"/>
          <w:shd w:val="clear" w:color="auto" w:fill="FFFFFF"/>
          <w:lang w:bidi="ar"/>
        </w:rPr>
      </w:pPr>
      <w:r>
        <w:rPr>
          <w:rFonts w:ascii="Times New Roman" w:hAnsi="Times New Roman" w:eastAsia="方正仿宋_GBK"/>
          <w:sz w:val="32"/>
          <w:szCs w:val="32"/>
          <w:shd w:val="clear" w:color="auto" w:fill="FFFFFF"/>
          <w:lang w:bidi="ar"/>
        </w:rPr>
        <w:t>4.结转结余情况。2022年度年末结转和结余0.00万元，较上年决算数增加0.00万元，增长0%，主要原因是本年年末没有结转和结余。</w:t>
      </w:r>
    </w:p>
    <w:p>
      <w:pPr>
        <w:pStyle w:val="19"/>
        <w:autoSpaceDE w:val="0"/>
        <w:spacing w:beforeAutospacing="0" w:afterAutospacing="0" w:line="579" w:lineRule="exact"/>
        <w:ind w:firstLine="640" w:firstLineChars="200"/>
        <w:rPr>
          <w:rStyle w:val="20"/>
          <w:rFonts w:hint="eastAsia" w:ascii="方正楷体_GBK" w:hAnsi="方正楷体_GBK" w:eastAsia="方正楷体_GBK" w:cs="方正楷体_GBK"/>
          <w:b w:val="0"/>
          <w:sz w:val="32"/>
          <w:szCs w:val="32"/>
          <w:shd w:val="clear" w:color="auto" w:fill="FFFFFF"/>
        </w:rPr>
      </w:pPr>
      <w:r>
        <w:rPr>
          <w:rStyle w:val="20"/>
          <w:rFonts w:hint="eastAsia" w:ascii="方正楷体_GBK" w:hAnsi="方正楷体_GBK" w:eastAsia="方正楷体_GBK" w:cs="方正楷体_GBK"/>
          <w:b w:val="0"/>
          <w:sz w:val="32"/>
          <w:szCs w:val="32"/>
          <w:shd w:val="clear" w:color="auto" w:fill="FFFFFF"/>
        </w:rPr>
        <w:t>（二）财政拨款收入支出决算总体情况说明</w:t>
      </w:r>
    </w:p>
    <w:p>
      <w:pPr>
        <w:pStyle w:val="19"/>
        <w:autoSpaceDE w:val="0"/>
        <w:spacing w:beforeAutospacing="0" w:afterAutospacing="0" w:line="579" w:lineRule="exact"/>
        <w:ind w:firstLine="640" w:firstLineChars="200"/>
        <w:rPr>
          <w:rFonts w:hint="default" w:ascii="Times New Roman" w:hAnsi="Times New Roman" w:eastAsia="方正仿宋_GBK"/>
          <w:sz w:val="32"/>
          <w:szCs w:val="32"/>
          <w:shd w:val="clear" w:color="auto" w:fill="FFFFFF"/>
          <w:lang w:bidi="ar"/>
        </w:rPr>
      </w:pPr>
      <w:r>
        <w:rPr>
          <w:rFonts w:ascii="Times New Roman" w:hAnsi="Times New Roman" w:eastAsia="方正仿宋_GBK"/>
          <w:sz w:val="32"/>
          <w:szCs w:val="32"/>
          <w:shd w:val="clear" w:color="auto" w:fill="FFFFFF"/>
          <w:lang w:bidi="ar"/>
        </w:rPr>
        <w:t>2022年度财政拨款收、支总计861.56万元。与2021年相比，财政拨款收、支总计各减少146.59万元，下降14.5%。主要原因是项目经费减少</w:t>
      </w:r>
      <w:r>
        <w:rPr>
          <w:rFonts w:hint="default" w:ascii="Times New Roman" w:hAnsi="Times New Roman" w:eastAsia="方正仿宋_GBK"/>
          <w:sz w:val="32"/>
          <w:szCs w:val="32"/>
          <w:shd w:val="clear" w:color="auto" w:fill="FFFFFF"/>
          <w:lang w:bidi="ar"/>
        </w:rPr>
        <w:t>,</w:t>
      </w:r>
      <w:r>
        <w:rPr>
          <w:rFonts w:ascii="Times New Roman" w:hAnsi="Times New Roman" w:eastAsia="方正仿宋_GBK"/>
          <w:sz w:val="32"/>
          <w:szCs w:val="32"/>
          <w:shd w:val="clear" w:color="auto" w:fill="FFFFFF"/>
          <w:lang w:bidi="ar"/>
        </w:rPr>
        <w:t>公用经费减少。</w:t>
      </w:r>
    </w:p>
    <w:p>
      <w:pPr>
        <w:pStyle w:val="19"/>
        <w:autoSpaceDE w:val="0"/>
        <w:spacing w:beforeAutospacing="0" w:afterAutospacing="0" w:line="579" w:lineRule="exact"/>
        <w:ind w:firstLine="640" w:firstLineChars="200"/>
        <w:rPr>
          <w:rStyle w:val="20"/>
          <w:rFonts w:hint="eastAsia" w:ascii="方正楷体_GBK" w:hAnsi="方正楷体_GBK" w:eastAsia="方正楷体_GBK" w:cs="方正楷体_GBK"/>
          <w:b w:val="0"/>
          <w:sz w:val="32"/>
          <w:szCs w:val="32"/>
          <w:shd w:val="clear" w:color="auto" w:fill="FFFFFF"/>
        </w:rPr>
      </w:pPr>
      <w:r>
        <w:rPr>
          <w:rStyle w:val="20"/>
          <w:rFonts w:hint="eastAsia" w:ascii="方正楷体_GBK" w:hAnsi="方正楷体_GBK" w:eastAsia="方正楷体_GBK" w:cs="方正楷体_GBK"/>
          <w:b w:val="0"/>
          <w:sz w:val="32"/>
          <w:szCs w:val="32"/>
          <w:shd w:val="clear" w:color="auto" w:fill="FFFFFF"/>
        </w:rPr>
        <w:t>（三）一般公共预算财政拨款收入支出决算情况说明</w:t>
      </w:r>
    </w:p>
    <w:p>
      <w:pPr>
        <w:pStyle w:val="19"/>
        <w:autoSpaceDE w:val="0"/>
        <w:spacing w:beforeAutospacing="0" w:afterAutospacing="0" w:line="579" w:lineRule="exact"/>
        <w:ind w:firstLine="640" w:firstLineChars="200"/>
        <w:rPr>
          <w:rFonts w:hint="default" w:ascii="Times New Roman" w:hAnsi="Times New Roman" w:eastAsia="方正仿宋_GBK"/>
          <w:sz w:val="32"/>
          <w:szCs w:val="32"/>
          <w:shd w:val="clear" w:color="auto" w:fill="FFFFFF"/>
          <w:lang w:bidi="ar"/>
        </w:rPr>
      </w:pPr>
      <w:r>
        <w:rPr>
          <w:rFonts w:ascii="Times New Roman" w:hAnsi="Times New Roman" w:eastAsia="方正仿宋_GBK"/>
          <w:sz w:val="32"/>
          <w:szCs w:val="32"/>
          <w:shd w:val="clear" w:color="auto" w:fill="FFFFFF"/>
          <w:lang w:bidi="ar"/>
        </w:rPr>
        <w:t>1.收入情况。2022年度一般公共预算财政拨款收入861.56万元，较上年决算数减少145.09万元，下降14.4%。主要原因是项目经费减少</w:t>
      </w:r>
      <w:r>
        <w:rPr>
          <w:rFonts w:hint="default" w:ascii="Times New Roman" w:hAnsi="Times New Roman" w:eastAsia="方正仿宋_GBK"/>
          <w:sz w:val="32"/>
          <w:szCs w:val="32"/>
          <w:shd w:val="clear" w:color="auto" w:fill="FFFFFF"/>
          <w:lang w:bidi="ar"/>
        </w:rPr>
        <w:t>,</w:t>
      </w:r>
      <w:r>
        <w:rPr>
          <w:rFonts w:ascii="Times New Roman" w:hAnsi="Times New Roman" w:eastAsia="方正仿宋_GBK"/>
          <w:sz w:val="32"/>
          <w:szCs w:val="32"/>
          <w:shd w:val="clear" w:color="auto" w:fill="FFFFFF"/>
          <w:lang w:bidi="ar"/>
        </w:rPr>
        <w:t>公用经费减少。较年初预算数增加97.31万元，增长12.7%。主要原因是追加安排工资福利支出、助学金支出等。此外，年初财政拨款结转和结余0.00万元。</w:t>
      </w:r>
    </w:p>
    <w:p>
      <w:pPr>
        <w:pStyle w:val="19"/>
        <w:autoSpaceDE w:val="0"/>
        <w:spacing w:beforeAutospacing="0" w:afterAutospacing="0" w:line="579" w:lineRule="exact"/>
        <w:ind w:firstLine="640" w:firstLineChars="200"/>
        <w:rPr>
          <w:rFonts w:hint="default" w:ascii="Times New Roman" w:hAnsi="Times New Roman" w:eastAsia="方正仿宋_GBK"/>
          <w:sz w:val="32"/>
          <w:szCs w:val="32"/>
          <w:shd w:val="clear" w:color="auto" w:fill="FFFFFF"/>
          <w:lang w:bidi="ar"/>
        </w:rPr>
      </w:pPr>
      <w:r>
        <w:rPr>
          <w:rFonts w:ascii="Times New Roman" w:hAnsi="Times New Roman" w:eastAsia="方正仿宋_GBK"/>
          <w:sz w:val="32"/>
          <w:szCs w:val="32"/>
          <w:shd w:val="clear" w:color="auto" w:fill="FFFFFF"/>
          <w:lang w:bidi="ar"/>
        </w:rPr>
        <w:t>2.支出情况。2022年度一般公共预算财政拨款支出861.56万元，较上年决算数减少145.09万元，下降14.4%。主要原因是项目经费减少</w:t>
      </w:r>
      <w:r>
        <w:rPr>
          <w:rFonts w:hint="default" w:ascii="Times New Roman" w:hAnsi="Times New Roman" w:eastAsia="方正仿宋_GBK"/>
          <w:sz w:val="32"/>
          <w:szCs w:val="32"/>
          <w:shd w:val="clear" w:color="auto" w:fill="FFFFFF"/>
          <w:lang w:bidi="ar"/>
        </w:rPr>
        <w:t>,</w:t>
      </w:r>
      <w:r>
        <w:rPr>
          <w:rFonts w:ascii="Times New Roman" w:hAnsi="Times New Roman" w:eastAsia="方正仿宋_GBK"/>
          <w:sz w:val="32"/>
          <w:szCs w:val="32"/>
          <w:shd w:val="clear" w:color="auto" w:fill="FFFFFF"/>
          <w:lang w:bidi="ar"/>
        </w:rPr>
        <w:t>公用经费减少。较年初预算数增加97.31万元，增长12.7%。主要原因是追加安排工资福利支出、助学金支出等。</w:t>
      </w:r>
    </w:p>
    <w:p>
      <w:pPr>
        <w:pStyle w:val="19"/>
        <w:autoSpaceDE w:val="0"/>
        <w:spacing w:beforeAutospacing="0" w:afterAutospacing="0" w:line="579" w:lineRule="exact"/>
        <w:ind w:firstLine="640" w:firstLineChars="200"/>
        <w:rPr>
          <w:rFonts w:hint="default" w:ascii="Times New Roman" w:hAnsi="Times New Roman" w:eastAsia="方正仿宋_GBK"/>
          <w:sz w:val="32"/>
          <w:szCs w:val="32"/>
          <w:shd w:val="clear" w:color="auto" w:fill="FFFFFF"/>
          <w:lang w:bidi="ar"/>
        </w:rPr>
      </w:pPr>
      <w:r>
        <w:rPr>
          <w:rFonts w:ascii="Times New Roman" w:hAnsi="Times New Roman" w:eastAsia="方正仿宋_GBK"/>
          <w:sz w:val="32"/>
          <w:szCs w:val="32"/>
          <w:shd w:val="clear" w:color="auto" w:fill="FFFFFF"/>
          <w:lang w:bidi="ar"/>
        </w:rPr>
        <w:t>3.结转结余情况。2022年度年末一般公共预算财政拨款结转和结余0.00万元，较上年决算数增加0.00万元，增长0%，主要原因是本年年末没有结转和结余。</w:t>
      </w:r>
    </w:p>
    <w:p>
      <w:pPr>
        <w:pStyle w:val="19"/>
        <w:autoSpaceDE w:val="0"/>
        <w:spacing w:beforeAutospacing="0" w:afterAutospacing="0" w:line="579" w:lineRule="exact"/>
        <w:ind w:firstLine="640" w:firstLineChars="200"/>
        <w:rPr>
          <w:rFonts w:hint="default" w:ascii="Times New Roman" w:hAnsi="Times New Roman" w:eastAsia="方正仿宋_GBK"/>
          <w:sz w:val="32"/>
          <w:szCs w:val="32"/>
          <w:shd w:val="clear" w:color="auto" w:fill="FFFFFF"/>
          <w:lang w:bidi="ar"/>
        </w:rPr>
      </w:pPr>
      <w:r>
        <w:rPr>
          <w:rFonts w:ascii="Times New Roman" w:hAnsi="Times New Roman" w:eastAsia="方正仿宋_GBK"/>
          <w:sz w:val="32"/>
          <w:szCs w:val="32"/>
          <w:shd w:val="clear" w:color="auto" w:fill="FFFFFF"/>
          <w:lang w:bidi="ar"/>
        </w:rPr>
        <w:t>4.比较情况。本部门2022年度一般公共预算财政拨款支出主要用于以下几个方面：</w:t>
      </w:r>
    </w:p>
    <w:p>
      <w:pPr>
        <w:pStyle w:val="19"/>
        <w:autoSpaceDE w:val="0"/>
        <w:spacing w:beforeAutospacing="0" w:afterAutospacing="0" w:line="579" w:lineRule="exact"/>
        <w:ind w:firstLine="640" w:firstLineChars="200"/>
        <w:rPr>
          <w:rFonts w:hint="default" w:ascii="Times New Roman" w:hAnsi="Times New Roman" w:eastAsia="方正仿宋_GBK"/>
          <w:sz w:val="32"/>
          <w:szCs w:val="32"/>
          <w:shd w:val="clear" w:color="auto" w:fill="FFFFFF"/>
          <w:lang w:bidi="ar"/>
        </w:rPr>
      </w:pPr>
      <w:r>
        <w:rPr>
          <w:rFonts w:ascii="Times New Roman" w:hAnsi="Times New Roman" w:eastAsia="方正仿宋_GBK"/>
          <w:sz w:val="32"/>
          <w:szCs w:val="32"/>
          <w:shd w:val="clear" w:color="auto" w:fill="FFFFFF"/>
          <w:lang w:bidi="ar"/>
        </w:rPr>
        <w:t>（1）一般公共服务支出3.20万元，占0.4%，较年初预算数增加0.00万元，增长0%，主要原因是本年没有增加一般公共服务预算支出。</w:t>
      </w:r>
    </w:p>
    <w:p>
      <w:pPr>
        <w:pStyle w:val="19"/>
        <w:autoSpaceDE w:val="0"/>
        <w:spacing w:beforeAutospacing="0" w:afterAutospacing="0" w:line="579" w:lineRule="exact"/>
        <w:ind w:firstLine="640" w:firstLineChars="200"/>
        <w:rPr>
          <w:rFonts w:hint="default" w:ascii="Times New Roman" w:hAnsi="Times New Roman" w:eastAsia="方正仿宋_GBK"/>
          <w:sz w:val="32"/>
          <w:szCs w:val="32"/>
          <w:shd w:val="clear" w:color="auto" w:fill="FFFFFF"/>
          <w:lang w:bidi="ar"/>
        </w:rPr>
      </w:pPr>
      <w:r>
        <w:rPr>
          <w:rFonts w:ascii="Times New Roman" w:hAnsi="Times New Roman" w:eastAsia="方正仿宋_GBK"/>
          <w:sz w:val="32"/>
          <w:szCs w:val="32"/>
          <w:shd w:val="clear" w:color="auto" w:fill="FFFFFF"/>
          <w:lang w:bidi="ar"/>
        </w:rPr>
        <w:t>（</w:t>
      </w:r>
      <w:r>
        <w:rPr>
          <w:rFonts w:hint="default" w:ascii="Times New Roman" w:hAnsi="Times New Roman" w:eastAsia="方正仿宋_GBK"/>
          <w:sz w:val="32"/>
          <w:szCs w:val="32"/>
          <w:shd w:val="clear" w:color="auto" w:fill="FFFFFF"/>
          <w:lang w:bidi="ar"/>
        </w:rPr>
        <w:t>2</w:t>
      </w:r>
      <w:r>
        <w:rPr>
          <w:rFonts w:ascii="Times New Roman" w:hAnsi="Times New Roman" w:eastAsia="方正仿宋_GBK"/>
          <w:sz w:val="32"/>
          <w:szCs w:val="32"/>
          <w:shd w:val="clear" w:color="auto" w:fill="FFFFFF"/>
          <w:lang w:bidi="ar"/>
        </w:rPr>
        <w:t>）教育支出710.44万元，占82.5%，较年初预算数增加97.30，增长15.9%，主要原因是在职人员工资福利及社会保险缴费，离休人员离休费，退休人员补助等，保障部门正常运转的各项商品服务支出。</w:t>
      </w:r>
    </w:p>
    <w:p>
      <w:pPr>
        <w:pStyle w:val="19"/>
        <w:autoSpaceDE w:val="0"/>
        <w:spacing w:beforeAutospacing="0" w:afterAutospacing="0" w:line="579" w:lineRule="exact"/>
        <w:ind w:firstLine="640" w:firstLineChars="200"/>
        <w:rPr>
          <w:rFonts w:hint="default" w:ascii="Times New Roman" w:hAnsi="Times New Roman" w:eastAsia="方正仿宋_GBK"/>
          <w:sz w:val="32"/>
          <w:szCs w:val="32"/>
          <w:shd w:val="clear" w:color="auto" w:fill="FFFFFF"/>
          <w:lang w:bidi="ar"/>
        </w:rPr>
      </w:pPr>
      <w:r>
        <w:rPr>
          <w:rFonts w:ascii="Times New Roman" w:hAnsi="Times New Roman" w:eastAsia="方正仿宋_GBK"/>
          <w:sz w:val="32"/>
          <w:szCs w:val="32"/>
          <w:shd w:val="clear" w:color="auto" w:fill="FFFFFF"/>
          <w:lang w:bidi="ar"/>
        </w:rPr>
        <w:t>（3）社会保障与就业支出76.67万元，占8.9%，较年初预算数增加0.00万元，增长0%，主要原因是在职人员社会保险缴费比例提高和退休教师健康休养费。</w:t>
      </w:r>
    </w:p>
    <w:p>
      <w:pPr>
        <w:pStyle w:val="19"/>
        <w:autoSpaceDE w:val="0"/>
        <w:spacing w:beforeAutospacing="0" w:afterAutospacing="0" w:line="579" w:lineRule="exact"/>
        <w:ind w:firstLine="640" w:firstLineChars="200"/>
        <w:rPr>
          <w:rFonts w:hint="default" w:ascii="Times New Roman" w:hAnsi="Times New Roman" w:eastAsia="方正仿宋_GBK"/>
          <w:sz w:val="32"/>
          <w:szCs w:val="32"/>
          <w:shd w:val="clear" w:color="auto" w:fill="FFFFFF"/>
          <w:lang w:bidi="ar"/>
        </w:rPr>
      </w:pPr>
      <w:r>
        <w:rPr>
          <w:rFonts w:ascii="Times New Roman" w:hAnsi="Times New Roman" w:eastAsia="方正仿宋_GBK"/>
          <w:sz w:val="32"/>
          <w:szCs w:val="32"/>
          <w:shd w:val="clear" w:color="auto" w:fill="FFFFFF"/>
          <w:lang w:bidi="ar"/>
        </w:rPr>
        <w:t>（4）卫生健康支出32.90万元，占3.8%，较年初预算数增加0.00万元，增长0%，主要原因是主要原因是在职人员社会保险缴费比例提高。</w:t>
      </w:r>
    </w:p>
    <w:p>
      <w:pPr>
        <w:pStyle w:val="19"/>
        <w:autoSpaceDE w:val="0"/>
        <w:spacing w:beforeAutospacing="0" w:afterAutospacing="0" w:line="579" w:lineRule="exact"/>
        <w:ind w:firstLine="640" w:firstLineChars="200"/>
        <w:rPr>
          <w:rFonts w:hint="default" w:ascii="Times New Roman" w:hAnsi="Times New Roman" w:eastAsia="方正仿宋_GBK"/>
          <w:sz w:val="32"/>
          <w:szCs w:val="32"/>
          <w:shd w:val="clear" w:color="auto" w:fill="FFFFFF"/>
          <w:lang w:bidi="ar"/>
        </w:rPr>
      </w:pPr>
      <w:r>
        <w:rPr>
          <w:rFonts w:ascii="Times New Roman" w:hAnsi="Times New Roman" w:eastAsia="方正仿宋_GBK"/>
          <w:sz w:val="32"/>
          <w:szCs w:val="32"/>
          <w:shd w:val="clear" w:color="auto" w:fill="FFFFFF"/>
          <w:lang w:bidi="ar"/>
        </w:rPr>
        <w:t>（5）住房保障支出38.34万元，占4.5%，较年初预算数增加0.00万元，增长0%，主要原因是主要原因是在职人员住房公积金缴费比例提高。</w:t>
      </w:r>
    </w:p>
    <w:p>
      <w:pPr>
        <w:pStyle w:val="19"/>
        <w:autoSpaceDE w:val="0"/>
        <w:spacing w:beforeAutospacing="0" w:afterAutospacing="0" w:line="579" w:lineRule="exact"/>
        <w:ind w:firstLine="640" w:firstLineChars="200"/>
        <w:rPr>
          <w:rStyle w:val="20"/>
          <w:rFonts w:hint="eastAsia" w:ascii="方正楷体_GBK" w:hAnsi="方正楷体_GBK" w:eastAsia="方正楷体_GBK" w:cs="方正楷体_GBK"/>
          <w:b w:val="0"/>
          <w:sz w:val="32"/>
          <w:szCs w:val="32"/>
          <w:shd w:val="clear" w:color="auto" w:fill="FFFFFF"/>
        </w:rPr>
      </w:pPr>
      <w:r>
        <w:rPr>
          <w:rStyle w:val="20"/>
          <w:rFonts w:hint="eastAsia" w:ascii="方正楷体_GBK" w:hAnsi="方正楷体_GBK" w:eastAsia="方正楷体_GBK" w:cs="方正楷体_GBK"/>
          <w:b w:val="0"/>
          <w:sz w:val="32"/>
          <w:szCs w:val="32"/>
          <w:shd w:val="clear" w:color="auto" w:fill="FFFFFF"/>
        </w:rPr>
        <w:t>（四）一般公共预算财政拨款基本支出决算情况说明</w:t>
      </w:r>
    </w:p>
    <w:p>
      <w:pPr>
        <w:pStyle w:val="19"/>
        <w:autoSpaceDE w:val="0"/>
        <w:spacing w:beforeAutospacing="0" w:afterAutospacing="0" w:line="579" w:lineRule="exact"/>
        <w:ind w:firstLine="640" w:firstLineChars="200"/>
        <w:rPr>
          <w:rFonts w:hint="default" w:ascii="Times New Roman" w:hAnsi="Times New Roman" w:eastAsia="方正仿宋_GBK"/>
          <w:sz w:val="32"/>
          <w:szCs w:val="32"/>
          <w:shd w:val="clear" w:color="auto" w:fill="FFFFFF"/>
          <w:lang w:bidi="ar"/>
        </w:rPr>
      </w:pPr>
      <w:r>
        <w:rPr>
          <w:rFonts w:ascii="Times New Roman" w:hAnsi="Times New Roman" w:eastAsia="方正仿宋_GBK"/>
          <w:sz w:val="32"/>
          <w:szCs w:val="32"/>
          <w:shd w:val="clear" w:color="auto" w:fill="FFFFFF"/>
          <w:lang w:bidi="ar"/>
        </w:rPr>
        <w:t>2022年度一般公共预算财政拨款基本支出737.60万元。其中：人员经费658.47万元，较上年决算数减少171.40万元，下降20.7%，主要原因是项目经费减少</w:t>
      </w:r>
      <w:r>
        <w:rPr>
          <w:rFonts w:hint="default" w:ascii="Times New Roman" w:hAnsi="Times New Roman" w:eastAsia="方正仿宋_GBK"/>
          <w:sz w:val="32"/>
          <w:szCs w:val="32"/>
          <w:shd w:val="clear" w:color="auto" w:fill="FFFFFF"/>
          <w:lang w:bidi="ar"/>
        </w:rPr>
        <w:t>,</w:t>
      </w:r>
      <w:r>
        <w:rPr>
          <w:rFonts w:ascii="Times New Roman" w:hAnsi="Times New Roman" w:eastAsia="方正仿宋_GBK"/>
          <w:sz w:val="32"/>
          <w:szCs w:val="32"/>
          <w:shd w:val="clear" w:color="auto" w:fill="FFFFFF"/>
          <w:lang w:bidi="ar"/>
        </w:rPr>
        <w:t>公用经费减少。人员经费用途主要包括人员经费用途主要包括基本工资、津贴补贴、绩效工资、社会保障缴费等。公用经费79.14万元，较上年决算数减少2.47万元，下降3%，主要原因是项目经费减少</w:t>
      </w:r>
      <w:r>
        <w:rPr>
          <w:rFonts w:hint="default" w:ascii="Times New Roman" w:hAnsi="Times New Roman" w:eastAsia="方正仿宋_GBK"/>
          <w:sz w:val="32"/>
          <w:szCs w:val="32"/>
          <w:shd w:val="clear" w:color="auto" w:fill="FFFFFF"/>
          <w:lang w:bidi="ar"/>
        </w:rPr>
        <w:t>,</w:t>
      </w:r>
      <w:r>
        <w:rPr>
          <w:rFonts w:ascii="Times New Roman" w:hAnsi="Times New Roman" w:eastAsia="方正仿宋_GBK"/>
          <w:sz w:val="32"/>
          <w:szCs w:val="32"/>
          <w:shd w:val="clear" w:color="auto" w:fill="FFFFFF"/>
          <w:lang w:bidi="ar"/>
        </w:rPr>
        <w:t>公用经费减少。公用经费用途主要包括办公费、水费、电费、邮电费、差旅费、维修费、培训费、工会费等。</w:t>
      </w:r>
    </w:p>
    <w:p>
      <w:pPr>
        <w:pStyle w:val="19"/>
        <w:autoSpaceDE w:val="0"/>
        <w:spacing w:beforeAutospacing="0" w:afterAutospacing="0" w:line="579" w:lineRule="exact"/>
        <w:ind w:firstLine="640" w:firstLineChars="200"/>
        <w:rPr>
          <w:rStyle w:val="20"/>
          <w:rFonts w:hint="eastAsia" w:ascii="方正楷体_GBK" w:hAnsi="方正楷体_GBK" w:eastAsia="方正楷体_GBK" w:cs="方正楷体_GBK"/>
          <w:b w:val="0"/>
          <w:sz w:val="32"/>
          <w:szCs w:val="32"/>
          <w:shd w:val="clear" w:color="auto" w:fill="FFFFFF"/>
        </w:rPr>
      </w:pPr>
      <w:r>
        <w:rPr>
          <w:rStyle w:val="20"/>
          <w:rFonts w:hint="eastAsia" w:ascii="方正楷体_GBK" w:hAnsi="方正楷体_GBK" w:eastAsia="方正楷体_GBK" w:cs="方正楷体_GBK"/>
          <w:b w:val="0"/>
          <w:sz w:val="32"/>
          <w:szCs w:val="32"/>
          <w:shd w:val="clear" w:color="auto" w:fill="FFFFFF"/>
        </w:rPr>
        <w:t>（五）政府性基金预算收支决算情况说明。</w:t>
      </w:r>
    </w:p>
    <w:p>
      <w:pPr>
        <w:pStyle w:val="19"/>
        <w:autoSpaceDE w:val="0"/>
        <w:spacing w:beforeAutospacing="0" w:afterAutospacing="0" w:line="579" w:lineRule="exact"/>
        <w:ind w:firstLine="640" w:firstLineChars="200"/>
        <w:rPr>
          <w:rFonts w:hint="default" w:ascii="Times New Roman" w:hAnsi="Times New Roman" w:eastAsia="方正仿宋_GBK"/>
          <w:sz w:val="32"/>
          <w:szCs w:val="32"/>
          <w:shd w:val="clear" w:color="auto" w:fill="FFFFFF"/>
          <w:lang w:bidi="ar"/>
        </w:rPr>
      </w:pPr>
      <w:r>
        <w:rPr>
          <w:rFonts w:ascii="Times New Roman" w:hAnsi="Times New Roman" w:eastAsia="方正仿宋_GBK"/>
          <w:sz w:val="32"/>
          <w:szCs w:val="32"/>
          <w:shd w:val="clear" w:color="auto" w:fill="FFFFFF"/>
          <w:lang w:bidi="ar"/>
        </w:rPr>
        <w:t>2022年度政府性基金预算财政拨款年初结转结余0.00万元，年末结转结余0.00万元。本年收入0.00万元，较上年决算数减少1.50万元，下降100%，主要原因是本部门2022年度无政府性基金预算财政拨款收支。本年支出0.00万元，较上年决算数减少1.50万元，下降100%，主要原因是本部门2022年度无政府性基金预算财政拨款收支。</w:t>
      </w:r>
    </w:p>
    <w:p>
      <w:pPr>
        <w:pStyle w:val="19"/>
        <w:autoSpaceDE w:val="0"/>
        <w:spacing w:beforeAutospacing="0" w:afterAutospacing="0" w:line="579" w:lineRule="exact"/>
        <w:ind w:firstLine="640" w:firstLineChars="200"/>
        <w:rPr>
          <w:rStyle w:val="20"/>
          <w:rFonts w:hint="eastAsia" w:ascii="方正楷体_GBK" w:hAnsi="方正楷体_GBK" w:eastAsia="方正楷体_GBK" w:cs="方正楷体_GBK"/>
          <w:b w:val="0"/>
          <w:sz w:val="32"/>
          <w:szCs w:val="32"/>
          <w:shd w:val="clear" w:color="auto" w:fill="FFFFFF"/>
        </w:rPr>
      </w:pPr>
      <w:r>
        <w:rPr>
          <w:rStyle w:val="20"/>
          <w:rFonts w:hint="eastAsia" w:ascii="方正楷体_GBK" w:hAnsi="方正楷体_GBK" w:eastAsia="方正楷体_GBK" w:cs="方正楷体_GBK"/>
          <w:b w:val="0"/>
          <w:sz w:val="32"/>
          <w:szCs w:val="32"/>
          <w:shd w:val="clear" w:color="auto" w:fill="FFFFFF"/>
        </w:rPr>
        <w:t>（六）国有资本经营预算财政拨款支出决算情况说明。</w:t>
      </w:r>
    </w:p>
    <w:p>
      <w:pPr>
        <w:pStyle w:val="19"/>
        <w:autoSpaceDE w:val="0"/>
        <w:spacing w:beforeAutospacing="0" w:afterAutospacing="0" w:line="579" w:lineRule="exact"/>
        <w:ind w:firstLine="640" w:firstLineChars="200"/>
        <w:rPr>
          <w:rFonts w:hint="default" w:ascii="Times New Roman" w:hAnsi="Times New Roman" w:eastAsia="方正仿宋_GBK"/>
          <w:sz w:val="32"/>
          <w:szCs w:val="32"/>
          <w:shd w:val="clear" w:color="auto" w:fill="FFFFFF"/>
          <w:lang w:bidi="ar"/>
        </w:rPr>
      </w:pPr>
      <w:r>
        <w:rPr>
          <w:rFonts w:ascii="Times New Roman" w:hAnsi="Times New Roman" w:eastAsia="方正仿宋_GBK"/>
          <w:sz w:val="32"/>
          <w:szCs w:val="32"/>
          <w:shd w:val="clear" w:color="auto" w:fill="FFFFFF"/>
          <w:lang w:bidi="ar"/>
        </w:rPr>
        <w:t>2022年度国有资本经营预算财政拨本年支出0.00万元，基本支出0.00万元，项目支出0.00万元，本部门2022年度无国有资本经营预算财政拨款支出。</w:t>
      </w:r>
    </w:p>
    <w:p>
      <w:pPr>
        <w:pStyle w:val="19"/>
        <w:autoSpaceDE w:val="0"/>
        <w:spacing w:beforeAutospacing="0" w:afterAutospacing="0" w:line="579" w:lineRule="exact"/>
        <w:ind w:firstLine="640" w:firstLineChars="200"/>
        <w:rPr>
          <w:rStyle w:val="20"/>
          <w:rFonts w:hint="eastAsia" w:ascii="方正黑体_GBK" w:hAnsi="方正黑体_GBK" w:eastAsia="方正黑体_GBK" w:cs="方正黑体_GBK"/>
          <w:b w:val="0"/>
          <w:sz w:val="32"/>
          <w:szCs w:val="32"/>
          <w:shd w:val="clear" w:color="auto" w:fill="FFFFFF"/>
        </w:rPr>
      </w:pPr>
      <w:r>
        <w:rPr>
          <w:rStyle w:val="20"/>
          <w:rFonts w:hint="eastAsia" w:ascii="方正黑体_GBK" w:hAnsi="方正黑体_GBK" w:eastAsia="方正黑体_GBK" w:cs="方正黑体_GBK"/>
          <w:b w:val="0"/>
          <w:sz w:val="32"/>
          <w:szCs w:val="32"/>
          <w:shd w:val="clear" w:color="auto" w:fill="FFFFFF"/>
        </w:rPr>
        <w:t>三、“三公”经费情况说明</w:t>
      </w:r>
    </w:p>
    <w:p>
      <w:pPr>
        <w:pStyle w:val="19"/>
        <w:autoSpaceDE w:val="0"/>
        <w:spacing w:beforeAutospacing="0" w:afterAutospacing="0" w:line="579" w:lineRule="exact"/>
        <w:ind w:firstLine="640" w:firstLineChars="200"/>
        <w:rPr>
          <w:rStyle w:val="20"/>
          <w:rFonts w:hint="eastAsia" w:ascii="方正楷体_GBK" w:hAnsi="方正楷体_GBK" w:eastAsia="方正楷体_GBK" w:cs="方正楷体_GBK"/>
          <w:b w:val="0"/>
          <w:sz w:val="32"/>
          <w:szCs w:val="32"/>
          <w:shd w:val="clear" w:color="auto" w:fill="FFFFFF"/>
        </w:rPr>
      </w:pPr>
      <w:r>
        <w:rPr>
          <w:rStyle w:val="20"/>
          <w:rFonts w:hint="eastAsia" w:ascii="方正楷体_GBK" w:hAnsi="方正楷体_GBK" w:eastAsia="方正楷体_GBK" w:cs="方正楷体_GBK"/>
          <w:b w:val="0"/>
          <w:sz w:val="32"/>
          <w:szCs w:val="32"/>
          <w:shd w:val="clear" w:color="auto" w:fill="FFFFFF"/>
        </w:rPr>
        <w:t>（一）“三公”经费支出总体情况说明</w:t>
      </w:r>
    </w:p>
    <w:p>
      <w:pPr>
        <w:pStyle w:val="19"/>
        <w:autoSpaceDE w:val="0"/>
        <w:spacing w:beforeAutospacing="0" w:afterAutospacing="0" w:line="579" w:lineRule="exact"/>
        <w:ind w:firstLine="640" w:firstLineChars="200"/>
        <w:rPr>
          <w:rFonts w:hint="default" w:ascii="Times New Roman" w:hAnsi="Times New Roman" w:eastAsia="方正仿宋_GBK"/>
          <w:sz w:val="32"/>
          <w:szCs w:val="32"/>
          <w:shd w:val="clear" w:color="auto" w:fill="FFFFFF"/>
          <w:lang w:bidi="ar"/>
        </w:rPr>
      </w:pPr>
      <w:r>
        <w:rPr>
          <w:rFonts w:ascii="Times New Roman" w:hAnsi="Times New Roman" w:eastAsia="方正仿宋_GBK"/>
          <w:sz w:val="32"/>
          <w:szCs w:val="32"/>
          <w:shd w:val="clear" w:color="auto" w:fill="FFFFFF"/>
          <w:lang w:bidi="ar"/>
        </w:rPr>
        <w:t>2022年度“三公”经费支出共计0.20万元，较年初预算数减少1.80万元，下降90%，主要原因是全年实际支出较预算和决算均有所下降。主要原因是认真贯彻落实中央八项规定精神，按照只减不增的要求从严控制“三公”经费，全年实际支出较预算和决算均有所下降。较上年支出数增加0.00万元，增长0%，主要原因是认真贯彻落实中央八项规定精神，按照只减不增的要求从严控制“三公”经费，全年实际支出较预算和决算均有所下降。</w:t>
      </w:r>
    </w:p>
    <w:p>
      <w:pPr>
        <w:pStyle w:val="19"/>
        <w:autoSpaceDE w:val="0"/>
        <w:spacing w:beforeAutospacing="0" w:afterAutospacing="0" w:line="579" w:lineRule="exact"/>
        <w:ind w:firstLine="640" w:firstLineChars="200"/>
        <w:rPr>
          <w:rStyle w:val="20"/>
          <w:rFonts w:hint="eastAsia" w:ascii="方正楷体_GBK" w:hAnsi="方正楷体_GBK" w:eastAsia="方正楷体_GBK" w:cs="方正楷体_GBK"/>
          <w:b w:val="0"/>
          <w:sz w:val="32"/>
          <w:szCs w:val="32"/>
          <w:shd w:val="clear" w:color="auto" w:fill="FFFFFF"/>
        </w:rPr>
      </w:pPr>
      <w:r>
        <w:rPr>
          <w:rStyle w:val="20"/>
          <w:rFonts w:hint="eastAsia" w:ascii="方正楷体_GBK" w:hAnsi="方正楷体_GBK" w:eastAsia="方正楷体_GBK" w:cs="方正楷体_GBK"/>
          <w:b w:val="0"/>
          <w:sz w:val="32"/>
          <w:szCs w:val="32"/>
          <w:shd w:val="clear" w:color="auto" w:fill="FFFFFF"/>
        </w:rPr>
        <w:t>（二）“三公”经费分项支出情况</w:t>
      </w:r>
    </w:p>
    <w:p>
      <w:pPr>
        <w:pStyle w:val="19"/>
        <w:autoSpaceDE w:val="0"/>
        <w:spacing w:beforeAutospacing="0" w:afterAutospacing="0" w:line="579" w:lineRule="exact"/>
        <w:ind w:firstLine="640" w:firstLineChars="200"/>
        <w:rPr>
          <w:rFonts w:hint="default" w:ascii="方正仿宋_GBK" w:hAnsi="方正仿宋_GBK" w:eastAsia="方正仿宋_GBK" w:cs="方正仿宋_GBK"/>
          <w:sz w:val="32"/>
          <w:szCs w:val="32"/>
        </w:rPr>
      </w:pPr>
      <w:r>
        <w:rPr>
          <w:rFonts w:ascii="Times New Roman" w:hAnsi="Times New Roman" w:eastAsia="方正仿宋_GBK"/>
          <w:sz w:val="32"/>
          <w:szCs w:val="32"/>
          <w:lang w:bidi="ar"/>
        </w:rPr>
        <w:t>2022年度本部门因公出国（境）费用0.00万元</w:t>
      </w:r>
      <w:r>
        <w:rPr>
          <w:rFonts w:ascii="方正仿宋_GBK" w:hAnsi="方正仿宋_GBK" w:eastAsia="方正仿宋_GBK" w:cs="方正仿宋_GBK"/>
          <w:sz w:val="32"/>
          <w:szCs w:val="32"/>
        </w:rPr>
        <w:t>。</w:t>
      </w:r>
    </w:p>
    <w:p>
      <w:pPr>
        <w:pStyle w:val="19"/>
        <w:autoSpaceDE w:val="0"/>
        <w:spacing w:beforeAutospacing="0" w:afterAutospacing="0" w:line="579" w:lineRule="exact"/>
        <w:ind w:firstLine="640" w:firstLineChars="200"/>
        <w:rPr>
          <w:rFonts w:hint="default" w:ascii="Times New Roman" w:hAnsi="Times New Roman" w:eastAsia="方正仿宋_GBK"/>
          <w:sz w:val="32"/>
          <w:szCs w:val="32"/>
          <w:lang w:bidi="ar"/>
        </w:rPr>
      </w:pPr>
      <w:r>
        <w:rPr>
          <w:rFonts w:ascii="Times New Roman" w:hAnsi="Times New Roman" w:eastAsia="方正仿宋_GBK"/>
          <w:sz w:val="32"/>
          <w:szCs w:val="32"/>
          <w:lang w:bidi="ar"/>
        </w:rPr>
        <w:t>公务车购置费0.00万元。</w:t>
      </w:r>
    </w:p>
    <w:p>
      <w:pPr>
        <w:pStyle w:val="19"/>
        <w:autoSpaceDE w:val="0"/>
        <w:spacing w:beforeAutospacing="0" w:afterAutospacing="0" w:line="579" w:lineRule="exact"/>
        <w:ind w:firstLine="640" w:firstLineChars="200"/>
        <w:rPr>
          <w:rFonts w:ascii="Times New Roman" w:hAnsi="Times New Roman" w:eastAsia="方正仿宋_GBK"/>
          <w:sz w:val="32"/>
          <w:szCs w:val="32"/>
          <w:shd w:val="clear" w:color="auto" w:fill="FFFFFF"/>
          <w:lang w:bidi="ar"/>
        </w:rPr>
      </w:pPr>
      <w:r>
        <w:rPr>
          <w:rFonts w:ascii="Times New Roman" w:hAnsi="Times New Roman" w:eastAsia="方正仿宋_GBK"/>
          <w:sz w:val="32"/>
          <w:szCs w:val="32"/>
          <w:lang w:bidi="ar"/>
        </w:rPr>
        <w:t>公务车运行维护费0.00万元。</w:t>
      </w:r>
    </w:p>
    <w:p>
      <w:pPr>
        <w:pStyle w:val="19"/>
        <w:autoSpaceDE w:val="0"/>
        <w:spacing w:beforeAutospacing="0" w:afterAutospacing="0" w:line="579" w:lineRule="exact"/>
        <w:ind w:firstLine="640" w:firstLineChars="200"/>
        <w:rPr>
          <w:rFonts w:hint="default" w:ascii="Times New Roman" w:hAnsi="Times New Roman" w:eastAsia="方正仿宋_GBK"/>
          <w:sz w:val="32"/>
          <w:szCs w:val="32"/>
          <w:shd w:val="clear" w:color="auto" w:fill="FFFFFF"/>
          <w:lang w:bidi="ar"/>
        </w:rPr>
      </w:pPr>
      <w:r>
        <w:rPr>
          <w:rFonts w:ascii="Times New Roman" w:hAnsi="Times New Roman" w:eastAsia="方正仿宋_GBK"/>
          <w:sz w:val="32"/>
          <w:szCs w:val="32"/>
          <w:shd w:val="clear" w:color="auto" w:fill="FFFFFF"/>
          <w:lang w:bidi="ar"/>
        </w:rPr>
        <w:t>公务接待费0.20万元，主要用于接待上级领队到我校参观和指导工作。费用支出较年初预算数减少1.80万元，下降90%，主要原因是认真贯彻落实中央八项规定精神，按照只减不增的要求从严控制“三公”经费，全年实际支出较预算和决算均有所下降。较上年支出数增加0.00万元，增长0%，主要原因是认真贯彻落实中央八项规定精神，按照只减不增的要求从严控制“三公”经费，全年实际支出较预算和决算均有所下降。</w:t>
      </w:r>
    </w:p>
    <w:p>
      <w:pPr>
        <w:pStyle w:val="19"/>
        <w:autoSpaceDE w:val="0"/>
        <w:spacing w:beforeAutospacing="0" w:afterAutospacing="0" w:line="579" w:lineRule="exact"/>
        <w:ind w:firstLine="640" w:firstLineChars="200"/>
        <w:rPr>
          <w:rStyle w:val="20"/>
          <w:rFonts w:hint="eastAsia" w:ascii="方正楷体_GBK" w:hAnsi="方正楷体_GBK" w:eastAsia="方正楷体_GBK" w:cs="方正楷体_GBK"/>
          <w:b w:val="0"/>
          <w:sz w:val="32"/>
          <w:szCs w:val="32"/>
          <w:shd w:val="clear" w:color="auto" w:fill="FFFFFF"/>
        </w:rPr>
      </w:pPr>
      <w:r>
        <w:rPr>
          <w:rStyle w:val="20"/>
          <w:rFonts w:hint="eastAsia" w:ascii="方正楷体_GBK" w:hAnsi="方正楷体_GBK" w:eastAsia="方正楷体_GBK" w:cs="方正楷体_GBK"/>
          <w:b w:val="0"/>
          <w:sz w:val="32"/>
          <w:szCs w:val="32"/>
          <w:shd w:val="clear" w:color="auto" w:fill="FFFFFF"/>
        </w:rPr>
        <w:t>（三）“三公”经费实物量情况</w:t>
      </w:r>
    </w:p>
    <w:p>
      <w:pPr>
        <w:pStyle w:val="19"/>
        <w:autoSpaceDE w:val="0"/>
        <w:spacing w:beforeAutospacing="0" w:afterAutospacing="0" w:line="579" w:lineRule="exact"/>
        <w:ind w:firstLine="640" w:firstLineChars="200"/>
        <w:rPr>
          <w:rFonts w:hint="default" w:ascii="Times New Roman" w:hAnsi="Times New Roman" w:eastAsia="方正仿宋_GBK"/>
          <w:sz w:val="32"/>
          <w:szCs w:val="32"/>
          <w:shd w:val="clear" w:color="auto" w:fill="FFFFFF"/>
          <w:lang w:bidi="ar"/>
        </w:rPr>
      </w:pPr>
      <w:r>
        <w:rPr>
          <w:rFonts w:ascii="Times New Roman" w:hAnsi="Times New Roman" w:eastAsia="方正仿宋_GBK"/>
          <w:sz w:val="32"/>
          <w:szCs w:val="32"/>
          <w:shd w:val="clear" w:color="auto" w:fill="FFFFFF"/>
          <w:lang w:bidi="ar"/>
        </w:rPr>
        <w:t>2022年度本部门因公出国（境）共计0个团组，0人；公务用车购置0辆，公务车保有量为0辆；国内公务接待18批次79人，其中：国内外事接待0批次，0人；国（境）外公务接待0批次，0人。2022年本部门人均接待费24.81元，车均购置费0.00万元，车均维护费0.00万元。</w:t>
      </w:r>
    </w:p>
    <w:p>
      <w:pPr>
        <w:pStyle w:val="19"/>
        <w:autoSpaceDE w:val="0"/>
        <w:spacing w:beforeAutospacing="0" w:afterAutospacing="0" w:line="579" w:lineRule="exact"/>
        <w:ind w:firstLine="640" w:firstLineChars="200"/>
        <w:rPr>
          <w:rStyle w:val="20"/>
          <w:rFonts w:hint="eastAsia" w:ascii="方正黑体_GBK" w:hAnsi="方正黑体_GBK" w:eastAsia="方正黑体_GBK" w:cs="方正黑体_GBK"/>
          <w:b w:val="0"/>
          <w:sz w:val="32"/>
          <w:szCs w:val="32"/>
          <w:shd w:val="clear" w:color="auto" w:fill="FFFFFF"/>
        </w:rPr>
      </w:pPr>
      <w:r>
        <w:rPr>
          <w:rStyle w:val="20"/>
          <w:rFonts w:hint="eastAsia" w:ascii="方正黑体_GBK" w:hAnsi="方正黑体_GBK" w:eastAsia="方正黑体_GBK" w:cs="方正黑体_GBK"/>
          <w:b w:val="0"/>
          <w:sz w:val="32"/>
          <w:szCs w:val="32"/>
          <w:shd w:val="clear" w:color="auto" w:fill="FFFFFF"/>
        </w:rPr>
        <w:t>四、其他需要说明的事项</w:t>
      </w:r>
    </w:p>
    <w:p>
      <w:pPr>
        <w:pStyle w:val="19"/>
        <w:autoSpaceDE w:val="0"/>
        <w:spacing w:beforeAutospacing="0" w:afterAutospacing="0" w:line="579" w:lineRule="exact"/>
        <w:ind w:firstLine="640" w:firstLineChars="200"/>
        <w:rPr>
          <w:rStyle w:val="20"/>
          <w:rFonts w:hint="eastAsia" w:ascii="方正楷体_GBK" w:hAnsi="方正楷体_GBK" w:eastAsia="方正楷体_GBK" w:cs="方正楷体_GBK"/>
          <w:b w:val="0"/>
          <w:sz w:val="32"/>
          <w:szCs w:val="32"/>
          <w:shd w:val="clear" w:color="auto" w:fill="FFFFFF"/>
        </w:rPr>
      </w:pPr>
      <w:r>
        <w:rPr>
          <w:rStyle w:val="20"/>
          <w:rFonts w:hint="eastAsia" w:ascii="方正楷体_GBK" w:hAnsi="方正楷体_GBK" w:eastAsia="方正楷体_GBK" w:cs="方正楷体_GBK"/>
          <w:b w:val="0"/>
          <w:sz w:val="32"/>
          <w:szCs w:val="32"/>
          <w:shd w:val="clear" w:color="auto" w:fill="FFFFFF"/>
        </w:rPr>
        <w:t>（一）财政拨款会议费和培训费情况说明</w:t>
      </w:r>
    </w:p>
    <w:p>
      <w:pPr>
        <w:pStyle w:val="19"/>
        <w:autoSpaceDE w:val="0"/>
        <w:spacing w:beforeAutospacing="0" w:afterAutospacing="0" w:line="579" w:lineRule="exact"/>
        <w:ind w:firstLine="640" w:firstLineChars="200"/>
        <w:rPr>
          <w:rFonts w:hint="default" w:ascii="Times New Roman" w:hAnsi="Times New Roman" w:eastAsia="方正仿宋_GBK"/>
          <w:sz w:val="32"/>
          <w:szCs w:val="32"/>
          <w:shd w:val="clear" w:color="auto" w:fill="FFFFFF"/>
          <w:lang w:bidi="ar"/>
        </w:rPr>
      </w:pPr>
      <w:r>
        <w:rPr>
          <w:rFonts w:ascii="Times New Roman" w:hAnsi="Times New Roman" w:eastAsia="方正仿宋_GBK"/>
          <w:sz w:val="32"/>
          <w:szCs w:val="32"/>
          <w:shd w:val="clear" w:color="auto" w:fill="FFFFFF"/>
          <w:lang w:bidi="ar"/>
        </w:rPr>
        <w:t>本年度会议费支出0.04万元，较上年决算数减少1.70万元，下降97.7%，主要原因是认真贯彻落实中央八项规定精神，按照只减不增的要求从严控制“三公”经费，全年实际支出较预算和决算均有所下降。本年度培训费支出0.66万元，较上年决算数减少0.77万元，下降53.8%，主要原因是疫情期间教师外出学习培训减少。</w:t>
      </w:r>
    </w:p>
    <w:p>
      <w:pPr>
        <w:pStyle w:val="19"/>
        <w:autoSpaceDE w:val="0"/>
        <w:spacing w:beforeAutospacing="0" w:afterAutospacing="0" w:line="579" w:lineRule="exact"/>
        <w:ind w:firstLine="640" w:firstLineChars="200"/>
        <w:rPr>
          <w:rStyle w:val="20"/>
          <w:rFonts w:hint="eastAsia" w:ascii="方正楷体_GBK" w:hAnsi="方正楷体_GBK" w:eastAsia="方正楷体_GBK" w:cs="方正楷体_GBK"/>
          <w:b w:val="0"/>
          <w:sz w:val="32"/>
          <w:szCs w:val="32"/>
          <w:shd w:val="clear" w:color="auto" w:fill="FFFFFF"/>
        </w:rPr>
      </w:pPr>
      <w:r>
        <w:rPr>
          <w:rStyle w:val="20"/>
          <w:rFonts w:hint="eastAsia" w:ascii="方正楷体_GBK" w:hAnsi="方正楷体_GBK" w:eastAsia="方正楷体_GBK" w:cs="方正楷体_GBK"/>
          <w:b w:val="0"/>
          <w:sz w:val="32"/>
          <w:szCs w:val="32"/>
          <w:shd w:val="clear" w:color="auto" w:fill="FFFFFF"/>
        </w:rPr>
        <w:t>（二）机关运行经费支出情况说明</w:t>
      </w:r>
    </w:p>
    <w:p>
      <w:pPr>
        <w:pStyle w:val="19"/>
        <w:autoSpaceDE w:val="0"/>
        <w:spacing w:beforeAutospacing="0" w:afterAutospacing="0" w:line="579" w:lineRule="exact"/>
        <w:ind w:firstLine="640" w:firstLineChars="200"/>
        <w:rPr>
          <w:rFonts w:hint="default" w:ascii="Times New Roman" w:hAnsi="Times New Roman" w:eastAsia="方正仿宋_GBK"/>
          <w:sz w:val="32"/>
          <w:szCs w:val="32"/>
          <w:shd w:val="clear" w:color="auto" w:fill="FFFFFF"/>
          <w:lang w:bidi="ar"/>
        </w:rPr>
      </w:pPr>
      <w:r>
        <w:rPr>
          <w:rFonts w:ascii="Times New Roman" w:hAnsi="Times New Roman" w:eastAsia="方正仿宋_GBK"/>
          <w:sz w:val="32"/>
          <w:szCs w:val="32"/>
          <w:shd w:val="clear" w:color="auto" w:fill="FFFFFF"/>
          <w:lang w:bidi="ar"/>
        </w:rPr>
        <w:t>2022年度本部门机关运行经费支出0.00万元，机关运行经费较上年决算数增加0.00万元，增长%，主要原因是按照部门决算列报口径，我单位不在机关运行经费统计范围之内。</w:t>
      </w:r>
    </w:p>
    <w:p>
      <w:pPr>
        <w:pStyle w:val="19"/>
        <w:autoSpaceDE w:val="0"/>
        <w:spacing w:beforeAutospacing="0" w:afterAutospacing="0" w:line="579" w:lineRule="exact"/>
        <w:ind w:firstLine="640" w:firstLineChars="200"/>
        <w:rPr>
          <w:rStyle w:val="20"/>
          <w:rFonts w:hint="eastAsia" w:ascii="方正楷体_GBK" w:hAnsi="方正楷体_GBK" w:eastAsia="方正楷体_GBK" w:cs="方正楷体_GBK"/>
          <w:b w:val="0"/>
          <w:sz w:val="32"/>
          <w:szCs w:val="32"/>
          <w:shd w:val="clear" w:color="auto" w:fill="FFFFFF"/>
        </w:rPr>
      </w:pPr>
      <w:r>
        <w:rPr>
          <w:rStyle w:val="20"/>
          <w:rFonts w:hint="eastAsia" w:ascii="方正楷体_GBK" w:hAnsi="方正楷体_GBK" w:eastAsia="方正楷体_GBK" w:cs="方正楷体_GBK"/>
          <w:b w:val="0"/>
          <w:sz w:val="32"/>
          <w:szCs w:val="32"/>
          <w:shd w:val="clear" w:color="auto" w:fill="FFFFFF"/>
        </w:rPr>
        <w:t>（三）国有资产占用情况说明</w:t>
      </w:r>
    </w:p>
    <w:p>
      <w:pPr>
        <w:pStyle w:val="19"/>
        <w:spacing w:beforeAutospacing="0" w:afterAutospacing="0" w:line="579" w:lineRule="exact"/>
        <w:ind w:firstLine="640" w:firstLineChars="200"/>
        <w:rPr>
          <w:rFonts w:hint="default" w:ascii="方正仿宋_GBK" w:hAnsi="方正仿宋_GBK" w:eastAsia="方正仿宋_GBK" w:cs="方正仿宋_GBK"/>
          <w:sz w:val="32"/>
          <w:szCs w:val="32"/>
          <w:shd w:val="clear" w:color="auto" w:fill="FFFFFF"/>
          <w:lang w:bidi="ar"/>
        </w:rPr>
      </w:pPr>
      <w:r>
        <w:rPr>
          <w:rFonts w:ascii="Times New Roman" w:hAnsi="Times New Roman" w:eastAsia="方正仿宋_GBK"/>
          <w:sz w:val="32"/>
          <w:szCs w:val="32"/>
          <w:shd w:val="clear" w:color="auto" w:fill="FFFFFF"/>
          <w:lang w:bidi="ar"/>
        </w:rPr>
        <w:t>截至2022年12月31日，本部门共有车辆0辆，其中，副部（省）级及以上领导用车0辆、主要领导干部用车0辆、机要通信用车0辆、应急保障用车0辆、执法执勤用车0辆，特种专业技术用车0辆，离退休干部用车0辆，其他用车0辆。单价100万元（含）以上设备（不含车辆）0台（套）。因我校未配置车辆原因，我单位资产未纳入部门决算报表。</w:t>
      </w:r>
    </w:p>
    <w:p>
      <w:pPr>
        <w:pStyle w:val="19"/>
        <w:autoSpaceDE w:val="0"/>
        <w:spacing w:beforeAutospacing="0" w:afterAutospacing="0" w:line="579" w:lineRule="exact"/>
        <w:ind w:firstLine="640" w:firstLineChars="200"/>
        <w:rPr>
          <w:rStyle w:val="20"/>
          <w:rFonts w:hint="eastAsia" w:ascii="方正楷体_GBK" w:hAnsi="方正楷体_GBK" w:eastAsia="方正楷体_GBK" w:cs="方正楷体_GBK"/>
          <w:b w:val="0"/>
          <w:sz w:val="32"/>
          <w:szCs w:val="32"/>
          <w:shd w:val="clear" w:color="auto" w:fill="FFFFFF"/>
        </w:rPr>
      </w:pPr>
      <w:r>
        <w:rPr>
          <w:rStyle w:val="20"/>
          <w:rFonts w:hint="eastAsia" w:ascii="方正楷体_GBK" w:hAnsi="方正楷体_GBK" w:eastAsia="方正楷体_GBK" w:cs="方正楷体_GBK"/>
          <w:b w:val="0"/>
          <w:sz w:val="32"/>
          <w:szCs w:val="32"/>
          <w:shd w:val="clear" w:color="auto" w:fill="FFFFFF"/>
        </w:rPr>
        <w:t>（四）政府采购支出说明</w:t>
      </w:r>
    </w:p>
    <w:p>
      <w:pPr>
        <w:pStyle w:val="19"/>
        <w:spacing w:beforeAutospacing="0" w:afterAutospacing="0" w:line="579" w:lineRule="exact"/>
        <w:ind w:firstLine="640" w:firstLineChars="200"/>
        <w:rPr>
          <w:rFonts w:hint="default" w:ascii="Times New Roman" w:hAnsi="Times New Roman" w:eastAsia="方正仿宋_GBK"/>
          <w:sz w:val="32"/>
          <w:szCs w:val="32"/>
          <w:shd w:val="clear" w:color="auto" w:fill="FFFFFF"/>
          <w:lang w:bidi="ar"/>
        </w:rPr>
      </w:pPr>
      <w:r>
        <w:rPr>
          <w:rFonts w:ascii="Times New Roman" w:hAnsi="Times New Roman" w:eastAsia="方正仿宋_GBK"/>
          <w:sz w:val="32"/>
          <w:szCs w:val="32"/>
          <w:shd w:val="clear" w:color="auto" w:fill="FFFFFF"/>
          <w:lang w:bidi="ar"/>
        </w:rPr>
        <w:t>2022年度本部门政府采购支出总额0.00万元，其中：政府采购货物支出0.00万元、政府采购工程支出0.00万元、政府采购服务支出0.00万元。授予中小企业合同金额0.00万元，占政府采购支出总额的%，其中：授予小微企业合同金额0.00万元，占政府采购支出总额的%。主要用于采购2022年度我单位未发生政府采购事项，无相关经费支出。</w:t>
      </w:r>
    </w:p>
    <w:p>
      <w:pPr>
        <w:pStyle w:val="19"/>
        <w:autoSpaceDE w:val="0"/>
        <w:spacing w:beforeAutospacing="0" w:afterAutospacing="0" w:line="579" w:lineRule="exact"/>
        <w:ind w:firstLine="640" w:firstLineChars="200"/>
        <w:rPr>
          <w:rStyle w:val="20"/>
          <w:rFonts w:hint="eastAsia" w:ascii="方正黑体_GBK" w:hAnsi="方正黑体_GBK" w:eastAsia="方正黑体_GBK" w:cs="方正黑体_GBK"/>
          <w:b w:val="0"/>
          <w:sz w:val="32"/>
          <w:szCs w:val="32"/>
          <w:shd w:val="clear" w:color="auto" w:fill="FFFFFF"/>
        </w:rPr>
      </w:pPr>
      <w:r>
        <w:rPr>
          <w:rStyle w:val="20"/>
          <w:rFonts w:hint="eastAsia" w:ascii="方正黑体_GBK" w:hAnsi="方正黑体_GBK" w:eastAsia="方正黑体_GBK" w:cs="方正黑体_GBK"/>
          <w:b w:val="0"/>
          <w:sz w:val="32"/>
          <w:szCs w:val="32"/>
          <w:shd w:val="clear" w:color="auto" w:fill="FFFFFF"/>
        </w:rPr>
        <w:t>五、预算绩效管理情况说明</w:t>
      </w:r>
    </w:p>
    <w:p>
      <w:pPr>
        <w:spacing w:line="596" w:lineRule="exact"/>
        <w:ind w:firstLine="640" w:firstLineChars="200"/>
        <w:rPr>
          <w:rFonts w:ascii="方正仿宋_GBK" w:eastAsia="方正仿宋_GBK" w:cs="宋体"/>
          <w:sz w:val="32"/>
          <w:szCs w:val="32"/>
        </w:rPr>
      </w:pPr>
      <w:r>
        <w:rPr>
          <w:rFonts w:ascii="方正仿宋_GBK" w:eastAsia="方正仿宋_GBK" w:cs="宋体"/>
          <w:sz w:val="32"/>
          <w:szCs w:val="32"/>
        </w:rPr>
        <w:t>预算绩效管理情况只针对一级预算单位，本单位为二级预算单位，故预算绩效管理情况在此不反映。</w:t>
      </w:r>
    </w:p>
    <w:p>
      <w:pPr>
        <w:pStyle w:val="19"/>
        <w:spacing w:beforeAutospacing="0" w:afterAutospacing="0" w:line="579" w:lineRule="exact"/>
        <w:ind w:firstLine="642" w:firstLineChars="200"/>
        <w:rPr>
          <w:rFonts w:hint="default" w:ascii="方正黑体_GBK" w:hAnsi="方正黑体_GBK" w:eastAsia="方正黑体_GBK" w:cs="方正黑体_GBK"/>
          <w:sz w:val="32"/>
          <w:szCs w:val="32"/>
        </w:rPr>
      </w:pPr>
      <w:r>
        <w:rPr>
          <w:rStyle w:val="15"/>
          <w:rFonts w:hint="eastAsia" w:ascii="方正黑体_GBK" w:hAnsi="方正黑体_GBK" w:eastAsia="方正黑体_GBK" w:cs="方正黑体_GBK"/>
          <w:sz w:val="32"/>
          <w:szCs w:val="32"/>
          <w:shd w:val="clear" w:color="auto" w:fill="FFFFFF"/>
        </w:rPr>
        <w:t>六、专业名词解释</w:t>
      </w:r>
    </w:p>
    <w:p>
      <w:pPr>
        <w:pStyle w:val="19"/>
        <w:autoSpaceDE w:val="0"/>
        <w:spacing w:beforeAutospacing="0" w:afterAutospacing="0" w:line="579" w:lineRule="exact"/>
        <w:ind w:firstLine="640" w:firstLineChars="200"/>
        <w:rPr>
          <w:rFonts w:hint="default" w:ascii="方正仿宋_GBK" w:hAnsi="方正仿宋_GBK" w:eastAsia="方正仿宋_GBK" w:cs="方正仿宋_GBK"/>
          <w:sz w:val="32"/>
          <w:szCs w:val="32"/>
        </w:rPr>
      </w:pPr>
      <w:r>
        <w:rPr>
          <w:rStyle w:val="20"/>
          <w:rFonts w:hint="eastAsia" w:ascii="方正楷体_GBK" w:hAnsi="方正楷体_GBK" w:eastAsia="方正楷体_GBK" w:cs="方正楷体_GBK"/>
          <w:b w:val="0"/>
          <w:sz w:val="32"/>
          <w:szCs w:val="32"/>
          <w:shd w:val="clear" w:color="auto" w:fill="FFFFFF"/>
        </w:rPr>
        <w:t>（一）财政拨款收入：</w:t>
      </w:r>
      <w:r>
        <w:rPr>
          <w:rFonts w:ascii="方正仿宋_GBK" w:hAnsi="方正仿宋_GBK" w:eastAsia="方正仿宋_GBK" w:cs="方正仿宋_GBK"/>
          <w:sz w:val="32"/>
          <w:szCs w:val="32"/>
          <w:shd w:val="clear" w:color="auto" w:fill="FFFFFF"/>
        </w:rPr>
        <w:t>指本年度从本级财政部门取得的财政拨款，包括一般公共预算财政拨款和政府性基金预算财政拨款。</w:t>
      </w:r>
    </w:p>
    <w:p>
      <w:pPr>
        <w:pStyle w:val="19"/>
        <w:autoSpaceDE w:val="0"/>
        <w:spacing w:beforeAutospacing="0" w:afterAutospacing="0" w:line="579" w:lineRule="exact"/>
        <w:ind w:firstLine="640" w:firstLineChars="200"/>
        <w:rPr>
          <w:rFonts w:hint="default" w:ascii="方正仿宋_GBK" w:hAnsi="方正仿宋_GBK" w:eastAsia="方正仿宋_GBK" w:cs="方正仿宋_GBK"/>
          <w:sz w:val="32"/>
          <w:szCs w:val="32"/>
        </w:rPr>
      </w:pPr>
      <w:r>
        <w:rPr>
          <w:rStyle w:val="20"/>
          <w:rFonts w:hint="eastAsia" w:ascii="方正楷体_GBK" w:hAnsi="方正楷体_GBK" w:eastAsia="方正楷体_GBK" w:cs="方正楷体_GBK"/>
          <w:b w:val="0"/>
          <w:sz w:val="32"/>
          <w:szCs w:val="32"/>
          <w:shd w:val="clear" w:color="auto" w:fill="FFFFFF"/>
        </w:rPr>
        <w:t>（二）事业收入：</w:t>
      </w:r>
      <w:r>
        <w:rPr>
          <w:rFonts w:ascii="方正仿宋_GBK" w:hAnsi="方正仿宋_GBK" w:eastAsia="方正仿宋_GBK" w:cs="方正仿宋_GBK"/>
          <w:sz w:val="32"/>
          <w:szCs w:val="32"/>
          <w:shd w:val="clear" w:color="auto" w:fill="FFFFFF"/>
        </w:rPr>
        <w:t>指事业单位开展专业业务活动及其辅助活动取得的现金流入；事业单位收到的财政专户实际核拨的教育收费等资金在此反映。</w:t>
      </w:r>
    </w:p>
    <w:p>
      <w:pPr>
        <w:pStyle w:val="19"/>
        <w:autoSpaceDE w:val="0"/>
        <w:spacing w:beforeAutospacing="0" w:afterAutospacing="0" w:line="579" w:lineRule="exact"/>
        <w:ind w:firstLine="640" w:firstLineChars="200"/>
        <w:rPr>
          <w:rFonts w:hint="default" w:ascii="方正仿宋_GBK" w:hAnsi="方正仿宋_GBK" w:eastAsia="方正仿宋_GBK" w:cs="方正仿宋_GBK"/>
          <w:sz w:val="32"/>
          <w:szCs w:val="32"/>
        </w:rPr>
      </w:pPr>
      <w:r>
        <w:rPr>
          <w:rStyle w:val="20"/>
          <w:rFonts w:hint="eastAsia" w:ascii="方正楷体_GBK" w:hAnsi="方正楷体_GBK" w:eastAsia="方正楷体_GBK" w:cs="方正楷体_GBK"/>
          <w:b w:val="0"/>
          <w:sz w:val="32"/>
          <w:szCs w:val="32"/>
          <w:shd w:val="clear" w:color="auto" w:fill="FFFFFF"/>
        </w:rPr>
        <w:t>（三）经营收入：</w:t>
      </w:r>
      <w:r>
        <w:rPr>
          <w:rFonts w:ascii="方正仿宋_GBK" w:hAnsi="方正仿宋_GBK" w:eastAsia="方正仿宋_GBK" w:cs="方正仿宋_GBK"/>
          <w:sz w:val="32"/>
          <w:szCs w:val="32"/>
          <w:shd w:val="clear" w:color="auto" w:fill="FFFFFF"/>
        </w:rPr>
        <w:t>指事业单位在专业业务活动及其辅助活动之外开展非独立核算经营活动取得的现金流入。</w:t>
      </w:r>
    </w:p>
    <w:p>
      <w:pPr>
        <w:pStyle w:val="19"/>
        <w:autoSpaceDE w:val="0"/>
        <w:spacing w:beforeAutospacing="0" w:afterAutospacing="0" w:line="579" w:lineRule="exact"/>
        <w:ind w:firstLine="640" w:firstLineChars="200"/>
        <w:rPr>
          <w:rFonts w:hint="default" w:ascii="方正仿宋_GBK" w:hAnsi="方正仿宋_GBK" w:eastAsia="方正仿宋_GBK" w:cs="方正仿宋_GBK"/>
          <w:sz w:val="32"/>
          <w:szCs w:val="32"/>
        </w:rPr>
      </w:pPr>
      <w:r>
        <w:rPr>
          <w:rStyle w:val="20"/>
          <w:rFonts w:hint="eastAsia" w:ascii="方正楷体_GBK" w:hAnsi="方正楷体_GBK" w:eastAsia="方正楷体_GBK" w:cs="方正楷体_GBK"/>
          <w:b w:val="0"/>
          <w:sz w:val="32"/>
          <w:szCs w:val="32"/>
          <w:shd w:val="clear" w:color="auto" w:fill="FFFFFF"/>
        </w:rPr>
        <w:t>（四）其他收入：</w:t>
      </w:r>
      <w:r>
        <w:rPr>
          <w:rFonts w:ascii="方正仿宋_GBK" w:hAnsi="方正仿宋_GBK" w:eastAsia="方正仿宋_GBK" w:cs="方正仿宋_GBK"/>
          <w:sz w:val="32"/>
          <w:szCs w:val="32"/>
          <w:shd w:val="clear" w:color="auto" w:fill="FFFFFF"/>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9"/>
        <w:autoSpaceDE w:val="0"/>
        <w:spacing w:beforeAutospacing="0" w:afterAutospacing="0" w:line="579" w:lineRule="exact"/>
        <w:ind w:firstLine="640" w:firstLineChars="200"/>
        <w:rPr>
          <w:rFonts w:hint="default" w:ascii="方正仿宋_GBK" w:hAnsi="方正仿宋_GBK" w:eastAsia="方正仿宋_GBK" w:cs="方正仿宋_GBK"/>
          <w:sz w:val="32"/>
          <w:szCs w:val="32"/>
        </w:rPr>
      </w:pPr>
      <w:r>
        <w:rPr>
          <w:rStyle w:val="20"/>
          <w:rFonts w:hint="eastAsia" w:ascii="方正楷体_GBK" w:hAnsi="方正楷体_GBK" w:eastAsia="方正楷体_GBK" w:cs="方正楷体_GBK"/>
          <w:b w:val="0"/>
          <w:sz w:val="32"/>
          <w:szCs w:val="32"/>
          <w:shd w:val="clear" w:color="auto" w:fill="FFFFFF"/>
        </w:rPr>
        <w:t>（五）使用非财政拨款结余：</w:t>
      </w:r>
      <w:r>
        <w:rPr>
          <w:rFonts w:ascii="方正仿宋_GBK" w:hAnsi="方正仿宋_GBK" w:eastAsia="方正仿宋_GBK" w:cs="方正仿宋_GBK"/>
          <w:sz w:val="32"/>
          <w:szCs w:val="32"/>
          <w:shd w:val="clear" w:color="auto" w:fill="FFFFFF"/>
        </w:rPr>
        <w:t>指单位在当年的“财政拨款收入”、“事业收入”、“经营收入”、“其他收入”等不足以安排当年支出的情况下，使用以前年度积累的非财政拨款结余弥补本年度收支缺口的资金。</w:t>
      </w:r>
    </w:p>
    <w:p>
      <w:pPr>
        <w:pStyle w:val="19"/>
        <w:autoSpaceDE w:val="0"/>
        <w:spacing w:beforeAutospacing="0" w:afterAutospacing="0" w:line="579" w:lineRule="exact"/>
        <w:ind w:firstLine="640" w:firstLineChars="200"/>
        <w:rPr>
          <w:rFonts w:hint="default" w:ascii="方正仿宋_GBK" w:hAnsi="方正仿宋_GBK" w:eastAsia="方正仿宋_GBK" w:cs="方正仿宋_GBK"/>
          <w:sz w:val="32"/>
          <w:szCs w:val="32"/>
        </w:rPr>
      </w:pPr>
      <w:r>
        <w:rPr>
          <w:rStyle w:val="20"/>
          <w:rFonts w:hint="eastAsia" w:ascii="方正楷体_GBK" w:hAnsi="方正楷体_GBK" w:eastAsia="方正楷体_GBK" w:cs="方正楷体_GBK"/>
          <w:b w:val="0"/>
          <w:sz w:val="32"/>
          <w:szCs w:val="32"/>
          <w:shd w:val="clear" w:color="auto" w:fill="FFFFFF"/>
        </w:rPr>
        <w:t>（六）年初结转和结余：</w:t>
      </w:r>
      <w:r>
        <w:rPr>
          <w:rFonts w:ascii="方正仿宋_GBK" w:hAnsi="方正仿宋_GBK" w:eastAsia="方正仿宋_GBK" w:cs="方正仿宋_GBK"/>
          <w:sz w:val="32"/>
          <w:szCs w:val="32"/>
          <w:shd w:val="clear" w:color="auto" w:fill="FFFFFF"/>
        </w:rPr>
        <w:t>指单位上年结转本年使用的基本支出结转、项目支出结转和结余、经营结余。</w:t>
      </w:r>
    </w:p>
    <w:p>
      <w:pPr>
        <w:pStyle w:val="19"/>
        <w:autoSpaceDE w:val="0"/>
        <w:spacing w:beforeAutospacing="0" w:afterAutospacing="0" w:line="579" w:lineRule="exact"/>
        <w:ind w:firstLine="640" w:firstLineChars="200"/>
        <w:rPr>
          <w:rFonts w:hint="default" w:ascii="方正仿宋_GBK" w:hAnsi="方正仿宋_GBK" w:eastAsia="方正仿宋_GBK" w:cs="方正仿宋_GBK"/>
          <w:sz w:val="32"/>
          <w:szCs w:val="32"/>
        </w:rPr>
      </w:pPr>
      <w:r>
        <w:rPr>
          <w:rStyle w:val="20"/>
          <w:rFonts w:hint="eastAsia" w:ascii="方正楷体_GBK" w:hAnsi="方正楷体_GBK" w:eastAsia="方正楷体_GBK" w:cs="方正楷体_GBK"/>
          <w:b w:val="0"/>
          <w:sz w:val="32"/>
          <w:szCs w:val="32"/>
          <w:shd w:val="clear" w:color="auto" w:fill="FFFFFF"/>
        </w:rPr>
        <w:t>（七）结余分配：</w:t>
      </w:r>
      <w:r>
        <w:rPr>
          <w:rFonts w:ascii="方正仿宋_GBK" w:hAnsi="方正仿宋_GBK" w:eastAsia="方正仿宋_GBK" w:cs="方正仿宋_GBK"/>
          <w:sz w:val="32"/>
          <w:szCs w:val="32"/>
          <w:shd w:val="clear" w:color="auto" w:fill="FFFFFF"/>
        </w:rPr>
        <w:t>指单位按照国家有关规定，缴纳所得税、提取专用基金、转入非财政拨款结余等当年结余的分配情况。</w:t>
      </w:r>
    </w:p>
    <w:p>
      <w:pPr>
        <w:pStyle w:val="19"/>
        <w:autoSpaceDE w:val="0"/>
        <w:spacing w:beforeAutospacing="0" w:afterAutospacing="0" w:line="579" w:lineRule="exact"/>
        <w:ind w:firstLine="640" w:firstLineChars="200"/>
        <w:rPr>
          <w:rFonts w:hint="default" w:ascii="方正仿宋_GBK" w:hAnsi="方正仿宋_GBK" w:eastAsia="方正仿宋_GBK" w:cs="方正仿宋_GBK"/>
          <w:sz w:val="32"/>
          <w:szCs w:val="32"/>
        </w:rPr>
      </w:pPr>
      <w:r>
        <w:rPr>
          <w:rStyle w:val="20"/>
          <w:rFonts w:hint="eastAsia" w:ascii="方正楷体_GBK" w:hAnsi="方正楷体_GBK" w:eastAsia="方正楷体_GBK" w:cs="方正楷体_GBK"/>
          <w:b w:val="0"/>
          <w:sz w:val="32"/>
          <w:szCs w:val="32"/>
          <w:shd w:val="clear" w:color="auto" w:fill="FFFFFF"/>
        </w:rPr>
        <w:t>（八）年末结转和结余：</w:t>
      </w:r>
      <w:r>
        <w:rPr>
          <w:rFonts w:ascii="方正仿宋_GBK" w:hAnsi="方正仿宋_GBK" w:eastAsia="方正仿宋_GBK" w:cs="方正仿宋_GBK"/>
          <w:sz w:val="32"/>
          <w:szCs w:val="32"/>
          <w:shd w:val="clear" w:color="auto" w:fill="FFFFFF"/>
        </w:rPr>
        <w:t>指单位结转下年的基本支出结转、项目支出结转和结余、经营结余。</w:t>
      </w:r>
    </w:p>
    <w:p>
      <w:pPr>
        <w:pStyle w:val="19"/>
        <w:autoSpaceDE w:val="0"/>
        <w:spacing w:beforeAutospacing="0" w:afterAutospacing="0" w:line="579" w:lineRule="exact"/>
        <w:ind w:firstLine="640" w:firstLineChars="200"/>
        <w:rPr>
          <w:rFonts w:hint="default" w:ascii="方正仿宋_GBK" w:hAnsi="方正仿宋_GBK" w:eastAsia="方正仿宋_GBK" w:cs="方正仿宋_GBK"/>
          <w:sz w:val="32"/>
          <w:szCs w:val="32"/>
        </w:rPr>
      </w:pPr>
      <w:r>
        <w:rPr>
          <w:rStyle w:val="20"/>
          <w:rFonts w:hint="eastAsia" w:ascii="方正楷体_GBK" w:hAnsi="方正楷体_GBK" w:eastAsia="方正楷体_GBK" w:cs="方正楷体_GBK"/>
          <w:b w:val="0"/>
          <w:sz w:val="32"/>
          <w:szCs w:val="32"/>
          <w:shd w:val="clear" w:color="auto" w:fill="FFFFFF"/>
        </w:rPr>
        <w:t>（九）基本支出：</w:t>
      </w:r>
      <w:r>
        <w:rPr>
          <w:rFonts w:ascii="方正仿宋_GBK" w:hAnsi="方正仿宋_GBK" w:eastAsia="方正仿宋_GBK" w:cs="方正仿宋_GBK"/>
          <w:sz w:val="32"/>
          <w:szCs w:val="32"/>
          <w:shd w:val="clear" w:color="auto" w:fill="FFFFFF"/>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9"/>
        <w:autoSpaceDE w:val="0"/>
        <w:spacing w:beforeAutospacing="0" w:afterAutospacing="0" w:line="579" w:lineRule="exact"/>
        <w:ind w:firstLine="640" w:firstLineChars="200"/>
        <w:rPr>
          <w:rFonts w:hint="default" w:ascii="方正仿宋_GBK" w:hAnsi="方正仿宋_GBK" w:eastAsia="方正仿宋_GBK" w:cs="方正仿宋_GBK"/>
          <w:sz w:val="32"/>
          <w:szCs w:val="32"/>
        </w:rPr>
      </w:pPr>
      <w:r>
        <w:rPr>
          <w:rStyle w:val="20"/>
          <w:rFonts w:hint="eastAsia" w:ascii="方正楷体_GBK" w:hAnsi="方正楷体_GBK" w:eastAsia="方正楷体_GBK" w:cs="方正楷体_GBK"/>
          <w:b w:val="0"/>
          <w:sz w:val="32"/>
          <w:szCs w:val="32"/>
          <w:shd w:val="clear" w:color="auto" w:fill="FFFFFF"/>
        </w:rPr>
        <w:t>（十）项目支出：</w:t>
      </w:r>
      <w:r>
        <w:rPr>
          <w:rFonts w:ascii="方正仿宋_GBK" w:hAnsi="方正仿宋_GBK" w:eastAsia="方正仿宋_GBK" w:cs="方正仿宋_GBK"/>
          <w:sz w:val="32"/>
          <w:szCs w:val="32"/>
          <w:shd w:val="clear" w:color="auto" w:fill="FFFFFF"/>
        </w:rPr>
        <w:t>指在基本支出之外为完成特定行政任务和事业发展目标所发生的支出。</w:t>
      </w:r>
    </w:p>
    <w:p>
      <w:pPr>
        <w:pStyle w:val="19"/>
        <w:autoSpaceDE w:val="0"/>
        <w:spacing w:beforeAutospacing="0" w:afterAutospacing="0" w:line="579" w:lineRule="exact"/>
        <w:ind w:firstLine="640" w:firstLineChars="200"/>
        <w:rPr>
          <w:rFonts w:hint="default" w:ascii="方正仿宋_GBK" w:hAnsi="方正仿宋_GBK" w:eastAsia="方正仿宋_GBK" w:cs="方正仿宋_GBK"/>
          <w:sz w:val="32"/>
          <w:szCs w:val="32"/>
        </w:rPr>
      </w:pPr>
      <w:r>
        <w:rPr>
          <w:rStyle w:val="20"/>
          <w:rFonts w:hint="eastAsia" w:ascii="方正楷体_GBK" w:hAnsi="方正楷体_GBK" w:eastAsia="方正楷体_GBK" w:cs="方正楷体_GBK"/>
          <w:b w:val="0"/>
          <w:sz w:val="32"/>
          <w:szCs w:val="32"/>
          <w:shd w:val="clear" w:color="auto" w:fill="FFFFFF"/>
        </w:rPr>
        <w:t>（十一）经营支出：</w:t>
      </w:r>
      <w:r>
        <w:rPr>
          <w:rFonts w:ascii="方正仿宋_GBK" w:hAnsi="方正仿宋_GBK" w:eastAsia="方正仿宋_GBK" w:cs="方正仿宋_GBK"/>
          <w:sz w:val="32"/>
          <w:szCs w:val="32"/>
          <w:shd w:val="clear" w:color="auto" w:fill="FFFFFF"/>
        </w:rPr>
        <w:t>指事业单位在专业业务活动及其辅助活动之外开展非独立核算经营活动发生的支出。</w:t>
      </w:r>
    </w:p>
    <w:p>
      <w:pPr>
        <w:pStyle w:val="19"/>
        <w:autoSpaceDE w:val="0"/>
        <w:spacing w:beforeAutospacing="0" w:afterAutospacing="0" w:line="579" w:lineRule="exact"/>
        <w:ind w:firstLine="640" w:firstLineChars="200"/>
        <w:rPr>
          <w:rFonts w:hint="default" w:ascii="方正仿宋_GBK" w:hAnsi="方正仿宋_GBK" w:eastAsia="方正仿宋_GBK" w:cs="方正仿宋_GBK"/>
          <w:sz w:val="32"/>
          <w:szCs w:val="32"/>
        </w:rPr>
      </w:pPr>
      <w:r>
        <w:rPr>
          <w:rStyle w:val="20"/>
          <w:rFonts w:hint="eastAsia" w:ascii="方正楷体_GBK" w:hAnsi="方正楷体_GBK" w:eastAsia="方正楷体_GBK" w:cs="方正楷体_GBK"/>
          <w:b w:val="0"/>
          <w:sz w:val="32"/>
          <w:szCs w:val="32"/>
          <w:shd w:val="clear" w:color="auto" w:fill="FFFFFF"/>
        </w:rPr>
        <w:t>（十二）“三公”经费：</w:t>
      </w:r>
      <w:r>
        <w:rPr>
          <w:rFonts w:ascii="方正仿宋_GBK" w:hAnsi="方正仿宋_GBK" w:eastAsia="方正仿宋_GBK" w:cs="方正仿宋_GBK"/>
          <w:sz w:val="32"/>
          <w:szCs w:val="32"/>
          <w:shd w:val="clear" w:color="auto"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19"/>
        <w:autoSpaceDE w:val="0"/>
        <w:spacing w:beforeAutospacing="0" w:afterAutospacing="0" w:line="579" w:lineRule="exact"/>
        <w:ind w:firstLine="640" w:firstLineChars="200"/>
        <w:rPr>
          <w:rFonts w:hint="default" w:ascii="方正仿宋_GBK" w:hAnsi="方正仿宋_GBK" w:eastAsia="方正仿宋_GBK" w:cs="方正仿宋_GBK"/>
          <w:sz w:val="32"/>
          <w:szCs w:val="32"/>
        </w:rPr>
      </w:pPr>
      <w:r>
        <w:rPr>
          <w:rStyle w:val="20"/>
          <w:rFonts w:hint="eastAsia" w:ascii="方正楷体_GBK" w:hAnsi="方正楷体_GBK" w:eastAsia="方正楷体_GBK" w:cs="方正楷体_GBK"/>
          <w:b w:val="0"/>
          <w:sz w:val="32"/>
          <w:szCs w:val="32"/>
          <w:shd w:val="clear" w:color="auto" w:fill="FFFFFF"/>
        </w:rPr>
        <w:t>（十三）机关运行经费：</w:t>
      </w:r>
      <w:r>
        <w:rPr>
          <w:rFonts w:ascii="方正仿宋_GBK" w:hAnsi="方正仿宋_GBK" w:eastAsia="方正仿宋_GBK" w:cs="方正仿宋_GBK"/>
          <w:sz w:val="32"/>
          <w:szCs w:val="32"/>
          <w:shd w:val="clear" w:color="auto" w:fill="FFFFFF"/>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9"/>
        <w:autoSpaceDE w:val="0"/>
        <w:spacing w:beforeAutospacing="0" w:afterAutospacing="0" w:line="579" w:lineRule="exact"/>
        <w:ind w:firstLine="640" w:firstLineChars="200"/>
        <w:rPr>
          <w:rFonts w:hint="default" w:ascii="方正仿宋_GBK" w:hAnsi="方正仿宋_GBK" w:eastAsia="方正仿宋_GBK" w:cs="方正仿宋_GBK"/>
          <w:sz w:val="32"/>
          <w:szCs w:val="32"/>
        </w:rPr>
      </w:pPr>
      <w:r>
        <w:rPr>
          <w:rStyle w:val="20"/>
          <w:rFonts w:hint="eastAsia" w:ascii="方正楷体_GBK" w:hAnsi="方正楷体_GBK" w:eastAsia="方正楷体_GBK" w:cs="方正楷体_GBK"/>
          <w:b w:val="0"/>
          <w:sz w:val="32"/>
          <w:szCs w:val="32"/>
          <w:shd w:val="clear" w:color="auto" w:fill="FFFFFF"/>
        </w:rPr>
        <w:t>（十四）工资福利支出（支出经济分类科目类级）：</w:t>
      </w:r>
      <w:r>
        <w:rPr>
          <w:rFonts w:ascii="方正仿宋_GBK" w:hAnsi="方正仿宋_GBK" w:eastAsia="方正仿宋_GBK" w:cs="方正仿宋_GBK"/>
          <w:sz w:val="32"/>
          <w:szCs w:val="32"/>
          <w:shd w:val="clear" w:color="auto" w:fill="FFFFFF"/>
        </w:rPr>
        <w:t>反映单位开支的在职职工和编制外长期聘用人员的各类劳动报酬，以及为上述人员缴纳的各项社会保险费等。</w:t>
      </w:r>
    </w:p>
    <w:p>
      <w:pPr>
        <w:pStyle w:val="19"/>
        <w:autoSpaceDE w:val="0"/>
        <w:spacing w:beforeAutospacing="0" w:afterAutospacing="0" w:line="579" w:lineRule="exact"/>
        <w:ind w:firstLine="640" w:firstLineChars="200"/>
        <w:rPr>
          <w:rFonts w:hint="default" w:ascii="方正仿宋_GBK" w:hAnsi="方正仿宋_GBK" w:eastAsia="方正仿宋_GBK" w:cs="方正仿宋_GBK"/>
          <w:sz w:val="32"/>
          <w:szCs w:val="32"/>
        </w:rPr>
      </w:pPr>
      <w:r>
        <w:rPr>
          <w:rStyle w:val="20"/>
          <w:rFonts w:hint="eastAsia" w:ascii="方正楷体_GBK" w:hAnsi="方正楷体_GBK" w:eastAsia="方正楷体_GBK" w:cs="方正楷体_GBK"/>
          <w:b w:val="0"/>
          <w:sz w:val="32"/>
          <w:szCs w:val="32"/>
          <w:shd w:val="clear" w:color="auto" w:fill="FFFFFF"/>
        </w:rPr>
        <w:t>（十五）商品和服务支出（支出经济分类科目类级）：</w:t>
      </w:r>
      <w:r>
        <w:rPr>
          <w:rFonts w:ascii="方正仿宋_GBK" w:hAnsi="方正仿宋_GBK" w:eastAsia="方正仿宋_GBK" w:cs="方正仿宋_GBK"/>
          <w:sz w:val="32"/>
          <w:szCs w:val="32"/>
          <w:shd w:val="clear" w:color="auto" w:fill="FFFFFF"/>
        </w:rPr>
        <w:t>反映单位购买商品和服务的支出（不包括用于购置固定资产的支出、战略性和应急储备支出）。</w:t>
      </w:r>
    </w:p>
    <w:p>
      <w:pPr>
        <w:pStyle w:val="19"/>
        <w:autoSpaceDE w:val="0"/>
        <w:spacing w:beforeAutospacing="0" w:afterAutospacing="0" w:line="579" w:lineRule="exact"/>
        <w:ind w:firstLine="640" w:firstLineChars="200"/>
        <w:rPr>
          <w:rFonts w:hint="default" w:ascii="方正仿宋_GBK" w:hAnsi="方正仿宋_GBK" w:eastAsia="方正仿宋_GBK" w:cs="方正仿宋_GBK"/>
          <w:sz w:val="32"/>
          <w:szCs w:val="32"/>
        </w:rPr>
      </w:pPr>
      <w:r>
        <w:rPr>
          <w:rStyle w:val="20"/>
          <w:rFonts w:hint="eastAsia" w:ascii="方正楷体_GBK" w:hAnsi="方正楷体_GBK" w:eastAsia="方正楷体_GBK" w:cs="方正楷体_GBK"/>
          <w:b w:val="0"/>
          <w:sz w:val="32"/>
          <w:szCs w:val="32"/>
          <w:shd w:val="clear" w:color="auto" w:fill="FFFFFF"/>
        </w:rPr>
        <w:t>（十六）对个人和家庭的补助（支出经济分类科目类级）：</w:t>
      </w:r>
      <w:r>
        <w:rPr>
          <w:rFonts w:ascii="方正仿宋_GBK" w:hAnsi="方正仿宋_GBK" w:eastAsia="方正仿宋_GBK" w:cs="方正仿宋_GBK"/>
          <w:sz w:val="32"/>
          <w:szCs w:val="32"/>
          <w:shd w:val="clear" w:color="auto" w:fill="FFFFFF"/>
        </w:rPr>
        <w:t>反映用于对个人和家庭的补助支出。</w:t>
      </w:r>
    </w:p>
    <w:p>
      <w:pPr>
        <w:pStyle w:val="19"/>
        <w:autoSpaceDE w:val="0"/>
        <w:spacing w:beforeAutospacing="0" w:afterAutospacing="0" w:line="579" w:lineRule="exact"/>
        <w:ind w:firstLine="640" w:firstLineChars="200"/>
        <w:rPr>
          <w:rFonts w:hint="default" w:ascii="方正仿宋_GBK" w:hAnsi="方正仿宋_GBK" w:eastAsia="方正仿宋_GBK" w:cs="方正仿宋_GBK"/>
          <w:sz w:val="32"/>
          <w:szCs w:val="32"/>
        </w:rPr>
      </w:pPr>
      <w:r>
        <w:rPr>
          <w:rStyle w:val="20"/>
          <w:rFonts w:hint="eastAsia" w:ascii="方正楷体_GBK" w:hAnsi="方正楷体_GBK" w:eastAsia="方正楷体_GBK" w:cs="方正楷体_GBK"/>
          <w:b w:val="0"/>
          <w:sz w:val="32"/>
          <w:szCs w:val="32"/>
          <w:shd w:val="clear" w:color="auto" w:fill="FFFFFF"/>
        </w:rPr>
        <w:t>（十七）其他资本性支出（支出经济分类科目类级）：</w:t>
      </w:r>
      <w:r>
        <w:rPr>
          <w:rFonts w:ascii="方正仿宋_GBK" w:hAnsi="方正仿宋_GBK" w:eastAsia="方正仿宋_GBK" w:cs="方正仿宋_GBK"/>
          <w:sz w:val="32"/>
          <w:szCs w:val="32"/>
          <w:shd w:val="clear" w:color="auto" w:fill="FFFFFF"/>
        </w:rPr>
        <w:t>反映非各级发展与改革部门集中安排的用于购置固定资产、战略性和应急性储备、土地和无形资产，以及构建基础设施、大型修缮和财政支持企业更新改造所发生的支出。</w:t>
      </w:r>
    </w:p>
    <w:p>
      <w:pPr>
        <w:pStyle w:val="19"/>
        <w:autoSpaceDE w:val="0"/>
        <w:spacing w:beforeAutospacing="0" w:afterAutospacing="0" w:line="579" w:lineRule="exact"/>
        <w:ind w:firstLine="640" w:firstLineChars="200"/>
        <w:rPr>
          <w:rStyle w:val="20"/>
          <w:rFonts w:hint="eastAsia" w:ascii="方正黑体_GBK" w:hAnsi="方正黑体_GBK" w:eastAsia="方正黑体_GBK" w:cs="方正黑体_GBK"/>
          <w:b w:val="0"/>
          <w:sz w:val="32"/>
          <w:szCs w:val="32"/>
          <w:shd w:val="clear" w:color="auto" w:fill="FFFFFF"/>
        </w:rPr>
      </w:pPr>
      <w:r>
        <w:rPr>
          <w:rStyle w:val="20"/>
          <w:rFonts w:hint="eastAsia" w:ascii="方正黑体_GBK" w:hAnsi="方正黑体_GBK" w:eastAsia="方正黑体_GBK" w:cs="方正黑体_GBK"/>
          <w:b w:val="0"/>
          <w:sz w:val="32"/>
          <w:szCs w:val="32"/>
          <w:shd w:val="clear" w:color="auto" w:fill="FFFFFF"/>
        </w:rPr>
        <w:t>七、决算公开联系方式及信息反馈渠道</w:t>
      </w:r>
    </w:p>
    <w:p>
      <w:pPr>
        <w:pStyle w:val="19"/>
        <w:spacing w:beforeAutospacing="0" w:afterAutospacing="0" w:line="579" w:lineRule="exact"/>
        <w:ind w:firstLine="640" w:firstLineChars="200"/>
        <w:rPr>
          <w:rFonts w:hint="default" w:ascii="Times New Roman" w:hAnsi="Times New Roman" w:eastAsia="方正仿宋_GBK"/>
          <w:sz w:val="32"/>
          <w:szCs w:val="32"/>
          <w:shd w:val="clear" w:color="auto" w:fill="FFFFFF"/>
          <w:lang w:bidi="ar"/>
        </w:rPr>
      </w:pPr>
      <w:r>
        <w:rPr>
          <w:rFonts w:ascii="Times New Roman" w:hAnsi="Times New Roman" w:eastAsia="方正仿宋_GBK"/>
          <w:sz w:val="32"/>
          <w:szCs w:val="32"/>
          <w:shd w:val="clear" w:color="auto" w:fill="FFFFFF"/>
          <w:lang w:bidi="ar"/>
        </w:rPr>
        <w:t>本单位决算公开信息反馈和联系方式：023-59295577</w:t>
      </w:r>
    </w:p>
    <w:sectPr>
      <w:pgSz w:w="11915" w:h="16851"/>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7"/>
  <w:displayHorizontalDrawingGridEvery w:val="0"/>
  <w:displayVerticalDrawingGridEvery w:val="2"/>
  <w:noPunctuationKerning w:val="true"/>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802"/>
    <w:rsid w:val="001D2508"/>
    <w:rsid w:val="003D6802"/>
    <w:rsid w:val="00D42DB2"/>
    <w:rsid w:val="164E416A"/>
    <w:rsid w:val="31A24A0B"/>
    <w:rsid w:val="3511614B"/>
    <w:rsid w:val="55FE193D"/>
    <w:rsid w:val="57A8738F"/>
    <w:rsid w:val="60EE2F44"/>
    <w:rsid w:val="6FB9D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99"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unhideWhenUsed/>
    <w:qFormat/>
    <w:uiPriority w:val="99"/>
    <w:rPr>
      <w:rFonts w:hint="eastAsia" w:ascii="宋体" w:hAnsi="宋体" w:eastAsia="宋体" w:cs="Times New Roman"/>
      <w:sz w:val="24"/>
      <w:szCs w:val="24"/>
      <w:lang w:val="en-US" w:eastAsia="zh-CN" w:bidi="ar-SA"/>
    </w:rPr>
  </w:style>
  <w:style w:type="paragraph" w:styleId="2">
    <w:name w:val="heading 1"/>
    <w:basedOn w:val="1"/>
    <w:next w:val="1"/>
    <w:qFormat/>
    <w:uiPriority w:val="0"/>
    <w:pPr>
      <w:spacing w:beforeAutospacing="1" w:afterAutospacing="1"/>
      <w:outlineLvl w:val="0"/>
    </w:pPr>
    <w:rPr>
      <w:b/>
      <w:kern w:val="44"/>
      <w:sz w:val="48"/>
      <w:szCs w:val="48"/>
    </w:rPr>
  </w:style>
  <w:style w:type="paragraph" w:styleId="3">
    <w:name w:val="heading 2"/>
    <w:basedOn w:val="1"/>
    <w:next w:val="1"/>
    <w:qFormat/>
    <w:uiPriority w:val="0"/>
    <w:pPr>
      <w:spacing w:beforeAutospacing="1" w:afterAutospacing="1"/>
      <w:outlineLvl w:val="1"/>
    </w:pPr>
    <w:rPr>
      <w:b/>
      <w:sz w:val="36"/>
      <w:szCs w:val="36"/>
    </w:rPr>
  </w:style>
  <w:style w:type="paragraph" w:styleId="4">
    <w:name w:val="heading 3"/>
    <w:basedOn w:val="1"/>
    <w:next w:val="1"/>
    <w:qFormat/>
    <w:uiPriority w:val="0"/>
    <w:pPr>
      <w:spacing w:beforeAutospacing="1" w:afterAutospacing="1"/>
      <w:outlineLvl w:val="2"/>
    </w:pPr>
    <w:rPr>
      <w:b/>
      <w:sz w:val="27"/>
      <w:szCs w:val="27"/>
    </w:rPr>
  </w:style>
  <w:style w:type="paragraph" w:styleId="5">
    <w:name w:val="heading 4"/>
    <w:basedOn w:val="1"/>
    <w:next w:val="1"/>
    <w:qFormat/>
    <w:uiPriority w:val="0"/>
    <w:pPr>
      <w:spacing w:beforeAutospacing="1" w:afterAutospacing="1"/>
      <w:outlineLvl w:val="3"/>
    </w:pPr>
    <w:rPr>
      <w:b/>
    </w:rPr>
  </w:style>
  <w:style w:type="paragraph" w:styleId="6">
    <w:name w:val="heading 5"/>
    <w:basedOn w:val="1"/>
    <w:next w:val="1"/>
    <w:qFormat/>
    <w:uiPriority w:val="0"/>
    <w:pPr>
      <w:spacing w:beforeAutospacing="1" w:afterAutospacing="1"/>
      <w:outlineLvl w:val="4"/>
    </w:pPr>
    <w:rPr>
      <w:b/>
      <w:sz w:val="20"/>
      <w:szCs w:val="20"/>
    </w:rPr>
  </w:style>
  <w:style w:type="paragraph" w:styleId="7">
    <w:name w:val="heading 6"/>
    <w:basedOn w:val="1"/>
    <w:next w:val="1"/>
    <w:qFormat/>
    <w:uiPriority w:val="0"/>
    <w:pPr>
      <w:spacing w:beforeAutospacing="1" w:afterAutospacing="1"/>
      <w:outlineLvl w:val="5"/>
    </w:pPr>
    <w:rPr>
      <w:b/>
      <w:sz w:val="15"/>
      <w:szCs w:val="15"/>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8">
    <w:name w:val="footer"/>
    <w:basedOn w:val="1"/>
    <w:link w:val="22"/>
    <w:qFormat/>
    <w:uiPriority w:val="0"/>
    <w:pPr>
      <w:tabs>
        <w:tab w:val="center" w:pos="4153"/>
        <w:tab w:val="right" w:pos="8306"/>
      </w:tabs>
      <w:snapToGrid w:val="0"/>
    </w:pPr>
    <w:rPr>
      <w:sz w:val="18"/>
      <w:szCs w:val="18"/>
    </w:rPr>
  </w:style>
  <w:style w:type="paragraph" w:styleId="9">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11">
    <w:name w:val="Normal (Web)"/>
    <w:basedOn w:val="1"/>
    <w:qFormat/>
    <w:uiPriority w:val="0"/>
    <w:pPr>
      <w:spacing w:beforeAutospacing="1" w:afterAutospacing="1"/>
    </w:pPr>
  </w:style>
  <w:style w:type="character" w:styleId="14">
    <w:name w:val="Hyperlink"/>
    <w:basedOn w:val="13"/>
    <w:qFormat/>
    <w:uiPriority w:val="99"/>
    <w:rPr>
      <w:color w:val="0000FF"/>
      <w:u w:val="single"/>
    </w:rPr>
  </w:style>
  <w:style w:type="character" w:customStyle="1" w:styleId="15">
    <w:name w:val="16"/>
    <w:basedOn w:val="13"/>
    <w:qFormat/>
    <w:uiPriority w:val="0"/>
    <w:rPr>
      <w:rFonts w:hint="default" w:ascii="Times New Roman" w:hAnsi="Times New Roman" w:cs="Times New Roman"/>
      <w:b/>
    </w:rPr>
  </w:style>
  <w:style w:type="character" w:customStyle="1" w:styleId="16">
    <w:name w:val="15"/>
    <w:basedOn w:val="13"/>
    <w:qFormat/>
    <w:uiPriority w:val="0"/>
    <w:rPr>
      <w:rFonts w:hint="default" w:ascii="Times New Roman" w:hAnsi="Times New Roman" w:cs="Times New Roman"/>
    </w:rPr>
  </w:style>
  <w:style w:type="character" w:customStyle="1" w:styleId="17">
    <w:name w:val="10"/>
    <w:basedOn w:val="13"/>
    <w:qFormat/>
    <w:uiPriority w:val="0"/>
    <w:rPr>
      <w:rFonts w:hint="default" w:ascii="Times New Roman" w:hAnsi="Times New Roman" w:cs="Times New Roman"/>
    </w:rPr>
  </w:style>
  <w:style w:type="paragraph" w:customStyle="1" w:styleId="18">
    <w:name w:val="HTML 预设格式 Char"/>
    <w:basedOn w:val="1"/>
    <w:qFormat/>
    <w:uiPriority w:val="0"/>
  </w:style>
  <w:style w:type="paragraph" w:customStyle="1" w:styleId="19">
    <w:name w:val="普通(网站) Char"/>
    <w:basedOn w:val="1"/>
    <w:qFormat/>
    <w:uiPriority w:val="0"/>
    <w:pPr>
      <w:spacing w:beforeAutospacing="1" w:afterAutospacing="1"/>
    </w:pPr>
  </w:style>
  <w:style w:type="character" w:customStyle="1" w:styleId="20">
    <w:name w:val="19"/>
    <w:basedOn w:val="13"/>
    <w:qFormat/>
    <w:uiPriority w:val="0"/>
    <w:rPr>
      <w:rFonts w:hint="default" w:ascii="Times New Roman" w:hAnsi="Times New Roman" w:cs="Times New Roman"/>
      <w:b/>
    </w:rPr>
  </w:style>
  <w:style w:type="character" w:customStyle="1" w:styleId="21">
    <w:name w:val="页眉 Char"/>
    <w:basedOn w:val="13"/>
    <w:link w:val="9"/>
    <w:qFormat/>
    <w:uiPriority w:val="0"/>
    <w:rPr>
      <w:rFonts w:ascii="宋体" w:hAnsi="宋体"/>
      <w:sz w:val="18"/>
      <w:szCs w:val="18"/>
    </w:rPr>
  </w:style>
  <w:style w:type="character" w:customStyle="1" w:styleId="22">
    <w:name w:val="页脚 Char"/>
    <w:basedOn w:val="13"/>
    <w:link w:val="8"/>
    <w:qFormat/>
    <w:uiPriority w:val="0"/>
    <w:rPr>
      <w:rFonts w:ascii="宋体" w:hAnsi="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833</Words>
  <Characters>4753</Characters>
  <Lines>39</Lines>
  <Paragraphs>11</Paragraphs>
  <TotalTime>0</TotalTime>
  <ScaleCrop>false</ScaleCrop>
  <LinksUpToDate>false</LinksUpToDate>
  <CharactersWithSpaces>5575</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2023-10-25T10:13:00Z</dcterms:created>
  <dc:creator>Administrator</dc:creator>
  <cp:lastModifiedBy>ckuos</cp:lastModifiedBy>
  <dcterms:modified xsi:type="dcterms:W3CDTF">2023-11-22T13:54:07Z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69491B70A38945A485EACA04CBD77333_12</vt:lpwstr>
  </property>
  <property fmtid="{D5CDD505-2E9C-101B-9397-08002B2CF9AE}" pid="4" name="KSOSaveFontToCloudKey">
    <vt:lpwstr>300157628_btnclosed</vt:lpwstr>
  </property>
</Properties>
</file>