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3"/>
        <w:spacing w:beforeAutospacing="0" w:afterAutospacing="0" w:line="579" w:lineRule="exact"/>
        <w:ind w:firstLine="883" w:firstLineChars="200"/>
        <w:jc w:val="center"/>
        <w:rPr>
          <w:rStyle w:val="18"/>
          <w:rFonts w:hint="eastAsia" w:ascii="方正小标宋_GBK" w:hAnsi="方正小标宋_GBK" w:eastAsia="方正小标宋_GBK" w:cs="方正小标宋_GBK"/>
          <w:sz w:val="44"/>
          <w:szCs w:val="44"/>
          <w:shd w:val="clear" w:color="auto" w:fill="FFFFFF"/>
        </w:rPr>
      </w:pPr>
      <w:r>
        <w:rPr>
          <w:rStyle w:val="18"/>
          <w:rFonts w:hint="eastAsia" w:ascii="方正小标宋_GBK" w:hAnsi="方正小标宋_GBK" w:eastAsia="方正小标宋_GBK" w:cs="方正小标宋_GBK"/>
          <w:sz w:val="44"/>
          <w:szCs w:val="44"/>
          <w:shd w:val="clear" w:color="auto" w:fill="FFFFFF"/>
        </w:rPr>
        <w:t>重庆市修齐镇第一中心小学</w:t>
      </w:r>
    </w:p>
    <w:p>
      <w:pPr>
        <w:pStyle w:val="23"/>
        <w:spacing w:beforeAutospacing="0" w:afterAutospacing="0" w:line="579" w:lineRule="exact"/>
        <w:ind w:firstLine="883" w:firstLineChars="200"/>
        <w:jc w:val="center"/>
        <w:rPr>
          <w:rFonts w:hint="default" w:ascii="方正小标宋_GBK" w:hAnsi="方正小标宋_GBK" w:eastAsia="方正小标宋_GBK" w:cs="方正小标宋_GBK"/>
          <w:sz w:val="44"/>
          <w:szCs w:val="44"/>
        </w:rPr>
      </w:pPr>
      <w:r>
        <w:rPr>
          <w:rStyle w:val="18"/>
          <w:rFonts w:hint="eastAsia" w:ascii="方正小标宋_GBK" w:hAnsi="方正小标宋_GBK" w:eastAsia="方正小标宋_GBK" w:cs="方正小标宋_GBK"/>
          <w:sz w:val="44"/>
          <w:szCs w:val="44"/>
          <w:shd w:val="clear" w:color="auto" w:fill="FFFFFF"/>
        </w:rPr>
        <w:t>2022年度部门决算情况说明</w:t>
      </w:r>
    </w:p>
    <w:p>
      <w:pPr>
        <w:pStyle w:val="23"/>
        <w:autoSpaceDE w:val="0"/>
        <w:spacing w:beforeAutospacing="0" w:afterAutospacing="0" w:line="579" w:lineRule="exact"/>
        <w:ind w:firstLine="643" w:firstLineChars="200"/>
        <w:rPr>
          <w:rStyle w:val="18"/>
          <w:rFonts w:hint="eastAsia" w:ascii="方正仿宋_GBK" w:hAnsi="方正仿宋_GBK" w:eastAsia="方正仿宋_GBK" w:cs="方正仿宋_GBK"/>
          <w:sz w:val="32"/>
          <w:szCs w:val="32"/>
          <w:shd w:val="clear" w:color="auto" w:fill="FFFFFF"/>
        </w:rPr>
      </w:pP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黑体_GBK" w:hAnsi="方正黑体_GBK" w:eastAsia="方正黑体_GBK" w:cs="方正黑体_GBK"/>
          <w:b w:val="0"/>
          <w:bCs/>
          <w:sz w:val="32"/>
          <w:szCs w:val="32"/>
          <w:shd w:val="clear" w:color="auto" w:fill="FFFFFF"/>
        </w:rPr>
        <w:t>一、部门基本情况</w:t>
      </w:r>
    </w:p>
    <w:p>
      <w:pPr>
        <w:pStyle w:val="23"/>
        <w:autoSpaceDE w:val="0"/>
        <w:spacing w:beforeAutospacing="0" w:afterAutospacing="0" w:line="579" w:lineRule="exact"/>
        <w:ind w:firstLine="640" w:firstLineChars="200"/>
        <w:rPr>
          <w:rFonts w:hint="default" w:ascii="方正楷体_GBK" w:hAnsi="方正楷体_GBK" w:eastAsia="方正楷体_GBK" w:cs="方正楷体_GBK"/>
          <w:bCs/>
          <w:sz w:val="32"/>
          <w:szCs w:val="32"/>
        </w:rPr>
      </w:pPr>
      <w:r>
        <w:rPr>
          <w:rStyle w:val="18"/>
          <w:rFonts w:hint="eastAsia" w:ascii="方正楷体_GBK" w:hAnsi="方正楷体_GBK" w:eastAsia="方正楷体_GBK" w:cs="方正楷体_GBK"/>
          <w:b w:val="0"/>
          <w:bCs/>
          <w:sz w:val="32"/>
          <w:szCs w:val="32"/>
          <w:shd w:val="clear" w:color="auto" w:fill="FFFFFF"/>
        </w:rPr>
        <w:t>（一）职能职责</w:t>
      </w:r>
    </w:p>
    <w:p>
      <w:pPr>
        <w:autoSpaceDE w:val="0"/>
        <w:spacing w:line="579" w:lineRule="exact"/>
        <w:ind w:firstLine="640" w:firstLineChars="200"/>
        <w:jc w:val="both"/>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小学义务教育，促进基础教育发展。实施小学学历教育教学，促进基础教育发展;提高学生综合素质；培养学生多样化发展；培养学生良好品德。</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（二）机构设置</w:t>
      </w:r>
    </w:p>
    <w:p>
      <w:pPr>
        <w:autoSpaceDE w:val="0"/>
        <w:spacing w:line="579" w:lineRule="exact"/>
        <w:ind w:firstLine="640" w:firstLineChars="200"/>
        <w:jc w:val="both"/>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学校下辖教导处、政教处、总务处、行政办公室、资助中心。</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（三）单位构成</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本部门</w:t>
      </w:r>
      <w:r>
        <w:rPr>
          <w:rFonts w:ascii="Times New Roman" w:hAnsi="Times New Roman" w:eastAsia="方正仿宋_GBK"/>
          <w:sz w:val="32"/>
          <w:szCs w:val="32"/>
          <w:lang w:bidi="ar"/>
        </w:rPr>
        <w:t>2022年</w:t>
      </w:r>
      <w:r>
        <w:rPr>
          <w:rFonts w:ascii="方正仿宋_GBK" w:hAnsi="方正仿宋_GBK" w:eastAsia="方正仿宋_GBK" w:cs="方正仿宋_GBK"/>
          <w:sz w:val="32"/>
          <w:szCs w:val="32"/>
          <w:shd w:val="clear" w:color="auto" w:fill="FFFFFF"/>
        </w:rPr>
        <w:t>度决算编制的二级预算单位，无下级预算部门。</w:t>
      </w:r>
    </w:p>
    <w:p>
      <w:pPr>
        <w:pStyle w:val="23"/>
        <w:autoSpaceDE w:val="0"/>
        <w:spacing w:beforeAutospacing="0" w:afterAutospacing="0" w:line="579" w:lineRule="exact"/>
        <w:ind w:firstLine="640" w:firstLineChars="200"/>
        <w:rPr>
          <w:rStyle w:val="18"/>
          <w:rFonts w:hint="eastAsia" w:ascii="方正黑体_GBK" w:hAnsi="方正黑体_GBK" w:eastAsia="方正黑体_GBK" w:cs="方正黑体_GBK"/>
          <w:b w:val="0"/>
          <w:bCs/>
          <w:sz w:val="32"/>
          <w:szCs w:val="32"/>
          <w:shd w:val="clear" w:color="auto" w:fill="FFFFFF"/>
        </w:rPr>
      </w:pPr>
      <w:r>
        <w:rPr>
          <w:rStyle w:val="18"/>
          <w:rFonts w:hint="eastAsia" w:ascii="方正黑体_GBK" w:hAnsi="方正黑体_GBK" w:eastAsia="方正黑体_GBK" w:cs="方正黑体_GBK"/>
          <w:b w:val="0"/>
          <w:bCs/>
          <w:sz w:val="32"/>
          <w:szCs w:val="32"/>
          <w:shd w:val="clear" w:color="auto" w:fill="FFFFFF"/>
        </w:rPr>
        <w:t>二、部门决算情况说明</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（一）收入支出决算总体情况说明</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1.总体情况。2022年度收入总计2,410.14万元，支出总计2,410.14万元。收支较上年决算数减少209.66万元,下降8%，主要原因是人员减少、迁建工程完工。</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2.收入情况。2022年度收入合计2,308.00万元，较上年决算数减少311.80万元，下降11.9%，主要原因是人员减少、迁建工程完工。其中：财政拨款收入1,978.60万元，占85.7%；事业收入104.79万元，占4.5%；其他收入224.61万元，占9.7%。年初结转和结余102.14万元。</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3.支出情况。2022年度支出合计2,258.68万元，较上年决算减少258.98万元，下降10.3%，主要原因是人员减少、迁建工程完工。其中：基本支出1,805.27万元，占79.9%；项目支出453.41万元，占20.1%。</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shd w:val="clear" w:color="auto" w:fill="FFFFFF"/>
        </w:rPr>
      </w:pPr>
      <w:r>
        <w:rPr>
          <w:rFonts w:ascii="Times New Roman" w:hAnsi="Times New Roman" w:eastAsia="方正仿宋_GBK"/>
          <w:sz w:val="32"/>
          <w:szCs w:val="32"/>
          <w:lang w:bidi="ar"/>
        </w:rPr>
        <w:t>4.结转结余情况。2022年度年末结转和结余151.46万元，较上年决算数增加49.32万元，增长48.3%，主要原因是课后延时服务费用、医疗保障局拨生育保险费用增加。</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（二）财政拨款收入支出决算总体情况说明</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2022年度财政拨款收、支总计1,978.60万元。与2021年相比，财政拨款收、支总计各减少213.07万元，下降9.7%。主要原因是人员减少、项目完工。</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（三）一般公共预算财政拨款收入支出决算情况说明</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1.收入情况。2022年度一般公共预算财政拨款收入1,978.60万元，较上年决算数减少211.57万元，下降9.7%。主要原因是人员减少、项目完工。较年初预算数增加357.11万元，增长22%。主要原因是学生营养资金预算数增加。</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2.支出情况。2022年度一般公共预算财政拨款支出1,978.60万元，较上年决算数减少211.57万元，下降9.7%。主要原因是人员减少、项目完工较年初预算数增加357.11万元，增长22%。主要原因是学生营养资金预算数增加</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3.结转结余情况。2022年度年末一般公共预算财政拨款结转和结余0.00万元，较上年决算数增加0.00万元，增长0%。</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4.比较情况。本部门2022年度一般公共预算财政拨款支出主要用于以下几个方面：</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（1）一般公共服务支出6.56万元，占0.3%，较年初预算数增加0.00万元，增长0%。</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w:t>
      </w:r>
      <w:r>
        <w:rPr>
          <w:rFonts w:hint="eastAsia" w:ascii="Times New Roman" w:hAnsi="Times New Roman" w:eastAsia="方正仿宋_GBK"/>
          <w:sz w:val="32"/>
          <w:szCs w:val="32"/>
          <w:lang w:val="en-US" w:eastAsia="zh-CN" w:bidi="ar"/>
        </w:rPr>
        <w:t>2</w:t>
      </w:r>
      <w:r>
        <w:rPr>
          <w:rFonts w:ascii="Times New Roman" w:hAnsi="Times New Roman" w:eastAsia="方正仿宋_GBK"/>
          <w:sz w:val="32"/>
          <w:szCs w:val="32"/>
          <w:lang w:bidi="ar"/>
        </w:rPr>
        <w:t>）教育支出1,645.03万元，占83.1%，较年初预算数增加454.19，增长38.1%，主要原因是人员经费，项目预算有预算调整。</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w:t>
      </w:r>
      <w:r>
        <w:rPr>
          <w:rFonts w:hint="eastAsia" w:ascii="Times New Roman" w:hAnsi="Times New Roman" w:eastAsia="方正仿宋_GBK"/>
          <w:sz w:val="32"/>
          <w:szCs w:val="32"/>
          <w:lang w:val="en-US" w:eastAsia="zh-CN" w:bidi="ar"/>
        </w:rPr>
        <w:t>3</w:t>
      </w:r>
      <w:r>
        <w:rPr>
          <w:rFonts w:ascii="Times New Roman" w:hAnsi="Times New Roman" w:eastAsia="方正仿宋_GBK"/>
          <w:sz w:val="32"/>
          <w:szCs w:val="32"/>
          <w:lang w:bidi="ar"/>
        </w:rPr>
        <w:t>）社会保障与就业支出183.02万元，占9.2%，较年初预算数减少97.07万元，下降34.7%，主要原因是人员减少。</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w:t>
      </w:r>
      <w:r>
        <w:rPr>
          <w:rFonts w:hint="eastAsia" w:ascii="Times New Roman" w:hAnsi="Times New Roman" w:eastAsia="方正仿宋_GBK"/>
          <w:sz w:val="32"/>
          <w:szCs w:val="32"/>
          <w:lang w:val="en-US" w:eastAsia="zh-CN" w:bidi="ar"/>
        </w:rPr>
        <w:t>4</w:t>
      </w:r>
      <w:r>
        <w:rPr>
          <w:rFonts w:ascii="Times New Roman" w:hAnsi="Times New Roman" w:eastAsia="方正仿宋_GBK"/>
          <w:sz w:val="32"/>
          <w:szCs w:val="32"/>
          <w:lang w:bidi="ar"/>
        </w:rPr>
        <w:t>）卫生健康支出66.51万元，占3.4%，较年初预算数增加0.00万元，增长0%。</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w:t>
      </w:r>
      <w:r>
        <w:rPr>
          <w:rFonts w:hint="eastAsia" w:ascii="Times New Roman" w:hAnsi="Times New Roman" w:eastAsia="方正仿宋_GBK"/>
          <w:sz w:val="32"/>
          <w:szCs w:val="32"/>
          <w:lang w:val="en-US" w:eastAsia="zh-CN" w:bidi="ar"/>
        </w:rPr>
        <w:t>5</w:t>
      </w:r>
      <w:r>
        <w:rPr>
          <w:rFonts w:ascii="Times New Roman" w:hAnsi="Times New Roman" w:eastAsia="方正仿宋_GBK"/>
          <w:sz w:val="32"/>
          <w:szCs w:val="32"/>
          <w:lang w:bidi="ar"/>
        </w:rPr>
        <w:t>）住房保障支出77.48万元，占3.9%，较年初预算数增加0.00万元，增长0%。</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bookmarkStart w:id="0" w:name="_GoBack"/>
      <w:bookmarkEnd w:id="0"/>
      <w:r>
        <w:rPr>
          <w:rStyle w:val="18"/>
          <w:rFonts w:hint="eastAsia" w:ascii="方正楷体_GBK" w:hAnsi="方正楷体_GBK" w:eastAsia="方正楷体_GBK" w:cs="方正楷体_GBK"/>
          <w:b w:val="0"/>
          <w:bCs/>
          <w:sz w:val="32"/>
          <w:szCs w:val="32"/>
          <w:shd w:val="clear" w:color="auto" w:fill="FFFFFF"/>
        </w:rPr>
        <w:t>（四）一般公共预算财政拨款基本支出决算情况说明</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2022年度一般公共预算财政拨款基本支出1,538.70万元。其中：人员经费1,420.60万元，较上年决算数减少21.32万元，下降1.5%，主要原因是人员减少。人员经费用途主要包括人员工资、社会保障缴费、住房公积金。公用经费118.09万元，较上年决算数减少103.83万元，下降46.8%，主要原因是学生人数减少。公用经费用途主要包括电费、水费、办公费、公会费用等。</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（五）政府性基金预算收支决算情况说明。</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Times New Roman" w:hAnsi="Times New Roman" w:eastAsia="方正仿宋_GBK"/>
          <w:sz w:val="32"/>
          <w:szCs w:val="32"/>
          <w:lang w:bidi="ar"/>
        </w:rPr>
        <w:t>本部门2022年度无政府性基金预算财政拨款收支。</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（六）国有资本经营预算财政拨款支出决算情况说明。</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Times New Roman" w:hAnsi="Times New Roman" w:eastAsia="方正仿宋_GBK"/>
          <w:sz w:val="32"/>
          <w:szCs w:val="32"/>
          <w:lang w:bidi="ar"/>
        </w:rPr>
        <w:t>本部门2022年度无国有资本经营预算财政拨款支出</w:t>
      </w:r>
      <w:r>
        <w:rPr>
          <w:rFonts w:ascii="方正仿宋_GBK" w:hAnsi="方正仿宋_GBK" w:eastAsia="方正仿宋_GBK" w:cs="方正仿宋_GBK"/>
          <w:sz w:val="32"/>
          <w:szCs w:val="32"/>
          <w:shd w:val="clear" w:color="auto" w:fill="FFFFFF"/>
        </w:rPr>
        <w:t>。</w:t>
      </w:r>
    </w:p>
    <w:p>
      <w:pPr>
        <w:pStyle w:val="23"/>
        <w:autoSpaceDE w:val="0"/>
        <w:spacing w:beforeAutospacing="0" w:afterAutospacing="0" w:line="579" w:lineRule="exact"/>
        <w:ind w:firstLine="640" w:firstLineChars="200"/>
        <w:rPr>
          <w:rStyle w:val="18"/>
          <w:rFonts w:hint="eastAsia" w:ascii="方正黑体_GBK" w:hAnsi="方正黑体_GBK" w:eastAsia="方正黑体_GBK" w:cs="方正黑体_GBK"/>
          <w:b w:val="0"/>
          <w:bCs/>
          <w:sz w:val="32"/>
          <w:szCs w:val="32"/>
          <w:shd w:val="clear" w:color="auto" w:fill="FFFFFF"/>
        </w:rPr>
      </w:pPr>
      <w:r>
        <w:rPr>
          <w:rStyle w:val="18"/>
          <w:rFonts w:hint="eastAsia" w:ascii="方正黑体_GBK" w:hAnsi="方正黑体_GBK" w:eastAsia="方正黑体_GBK" w:cs="方正黑体_GBK"/>
          <w:b w:val="0"/>
          <w:bCs/>
          <w:sz w:val="32"/>
          <w:szCs w:val="32"/>
          <w:shd w:val="clear" w:color="auto" w:fill="FFFFFF"/>
        </w:rPr>
        <w:t>三、“三公”经费情况说明</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（一）“三公”经费支出总体情况说明</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2022年度“三公”经费支出共计2.00万元，较年初预算数增加0.00万元，增长0%。较上年支出数减少0.21万元，下降9.5%，主要原因是接待费用减少。</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（二）“三公”经费分项支出情况</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2022年度本部门因公出国（境）费用0.00万元，费用支出较年初预算数增加0.00万元，增长0%。较上年支出数增加0.00万元，增长0%。</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公务车购置费0.00万元。费用支出较年初预算数增加0.00万元，增长0%。</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公务车运行维护费0.00万元。费用支出较年初预算数增加0.00万元，增长0%.</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公务接待费2.00万元，主要用于接待共同体全体教师在我校学习的生活费。费用支出较年初预算数增加0.00万元，增长0%。较上年支出数减少0.21万元，下降9.5%，主要原因是接待费用减少。</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（三）“三公”经费实物量情况</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2022年度本部门因公出国（境）共计0个团组，0人；公务用车购置0辆，公务车保有量为0辆；国内公务接待59批次456人，其中：国内外事接待0批次，0人；国（境）外公务接待0批次，0人。2022年本部门人均接待费43.86元，车均购置费0.00万元，车均维护费0.00万元。</w:t>
      </w:r>
    </w:p>
    <w:p>
      <w:pPr>
        <w:pStyle w:val="23"/>
        <w:autoSpaceDE w:val="0"/>
        <w:spacing w:beforeAutospacing="0" w:afterAutospacing="0" w:line="579" w:lineRule="exact"/>
        <w:ind w:firstLine="640" w:firstLineChars="200"/>
        <w:rPr>
          <w:rStyle w:val="18"/>
          <w:rFonts w:hint="eastAsia" w:ascii="方正黑体_GBK" w:hAnsi="方正黑体_GBK" w:eastAsia="方正黑体_GBK" w:cs="方正黑体_GBK"/>
          <w:b w:val="0"/>
          <w:bCs/>
          <w:sz w:val="32"/>
          <w:szCs w:val="32"/>
          <w:shd w:val="clear" w:color="auto" w:fill="FFFFFF"/>
        </w:rPr>
      </w:pPr>
      <w:r>
        <w:rPr>
          <w:rStyle w:val="18"/>
          <w:rFonts w:hint="eastAsia" w:ascii="方正黑体_GBK" w:hAnsi="方正黑体_GBK" w:eastAsia="方正黑体_GBK" w:cs="方正黑体_GBK"/>
          <w:b w:val="0"/>
          <w:bCs/>
          <w:sz w:val="32"/>
          <w:szCs w:val="32"/>
          <w:shd w:val="clear" w:color="auto" w:fill="FFFFFF"/>
        </w:rPr>
        <w:t>四、其他需要说明的事项</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（一）财政拨款会议费和培训费情况说明</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本年度会议费支出0.00万元，较上年决算数减少6.06万元，下降100%，主要原因是本年无会议费支出。本年度培训费支出11.00万元，较上年决算数增加9.28万元，增长539.5%，主要原因是本年外出培训人员增加。</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（二）机关运行经费支出情况说明</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按照部门决算列报口径，我单位不在机关运行经费统计范围之内</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（三）国有资产占用情况说明</w:t>
      </w:r>
    </w:p>
    <w:p>
      <w:pPr>
        <w:pStyle w:val="23"/>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截至2022年12月31日，本部门共有车辆0辆。单价100万元（含）以上设备（不含车辆）0台（套）。</w:t>
      </w:r>
    </w:p>
    <w:p>
      <w:pPr>
        <w:pStyle w:val="23"/>
        <w:autoSpaceDE w:val="0"/>
        <w:spacing w:beforeAutospacing="0" w:afterAutospacing="0" w:line="579" w:lineRule="exact"/>
        <w:ind w:firstLine="640" w:firstLineChars="200"/>
        <w:rPr>
          <w:rStyle w:val="18"/>
          <w:rFonts w:hint="eastAsia" w:ascii="方正楷体_GBK" w:hAnsi="方正楷体_GBK" w:eastAsia="方正楷体_GBK" w:cs="方正楷体_GBK"/>
          <w:b w:val="0"/>
          <w:bCs/>
          <w:sz w:val="32"/>
          <w:szCs w:val="32"/>
          <w:shd w:val="clear" w:color="auto" w:fill="FFFFFF"/>
        </w:rPr>
      </w:pPr>
      <w:r>
        <w:rPr>
          <w:rStyle w:val="18"/>
          <w:rFonts w:hint="eastAsia" w:ascii="方正楷体_GBK" w:hAnsi="方正楷体_GBK" w:eastAsia="方正楷体_GBK" w:cs="方正楷体_GBK"/>
          <w:b w:val="0"/>
          <w:bCs/>
          <w:sz w:val="32"/>
          <w:szCs w:val="32"/>
          <w:shd w:val="clear" w:color="auto" w:fill="FFFFFF"/>
        </w:rPr>
        <w:t>（四）政府采购支出说明</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shd w:val="clear" w:color="auto" w:fill="FFFFFF"/>
        </w:rPr>
      </w:pPr>
      <w:r>
        <w:rPr>
          <w:rFonts w:ascii="Times New Roman" w:hAnsi="Times New Roman" w:eastAsia="方正仿宋_GBK"/>
          <w:sz w:val="32"/>
          <w:szCs w:val="32"/>
          <w:lang w:bidi="ar"/>
        </w:rPr>
        <w:t>2022</w:t>
      </w:r>
      <w:r>
        <w:rPr>
          <w:rFonts w:ascii="方正仿宋_GBK" w:hAnsi="方正仿宋_GBK" w:eastAsia="方正仿宋_GBK" w:cs="方正仿宋_GBK"/>
          <w:sz w:val="32"/>
          <w:szCs w:val="32"/>
          <w:shd w:val="clear" w:color="auto" w:fill="FFFFFF"/>
        </w:rPr>
        <w:t>年度我单位未发生政府采购事项，无相关经费支出。</w:t>
      </w:r>
    </w:p>
    <w:p>
      <w:pPr>
        <w:pStyle w:val="23"/>
        <w:autoSpaceDE w:val="0"/>
        <w:spacing w:beforeAutospacing="0" w:afterAutospacing="0" w:line="579" w:lineRule="exact"/>
        <w:ind w:firstLine="640" w:firstLineChars="200"/>
        <w:rPr>
          <w:rStyle w:val="18"/>
          <w:rFonts w:hint="eastAsia" w:ascii="方正黑体_GBK" w:hAnsi="方正黑体_GBK" w:eastAsia="方正黑体_GBK" w:cs="方正黑体_GBK"/>
          <w:b w:val="0"/>
          <w:bCs/>
          <w:sz w:val="32"/>
          <w:szCs w:val="32"/>
          <w:shd w:val="clear" w:color="auto" w:fill="FFFFFF"/>
        </w:rPr>
      </w:pPr>
      <w:r>
        <w:rPr>
          <w:rStyle w:val="18"/>
          <w:rFonts w:hint="eastAsia" w:ascii="方正黑体_GBK" w:hAnsi="方正黑体_GBK" w:eastAsia="方正黑体_GBK" w:cs="方正黑体_GBK"/>
          <w:b w:val="0"/>
          <w:bCs/>
          <w:sz w:val="32"/>
          <w:szCs w:val="32"/>
          <w:shd w:val="clear" w:color="auto" w:fill="FFFFFF"/>
        </w:rPr>
        <w:t>五、预算绩效管理情况说明</w:t>
      </w:r>
    </w:p>
    <w:p>
      <w:pPr>
        <w:spacing w:line="596" w:lineRule="exact"/>
        <w:ind w:firstLine="640" w:firstLineChars="200"/>
        <w:rPr>
          <w:rFonts w:ascii="方正仿宋_GBK" w:eastAsia="方正仿宋_GBK" w:cs="宋体"/>
          <w:sz w:val="32"/>
          <w:szCs w:val="32"/>
        </w:rPr>
      </w:pPr>
      <w:r>
        <w:rPr>
          <w:rFonts w:ascii="方正仿宋_GBK" w:eastAsia="方正仿宋_GBK" w:cs="宋体"/>
          <w:sz w:val="32"/>
          <w:szCs w:val="32"/>
        </w:rPr>
        <w:t>预算绩效管理情况只针对一级预算单位，本单位为二级预算单位，故预算绩效管理情况在此不反映。</w:t>
      </w:r>
    </w:p>
    <w:p>
      <w:pPr>
        <w:pStyle w:val="23"/>
        <w:autoSpaceDE w:val="0"/>
        <w:spacing w:beforeAutospacing="0" w:afterAutospacing="0" w:line="579" w:lineRule="exact"/>
        <w:ind w:firstLine="640" w:firstLineChars="200"/>
        <w:rPr>
          <w:rStyle w:val="18"/>
          <w:rFonts w:hint="eastAsia" w:ascii="方正黑体_GBK" w:hAnsi="方正黑体_GBK" w:eastAsia="方正黑体_GBK" w:cs="方正黑体_GBK"/>
          <w:b w:val="0"/>
          <w:bCs/>
          <w:sz w:val="32"/>
          <w:szCs w:val="32"/>
          <w:shd w:val="clear" w:color="auto" w:fill="FFFFFF"/>
        </w:rPr>
      </w:pPr>
      <w:r>
        <w:rPr>
          <w:rStyle w:val="18"/>
          <w:rFonts w:hint="eastAsia" w:ascii="方正黑体_GBK" w:hAnsi="方正黑体_GBK" w:eastAsia="方正黑体_GBK" w:cs="方正黑体_GBK"/>
          <w:b w:val="0"/>
          <w:bCs/>
          <w:sz w:val="32"/>
          <w:szCs w:val="32"/>
          <w:shd w:val="clear" w:color="auto" w:fill="FFFFFF"/>
        </w:rPr>
        <w:t>六、专业名词解释</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（一）财政拨款收入：</w:t>
      </w:r>
      <w:r>
        <w:rPr>
          <w:rFonts w:ascii="方正仿宋_GBK" w:hAnsi="方正仿宋_GBK" w:eastAsia="方正仿宋_GBK" w:cs="方正仿宋_GBK"/>
          <w:sz w:val="32"/>
          <w:szCs w:val="32"/>
          <w:shd w:val="clear" w:color="auto" w:fill="FFFFFF"/>
        </w:rPr>
        <w:t>指本年度从本级财政部门取得的财政拨款，包括一般公共预算财政拨款和政府性基金预算财政拨款。</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（二）事业收入：</w:t>
      </w:r>
      <w:r>
        <w:rPr>
          <w:rFonts w:ascii="方正仿宋_GBK" w:hAnsi="方正仿宋_GBK" w:eastAsia="方正仿宋_GBK" w:cs="方正仿宋_GBK"/>
          <w:sz w:val="32"/>
          <w:szCs w:val="32"/>
          <w:shd w:val="clear" w:color="auto" w:fill="FFFFFF"/>
        </w:rPr>
        <w:t>指事业单位开展专业业务活动及其辅助活动取得的现金流入；事业单位收到的财政专户实际核拨的教育收费等资金在此反映。</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（三）经营收入：</w:t>
      </w:r>
      <w:r>
        <w:rPr>
          <w:rFonts w:ascii="方正仿宋_GBK" w:hAnsi="方正仿宋_GBK" w:eastAsia="方正仿宋_GBK" w:cs="方正仿宋_GBK"/>
          <w:sz w:val="32"/>
          <w:szCs w:val="32"/>
          <w:shd w:val="clear" w:color="auto" w:fill="FFFFFF"/>
        </w:rPr>
        <w:t>指事业单位在专业业务活动及其辅助活动之外开展非独立核算经营活动取得的现金流入。</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（四）其他收入：</w:t>
      </w:r>
      <w:r>
        <w:rPr>
          <w:rFonts w:ascii="方正仿宋_GBK" w:hAnsi="方正仿宋_GBK" w:eastAsia="方正仿宋_GBK" w:cs="方正仿宋_GBK"/>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（五）使用非财政拨款结余：</w:t>
      </w:r>
      <w:r>
        <w:rPr>
          <w:rFonts w:ascii="方正仿宋_GBK" w:hAnsi="方正仿宋_GBK" w:eastAsia="方正仿宋_GBK" w:cs="方正仿宋_GBK"/>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（六）年初结转和结余：</w:t>
      </w:r>
      <w:r>
        <w:rPr>
          <w:rFonts w:ascii="方正仿宋_GBK" w:hAnsi="方正仿宋_GBK" w:eastAsia="方正仿宋_GBK" w:cs="方正仿宋_GBK"/>
          <w:sz w:val="32"/>
          <w:szCs w:val="32"/>
          <w:shd w:val="clear" w:color="auto" w:fill="FFFFFF"/>
        </w:rPr>
        <w:t>指单位上年结转本年使用的基本支出结转、项目支出结转和结余、经营结余。</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（七）结余分配：</w:t>
      </w:r>
      <w:r>
        <w:rPr>
          <w:rFonts w:ascii="方正仿宋_GBK" w:hAnsi="方正仿宋_GBK" w:eastAsia="方正仿宋_GBK" w:cs="方正仿宋_GBK"/>
          <w:sz w:val="32"/>
          <w:szCs w:val="32"/>
          <w:shd w:val="clear" w:color="auto" w:fill="FFFFFF"/>
        </w:rPr>
        <w:t>指单位按照国家有关规定，缴纳所得税、提取专用基金、转入非财政拨款结余等当年结余的分配情况。</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（八）年末结转和结余：</w:t>
      </w:r>
      <w:r>
        <w:rPr>
          <w:rFonts w:ascii="方正仿宋_GBK" w:hAnsi="方正仿宋_GBK" w:eastAsia="方正仿宋_GBK" w:cs="方正仿宋_GBK"/>
          <w:sz w:val="32"/>
          <w:szCs w:val="32"/>
          <w:shd w:val="clear" w:color="auto" w:fill="FFFFFF"/>
        </w:rPr>
        <w:t>指单位结转下年的基本支出结转、项目支出结转和结余、经营结余。</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（九）基本支出：</w:t>
      </w:r>
      <w:r>
        <w:rPr>
          <w:rFonts w:ascii="方正仿宋_GBK" w:hAnsi="方正仿宋_GBK" w:eastAsia="方正仿宋_GBK" w:cs="方正仿宋_GBK"/>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（十）项目支出：</w:t>
      </w:r>
      <w:r>
        <w:rPr>
          <w:rFonts w:ascii="方正仿宋_GBK" w:hAnsi="方正仿宋_GBK" w:eastAsia="方正仿宋_GBK" w:cs="方正仿宋_GBK"/>
          <w:sz w:val="32"/>
          <w:szCs w:val="32"/>
          <w:shd w:val="clear" w:color="auto" w:fill="FFFFFF"/>
        </w:rPr>
        <w:t>指在基本支出之外为完成特定行政任务和事业发展目标所发生的支出。</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（十一）经营支出：</w:t>
      </w:r>
      <w:r>
        <w:rPr>
          <w:rFonts w:ascii="方正仿宋_GBK" w:hAnsi="方正仿宋_GBK" w:eastAsia="方正仿宋_GBK" w:cs="方正仿宋_GBK"/>
          <w:sz w:val="32"/>
          <w:szCs w:val="32"/>
          <w:shd w:val="clear" w:color="auto" w:fill="FFFFFF"/>
        </w:rPr>
        <w:t>指事业单位在专业业务活动及其辅助活动之外开展非独立核算经营活动发生的支出。</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（十二）“三公”经费：</w:t>
      </w:r>
      <w:r>
        <w:rPr>
          <w:rFonts w:ascii="方正仿宋_GBK" w:hAnsi="方正仿宋_GBK" w:eastAsia="方正仿宋_GBK" w:cs="方正仿宋_GBK"/>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（十三）机关运行经费：</w:t>
      </w:r>
      <w:r>
        <w:rPr>
          <w:rFonts w:ascii="方正仿宋_GBK" w:hAnsi="方正仿宋_GBK" w:eastAsia="方正仿宋_GBK" w:cs="方正仿宋_GBK"/>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（十四）工资福利支出（支出经济分类科目类级）：</w:t>
      </w:r>
      <w:r>
        <w:rPr>
          <w:rFonts w:ascii="方正仿宋_GBK" w:hAnsi="方正仿宋_GBK" w:eastAsia="方正仿宋_GBK" w:cs="方正仿宋_GBK"/>
          <w:sz w:val="32"/>
          <w:szCs w:val="32"/>
          <w:shd w:val="clear" w:color="auto" w:fill="FFFFFF"/>
        </w:rPr>
        <w:t>反映单位开支的在职职工和编制外长期聘用人员的各类劳动报酬，以及为上述人员缴纳的各项社会保险费等。</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（十五）商品和服务支出（支出经济分类科目类级）：</w:t>
      </w:r>
      <w:r>
        <w:rPr>
          <w:rFonts w:ascii="方正仿宋_GBK" w:hAnsi="方正仿宋_GBK" w:eastAsia="方正仿宋_GBK" w:cs="方正仿宋_GBK"/>
          <w:sz w:val="32"/>
          <w:szCs w:val="32"/>
          <w:shd w:val="clear" w:color="auto" w:fill="FFFFFF"/>
        </w:rPr>
        <w:t>反映单位购买商品和服务的支出（不包括用于购置固定资产的支出、战略性和应急储备支出）。</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（十六）对个人和家庭的补助（支出经济分类科目类级）：</w:t>
      </w:r>
      <w:r>
        <w:rPr>
          <w:rFonts w:ascii="方正仿宋_GBK" w:hAnsi="方正仿宋_GBK" w:eastAsia="方正仿宋_GBK" w:cs="方正仿宋_GBK"/>
          <w:sz w:val="32"/>
          <w:szCs w:val="32"/>
          <w:shd w:val="clear" w:color="auto" w:fill="FFFFFF"/>
        </w:rPr>
        <w:t>反映用于对个人和家庭的补助支出。</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18"/>
          <w:rFonts w:hint="eastAsia" w:ascii="方正楷体_GBK" w:hAnsi="方正楷体_GBK" w:eastAsia="方正楷体_GBK" w:cs="方正楷体_GBK"/>
          <w:b w:val="0"/>
          <w:bCs/>
          <w:sz w:val="32"/>
          <w:szCs w:val="32"/>
          <w:shd w:val="clear" w:color="auto" w:fill="FFFFFF"/>
        </w:rPr>
        <w:t>（十七）其他资本性支出（支出经济分类科目类级）：</w:t>
      </w:r>
      <w:r>
        <w:rPr>
          <w:rFonts w:ascii="方正仿宋_GBK" w:hAnsi="方正仿宋_GBK" w:eastAsia="方正仿宋_GBK" w:cs="方正仿宋_GBK"/>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23"/>
        <w:autoSpaceDE w:val="0"/>
        <w:spacing w:beforeAutospacing="0" w:afterAutospacing="0" w:line="579" w:lineRule="exact"/>
        <w:ind w:firstLine="640" w:firstLineChars="200"/>
        <w:rPr>
          <w:rStyle w:val="18"/>
          <w:rFonts w:hint="eastAsia" w:ascii="方正黑体_GBK" w:hAnsi="方正黑体_GBK" w:eastAsia="方正黑体_GBK" w:cs="方正黑体_GBK"/>
          <w:b w:val="0"/>
          <w:bCs/>
          <w:sz w:val="32"/>
          <w:szCs w:val="32"/>
          <w:shd w:val="clear" w:color="auto" w:fill="FFFFFF"/>
        </w:rPr>
      </w:pPr>
      <w:r>
        <w:rPr>
          <w:rStyle w:val="18"/>
          <w:rFonts w:hint="eastAsia" w:ascii="方正黑体_GBK" w:hAnsi="方正黑体_GBK" w:eastAsia="方正黑体_GBK" w:cs="方正黑体_GBK"/>
          <w:b w:val="0"/>
          <w:bCs/>
          <w:sz w:val="32"/>
          <w:szCs w:val="32"/>
          <w:shd w:val="clear" w:color="auto" w:fill="FFFFFF"/>
        </w:rPr>
        <w:t>七、决算公开联系方式及信息反馈渠道</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本单位决算公开信息反馈和联系方式：</w:t>
      </w:r>
    </w:p>
    <w:p>
      <w:pPr>
        <w:pStyle w:val="23"/>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联系人：朱春江 ，联系电话：</w:t>
      </w:r>
      <w:r>
        <w:rPr>
          <w:rFonts w:hint="default" w:ascii="Times New Roman" w:hAnsi="Times New Roman" w:eastAsia="方正仿宋_GBK"/>
          <w:sz w:val="32"/>
          <w:szCs w:val="32"/>
        </w:rPr>
        <w:t>023-59260022</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C1"/>
    <w:rsid w:val="00501FD1"/>
    <w:rsid w:val="00941061"/>
    <w:rsid w:val="00C352C1"/>
    <w:rsid w:val="10326EE3"/>
    <w:rsid w:val="281C157D"/>
    <w:rsid w:val="673E7CB1"/>
    <w:rsid w:val="6E491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paragraph" w:styleId="2">
    <w:name w:val="heading 1"/>
    <w:basedOn w:val="1"/>
    <w:next w:val="1"/>
    <w:qFormat/>
    <w:uiPriority w:val="0"/>
    <w:pPr>
      <w:spacing w:beforeAutospacing="1" w:afterAutospacing="1"/>
      <w:outlineLvl w:val="0"/>
    </w:pPr>
    <w:rPr>
      <w:b/>
      <w:kern w:val="44"/>
      <w:sz w:val="48"/>
      <w:szCs w:val="48"/>
    </w:rPr>
  </w:style>
  <w:style w:type="paragraph" w:styleId="3">
    <w:name w:val="heading 2"/>
    <w:basedOn w:val="1"/>
    <w:next w:val="1"/>
    <w:qFormat/>
    <w:uiPriority w:val="0"/>
    <w:pPr>
      <w:spacing w:beforeAutospacing="1" w:afterAutospacing="1"/>
      <w:outlineLvl w:val="1"/>
    </w:pPr>
    <w:rPr>
      <w:b/>
      <w:sz w:val="36"/>
      <w:szCs w:val="36"/>
    </w:rPr>
  </w:style>
  <w:style w:type="paragraph" w:styleId="4">
    <w:name w:val="heading 3"/>
    <w:basedOn w:val="1"/>
    <w:next w:val="1"/>
    <w:qFormat/>
    <w:uiPriority w:val="0"/>
    <w:pPr>
      <w:spacing w:beforeAutospacing="1" w:afterAutospacing="1"/>
      <w:outlineLvl w:val="2"/>
    </w:pPr>
    <w:rPr>
      <w:b/>
      <w:sz w:val="27"/>
      <w:szCs w:val="27"/>
    </w:rPr>
  </w:style>
  <w:style w:type="paragraph" w:styleId="5">
    <w:name w:val="heading 4"/>
    <w:basedOn w:val="1"/>
    <w:next w:val="1"/>
    <w:qFormat/>
    <w:uiPriority w:val="0"/>
    <w:pPr>
      <w:spacing w:beforeAutospacing="1" w:afterAutospacing="1"/>
      <w:outlineLvl w:val="3"/>
    </w:pPr>
    <w:rPr>
      <w:b/>
    </w:rPr>
  </w:style>
  <w:style w:type="paragraph" w:styleId="6">
    <w:name w:val="heading 5"/>
    <w:basedOn w:val="1"/>
    <w:next w:val="1"/>
    <w:qFormat/>
    <w:uiPriority w:val="0"/>
    <w:pPr>
      <w:spacing w:beforeAutospacing="1" w:afterAutospacing="1"/>
      <w:outlineLvl w:val="4"/>
    </w:pPr>
    <w:rPr>
      <w:b/>
      <w:sz w:val="20"/>
      <w:szCs w:val="20"/>
    </w:rPr>
  </w:style>
  <w:style w:type="paragraph" w:styleId="7">
    <w:name w:val="heading 6"/>
    <w:basedOn w:val="1"/>
    <w:next w:val="1"/>
    <w:qFormat/>
    <w:uiPriority w:val="0"/>
    <w:pPr>
      <w:spacing w:beforeAutospacing="1" w:afterAutospacing="1"/>
      <w:outlineLvl w:val="5"/>
    </w:pPr>
    <w:rPr>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5"/>
    <w:qFormat/>
    <w:uiPriority w:val="0"/>
    <w:pPr>
      <w:tabs>
        <w:tab w:val="center" w:pos="4153"/>
        <w:tab w:val="right" w:pos="8306"/>
      </w:tabs>
      <w:snapToGrid w:val="0"/>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1">
    <w:name w:val="Normal (Web)"/>
    <w:basedOn w:val="1"/>
    <w:qFormat/>
    <w:uiPriority w:val="0"/>
    <w:pPr>
      <w:spacing w:beforeAutospacing="1" w:afterAutospacing="1"/>
    </w:pPr>
  </w:style>
  <w:style w:type="paragraph" w:customStyle="1" w:styleId="14">
    <w:name w:val="普通(网站) Char Char"/>
    <w:basedOn w:val="1"/>
    <w:qFormat/>
    <w:uiPriority w:val="0"/>
    <w:pPr>
      <w:spacing w:beforeAutospacing="1" w:afterAutospacing="1"/>
    </w:pPr>
  </w:style>
  <w:style w:type="paragraph" w:customStyle="1" w:styleId="15">
    <w:name w:val="p Char"/>
    <w:basedOn w:val="1"/>
    <w:qFormat/>
    <w:uiPriority w:val="0"/>
    <w:pPr>
      <w:spacing w:beforeAutospacing="1" w:afterAutospacing="1"/>
    </w:pPr>
  </w:style>
  <w:style w:type="paragraph" w:customStyle="1" w:styleId="16">
    <w:name w:val="HTML 预设格式 Char"/>
    <w:basedOn w:val="1"/>
    <w:qFormat/>
    <w:uiPriority w:val="0"/>
  </w:style>
  <w:style w:type="character" w:customStyle="1" w:styleId="17">
    <w:name w:val="17"/>
    <w:basedOn w:val="13"/>
    <w:qFormat/>
    <w:uiPriority w:val="0"/>
    <w:rPr>
      <w:rFonts w:hint="default" w:ascii="Times New Roman" w:hAnsi="Times New Roman" w:cs="Times New Roman"/>
    </w:rPr>
  </w:style>
  <w:style w:type="character" w:customStyle="1" w:styleId="18">
    <w:name w:val="15"/>
    <w:basedOn w:val="13"/>
    <w:qFormat/>
    <w:uiPriority w:val="0"/>
    <w:rPr>
      <w:rFonts w:hint="default" w:ascii="Times New Roman" w:hAnsi="Times New Roman" w:cs="Times New Roman"/>
      <w:b/>
    </w:rPr>
  </w:style>
  <w:style w:type="paragraph" w:customStyle="1" w:styleId="19">
    <w:name w:val="pre Char"/>
    <w:basedOn w:val="1"/>
    <w:qFormat/>
    <w:uiPriority w:val="0"/>
  </w:style>
  <w:style w:type="character" w:customStyle="1" w:styleId="20">
    <w:name w:val="10"/>
    <w:basedOn w:val="13"/>
    <w:qFormat/>
    <w:uiPriority w:val="0"/>
    <w:rPr>
      <w:rFonts w:hint="default" w:ascii="Times New Roman" w:hAnsi="Times New Roman" w:cs="Times New Roman"/>
    </w:rPr>
  </w:style>
  <w:style w:type="character" w:customStyle="1" w:styleId="21">
    <w:name w:val="16"/>
    <w:basedOn w:val="13"/>
    <w:qFormat/>
    <w:uiPriority w:val="0"/>
    <w:rPr>
      <w:rFonts w:hint="default" w:ascii="Times New Roman" w:hAnsi="Times New Roman" w:cs="Times New Roman"/>
    </w:rPr>
  </w:style>
  <w:style w:type="character" w:customStyle="1" w:styleId="22">
    <w:name w:val="18"/>
    <w:basedOn w:val="13"/>
    <w:qFormat/>
    <w:uiPriority w:val="0"/>
    <w:rPr>
      <w:rFonts w:hint="default" w:ascii="Times New Roman" w:hAnsi="Times New Roman" w:cs="Times New Roman"/>
    </w:rPr>
  </w:style>
  <w:style w:type="paragraph" w:customStyle="1" w:styleId="23">
    <w:name w:val="普通(网站) Char"/>
    <w:basedOn w:val="1"/>
    <w:qFormat/>
    <w:uiPriority w:val="0"/>
    <w:pPr>
      <w:spacing w:beforeAutospacing="1" w:afterAutospacing="1"/>
    </w:pPr>
  </w:style>
  <w:style w:type="character" w:customStyle="1" w:styleId="24">
    <w:name w:val="页眉 Char"/>
    <w:basedOn w:val="13"/>
    <w:link w:val="9"/>
    <w:qFormat/>
    <w:uiPriority w:val="0"/>
    <w:rPr>
      <w:rFonts w:ascii="宋体" w:hAnsi="宋体"/>
      <w:sz w:val="18"/>
      <w:szCs w:val="18"/>
    </w:rPr>
  </w:style>
  <w:style w:type="character" w:customStyle="1" w:styleId="25">
    <w:name w:val="页脚 Char"/>
    <w:basedOn w:val="13"/>
    <w:link w:val="8"/>
    <w:qFormat/>
    <w:uiPriority w:val="0"/>
    <w:rPr>
      <w:rFonts w:ascii="宋体" w:hAnsi="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739</Words>
  <Characters>4218</Characters>
  <Lines>35</Lines>
  <Paragraphs>9</Paragraphs>
  <TotalTime>13</TotalTime>
  <ScaleCrop>false</ScaleCrop>
  <LinksUpToDate>false</LinksUpToDate>
  <CharactersWithSpaces>4948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2023-10-25T07:16:00Z</dcterms:created>
  <dc:creator>admin</dc:creator>
  <cp:lastModifiedBy>666</cp:lastModifiedBy>
  <dcterms:modified xsi:type="dcterms:W3CDTF">2023-11-09T02:45:04Z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E605C63A0F214B84835B444423CACE0B_12</vt:lpwstr>
  </property>
  <property fmtid="{D5CDD505-2E9C-101B-9397-08002B2CF9AE}" pid="4" name="KSOSaveFontToCloudKey">
    <vt:lpwstr>300157628_btnclosed</vt:lpwstr>
  </property>
</Properties>
</file>