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79" w:lineRule="exact"/>
        <w:jc w:val="center"/>
        <w:rPr>
          <w:rFonts w:hint="default" w:ascii="Times New Roman" w:hAnsi="Times New Roman" w:eastAsia="方正小标宋_GBK"/>
          <w:color w:val="000000"/>
          <w:sz w:val="44"/>
          <w:szCs w:val="44"/>
        </w:rPr>
      </w:pPr>
      <w:r>
        <w:rPr>
          <w:rFonts w:ascii="方正小标宋_GBK" w:hAnsi="方正小标宋_GBK" w:eastAsia="方正小标宋_GBK" w:cs="方正小标宋_GBK"/>
          <w:color w:val="000000"/>
          <w:sz w:val="44"/>
          <w:szCs w:val="44"/>
        </w:rPr>
        <w:t>城口县明通初级中学</w:t>
      </w:r>
    </w:p>
    <w:p>
      <w:pPr>
        <w:spacing w:line="579" w:lineRule="exact"/>
        <w:jc w:val="center"/>
        <w:rPr>
          <w:rFonts w:hint="default" w:ascii="Times New Roman" w:hAnsi="Times New Roman" w:eastAsia="方正仿宋_GBK"/>
          <w:b/>
          <w:color w:val="000000"/>
          <w:sz w:val="32"/>
          <w:szCs w:val="32"/>
          <w:shd w:val="clear" w:color="auto" w:fill="FFFFFF"/>
        </w:rPr>
      </w:pPr>
      <w:r>
        <w:rPr>
          <w:rFonts w:hint="default" w:ascii="Times New Roman" w:hAnsi="Times New Roman" w:eastAsia="方正小标宋_GBK"/>
          <w:color w:val="000000"/>
          <w:sz w:val="44"/>
          <w:szCs w:val="44"/>
        </w:rPr>
        <w:t>2022</w:t>
      </w:r>
      <w:r>
        <w:rPr>
          <w:rFonts w:ascii="方正小标宋_GBK" w:hAnsi="方正小标宋_GBK" w:eastAsia="方正小标宋_GBK" w:cs="方正小标宋_GBK"/>
          <w:color w:val="000000"/>
          <w:sz w:val="44"/>
          <w:szCs w:val="44"/>
        </w:rPr>
        <w:t>年度部门决算情况说明</w:t>
      </w:r>
      <w:r>
        <w:rPr>
          <w:rStyle w:val="15"/>
          <w:rFonts w:hint="eastAsia" w:eastAsia="方正仿宋_GBK"/>
          <w:color w:val="000000"/>
          <w:sz w:val="32"/>
          <w:szCs w:val="32"/>
          <w:shd w:val="clear" w:color="auto" w:fill="FFFFFF"/>
        </w:rPr>
        <w:t xml:space="preserve"> </w:t>
      </w:r>
    </w:p>
    <w:p>
      <w:pPr>
        <w:pStyle w:val="23"/>
        <w:shd w:val="clear" w:color="auto" w:fill="FFFFFF"/>
        <w:autoSpaceDE w:val="0"/>
        <w:spacing w:beforeAutospacing="0" w:afterAutospacing="0"/>
        <w:ind w:firstLine="640" w:firstLineChars="200"/>
        <w:rPr>
          <w:rFonts w:hint="default" w:ascii="方正黑体_GBK" w:hAnsi="方正黑体_GBK" w:eastAsia="方正黑体_GBK" w:cs="方正黑体_GBK"/>
          <w:bCs/>
          <w:color w:val="000000"/>
          <w:sz w:val="32"/>
          <w:szCs w:val="32"/>
          <w:shd w:val="clear" w:color="auto" w:fill="FFFFFF"/>
        </w:rPr>
      </w:pPr>
      <w:r>
        <w:rPr>
          <w:rStyle w:val="15"/>
          <w:rFonts w:hint="eastAsia" w:ascii="方正黑体_GBK" w:hAnsi="方正黑体_GBK" w:eastAsia="方正黑体_GBK" w:cs="方正黑体_GBK"/>
          <w:b w:val="0"/>
          <w:bCs/>
          <w:color w:val="000000"/>
          <w:sz w:val="32"/>
          <w:szCs w:val="32"/>
          <w:shd w:val="clear" w:color="auto" w:fill="FFFFFF"/>
        </w:rPr>
        <w:t xml:space="preserve"> </w:t>
      </w:r>
    </w:p>
    <w:p>
      <w:pPr>
        <w:pStyle w:val="23"/>
        <w:shd w:val="clear" w:color="auto" w:fill="FFFFFF"/>
        <w:autoSpaceDE w:val="0"/>
        <w:spacing w:beforeAutospacing="0" w:afterAutospacing="0"/>
        <w:ind w:firstLine="640" w:firstLineChars="200"/>
        <w:rPr>
          <w:rFonts w:hint="default" w:ascii="Times New Roman" w:hAnsi="Times New Roman" w:eastAsia="方正黑体_GBK"/>
          <w:bCs/>
          <w:color w:val="000000"/>
          <w:sz w:val="32"/>
          <w:szCs w:val="32"/>
          <w:shd w:val="clear" w:color="auto" w:fill="FFFFFF"/>
        </w:rPr>
      </w:pPr>
      <w:r>
        <w:rPr>
          <w:rStyle w:val="15"/>
          <w:rFonts w:hint="eastAsia" w:ascii="方正黑体_GBK" w:hAnsi="方正黑体_GBK" w:eastAsia="方正黑体_GBK" w:cs="方正黑体_GBK"/>
          <w:b w:val="0"/>
          <w:bCs/>
          <w:color w:val="000000"/>
          <w:sz w:val="32"/>
          <w:szCs w:val="32"/>
          <w:shd w:val="clear" w:color="auto" w:fill="FFFFFF"/>
        </w:rPr>
        <w:t>一、部门基本情况</w:t>
      </w:r>
    </w:p>
    <w:p>
      <w:pPr>
        <w:pStyle w:val="23"/>
        <w:shd w:val="clear" w:color="auto" w:fill="FFFFFF"/>
        <w:autoSpaceDE w:val="0"/>
        <w:spacing w:beforeAutospacing="0" w:afterAutospacing="0"/>
        <w:ind w:firstLine="640" w:firstLineChars="200"/>
        <w:rPr>
          <w:rFonts w:hint="default" w:ascii="方正楷体_GBK" w:hAnsi="方正楷体_GBK" w:eastAsia="方正楷体_GBK" w:cs="方正楷体_GBK"/>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（一）职能职责</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认真贯彻执行党的路线、方针和政策；坚持正确的办学方向；采取生动有效的教育措施和方法进行以爱祖国、爱人民、爱劳动、爱科学、爱社会主义为中心的思想品德教育，认真完成普及初等教育的任务，严格执行教学大纲，保证完成教育、教学计划；按教育规律办事，坚持“德、智、体、美、劳”全面发展；积极进行教育思想、教学内容、教学方法和教育手段的改革；积极开展以普及为主的课外群体活动和体育传统项目运动队的训练；开展以预防为主、防治结合的卫生保健工作，做好常见病、多发病的预防和矫治。加强美育。通过各学科和各种课外活动培养学生具有健康的审美观点。积极地有步骤地创造条件改善学校校舍和教学、体育、卫生、生活等方面地设备，切实加强学校管理工作。</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（二）机构设置</w:t>
      </w:r>
    </w:p>
    <w:p>
      <w:pPr>
        <w:autoSpaceDE w:val="0"/>
        <w:ind w:firstLine="640" w:firstLineChars="200"/>
        <w:rPr>
          <w:rFonts w:hint="default" w:ascii="Times New Roman" w:hAnsi="Times New Roman" w:eastAsia="方正仿宋_GBK"/>
          <w:color w:val="000000"/>
          <w:sz w:val="32"/>
          <w:szCs w:val="32"/>
        </w:rPr>
      </w:pPr>
      <w:r>
        <w:rPr>
          <w:rFonts w:ascii="方正仿宋_GBK" w:hAnsi="方正仿宋_GBK" w:eastAsia="方正仿宋_GBK" w:cs="方正仿宋_GBK"/>
          <w:color w:val="000000"/>
          <w:sz w:val="32"/>
          <w:szCs w:val="32"/>
        </w:rPr>
        <w:t>内设机构：</w:t>
      </w:r>
    </w:p>
    <w:p>
      <w:pPr>
        <w:pStyle w:val="23"/>
        <w:shd w:val="clear" w:color="auto" w:fill="FFFFFF"/>
        <w:autoSpaceDE w:val="0"/>
        <w:spacing w:beforeAutospacing="0" w:afterAutospacing="0"/>
        <w:ind w:firstLine="640" w:firstLineChars="200"/>
        <w:rPr>
          <w:rStyle w:val="15"/>
          <w:rFonts w:hint="eastAsia" w:eastAsia="方正仿宋_GBK"/>
          <w:b w:val="0"/>
          <w:bCs/>
          <w:color w:val="000000"/>
          <w:sz w:val="32"/>
          <w:szCs w:val="32"/>
          <w:shd w:val="clear" w:color="auto" w:fill="FFFFFF"/>
        </w:rPr>
      </w:pPr>
      <w:r>
        <w:rPr>
          <w:rStyle w:val="15"/>
          <w:rFonts w:eastAsia="方正仿宋_GBK"/>
          <w:b w:val="0"/>
          <w:bCs/>
          <w:color w:val="000000"/>
          <w:sz w:val="32"/>
          <w:szCs w:val="32"/>
          <w:shd w:val="clear" w:color="auto" w:fill="FFFFFF"/>
        </w:rPr>
        <w:t>1</w:t>
      </w:r>
      <w:r>
        <w:rPr>
          <w:rStyle w:val="15"/>
          <w:rFonts w:hint="eastAsia" w:eastAsia="方正仿宋_GBK"/>
          <w:b w:val="0"/>
          <w:bCs/>
          <w:color w:val="000000"/>
          <w:sz w:val="32"/>
          <w:szCs w:val="32"/>
          <w:shd w:val="clear" w:color="auto" w:fill="FFFFFF"/>
        </w:rPr>
        <w:t>.办公室</w:t>
      </w:r>
      <w:r>
        <w:rPr>
          <w:rStyle w:val="15"/>
          <w:rFonts w:eastAsia="方正仿宋_GBK"/>
          <w:b w:val="0"/>
          <w:bCs/>
          <w:color w:val="000000"/>
          <w:sz w:val="32"/>
          <w:szCs w:val="32"/>
          <w:shd w:val="clear" w:color="auto" w:fill="FFFFFF"/>
        </w:rPr>
        <w:tab/>
      </w:r>
    </w:p>
    <w:p>
      <w:pPr>
        <w:pStyle w:val="23"/>
        <w:shd w:val="clear" w:color="auto" w:fill="FFFFFF"/>
        <w:autoSpaceDE w:val="0"/>
        <w:spacing w:beforeAutospacing="0" w:afterAutospacing="0"/>
        <w:ind w:firstLine="640" w:firstLineChars="200"/>
        <w:rPr>
          <w:rStyle w:val="15"/>
          <w:rFonts w:hint="eastAsia" w:eastAsia="方正仿宋_GBK"/>
          <w:b w:val="0"/>
          <w:bCs/>
          <w:color w:val="000000"/>
          <w:sz w:val="32"/>
          <w:szCs w:val="32"/>
          <w:shd w:val="clear" w:color="auto" w:fill="FFFFFF"/>
        </w:rPr>
      </w:pPr>
      <w:r>
        <w:rPr>
          <w:rStyle w:val="15"/>
          <w:rFonts w:eastAsia="方正仿宋_GBK"/>
          <w:b w:val="0"/>
          <w:bCs/>
          <w:color w:val="000000"/>
          <w:sz w:val="32"/>
          <w:szCs w:val="32"/>
          <w:shd w:val="clear" w:color="auto" w:fill="FFFFFF"/>
        </w:rPr>
        <w:t>2</w:t>
      </w:r>
      <w:r>
        <w:rPr>
          <w:rStyle w:val="15"/>
          <w:rFonts w:hint="eastAsia" w:eastAsia="方正仿宋_GBK"/>
          <w:b w:val="0"/>
          <w:bCs/>
          <w:color w:val="000000"/>
          <w:sz w:val="32"/>
          <w:szCs w:val="32"/>
          <w:shd w:val="clear" w:color="auto" w:fill="FFFFFF"/>
        </w:rPr>
        <w:t>.</w:t>
      </w:r>
      <w:r>
        <w:rPr>
          <w:rStyle w:val="15"/>
          <w:rFonts w:eastAsia="方正仿宋_GBK"/>
          <w:b w:val="0"/>
          <w:bCs/>
          <w:color w:val="000000"/>
          <w:sz w:val="32"/>
          <w:szCs w:val="32"/>
          <w:shd w:val="clear" w:color="auto" w:fill="FFFFFF"/>
        </w:rPr>
        <w:t>教务处</w:t>
      </w:r>
    </w:p>
    <w:p>
      <w:pPr>
        <w:pStyle w:val="23"/>
        <w:shd w:val="clear" w:color="auto" w:fill="FFFFFF"/>
        <w:autoSpaceDE w:val="0"/>
        <w:spacing w:beforeAutospacing="0" w:afterAutospacing="0"/>
        <w:ind w:firstLine="640" w:firstLineChars="200"/>
        <w:rPr>
          <w:rStyle w:val="15"/>
          <w:rFonts w:hint="eastAsia" w:eastAsia="方正仿宋_GBK"/>
          <w:b w:val="0"/>
          <w:bCs/>
          <w:color w:val="000000"/>
          <w:sz w:val="32"/>
          <w:szCs w:val="32"/>
          <w:shd w:val="clear" w:color="auto" w:fill="FFFFFF"/>
        </w:rPr>
      </w:pPr>
      <w:r>
        <w:rPr>
          <w:rStyle w:val="15"/>
          <w:rFonts w:eastAsia="方正仿宋_GBK"/>
          <w:b w:val="0"/>
          <w:bCs/>
          <w:color w:val="000000"/>
          <w:sz w:val="32"/>
          <w:szCs w:val="32"/>
          <w:shd w:val="clear" w:color="auto" w:fill="FFFFFF"/>
        </w:rPr>
        <w:t>3</w:t>
      </w:r>
      <w:r>
        <w:rPr>
          <w:rStyle w:val="15"/>
          <w:rFonts w:hint="eastAsia" w:eastAsia="方正仿宋_GBK"/>
          <w:b w:val="0"/>
          <w:bCs/>
          <w:color w:val="000000"/>
          <w:sz w:val="32"/>
          <w:szCs w:val="32"/>
          <w:shd w:val="clear" w:color="auto" w:fill="FFFFFF"/>
        </w:rPr>
        <w:t>.</w:t>
      </w:r>
      <w:r>
        <w:rPr>
          <w:rStyle w:val="15"/>
          <w:rFonts w:eastAsia="方正仿宋_GBK"/>
          <w:b w:val="0"/>
          <w:bCs/>
          <w:color w:val="000000"/>
          <w:sz w:val="32"/>
          <w:szCs w:val="32"/>
          <w:shd w:val="clear" w:color="auto" w:fill="FFFFFF"/>
        </w:rPr>
        <w:t>政教处</w:t>
      </w:r>
    </w:p>
    <w:p>
      <w:pPr>
        <w:pStyle w:val="23"/>
        <w:shd w:val="clear" w:color="auto" w:fill="FFFFFF"/>
        <w:autoSpaceDE w:val="0"/>
        <w:spacing w:beforeAutospacing="0" w:afterAutospacing="0"/>
        <w:ind w:firstLine="640" w:firstLineChars="200"/>
        <w:rPr>
          <w:rStyle w:val="15"/>
          <w:rFonts w:hint="eastAsia" w:eastAsia="方正仿宋_GBK"/>
          <w:b w:val="0"/>
          <w:bCs/>
          <w:color w:val="000000"/>
          <w:sz w:val="32"/>
          <w:szCs w:val="32"/>
          <w:shd w:val="clear" w:color="auto" w:fill="FFFFFF"/>
        </w:rPr>
      </w:pPr>
      <w:r>
        <w:rPr>
          <w:rStyle w:val="15"/>
          <w:rFonts w:eastAsia="方正仿宋_GBK"/>
          <w:b w:val="0"/>
          <w:bCs/>
          <w:color w:val="000000"/>
          <w:sz w:val="32"/>
          <w:szCs w:val="32"/>
          <w:shd w:val="clear" w:color="auto" w:fill="FFFFFF"/>
        </w:rPr>
        <w:t>4</w:t>
      </w:r>
      <w:r>
        <w:rPr>
          <w:rStyle w:val="15"/>
          <w:rFonts w:hint="eastAsia" w:eastAsia="方正仿宋_GBK"/>
          <w:b w:val="0"/>
          <w:bCs/>
          <w:color w:val="000000"/>
          <w:sz w:val="32"/>
          <w:szCs w:val="32"/>
          <w:shd w:val="clear" w:color="auto" w:fill="FFFFFF"/>
        </w:rPr>
        <w:t>.</w:t>
      </w:r>
      <w:r>
        <w:rPr>
          <w:rStyle w:val="15"/>
          <w:rFonts w:eastAsia="方正仿宋_GBK"/>
          <w:b w:val="0"/>
          <w:bCs/>
          <w:color w:val="000000"/>
          <w:sz w:val="32"/>
          <w:szCs w:val="32"/>
          <w:shd w:val="clear" w:color="auto" w:fill="FFFFFF"/>
        </w:rPr>
        <w:t>总务处</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（三）单位构成</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我校属于独立编制机构（</w:t>
      </w:r>
      <w:r>
        <w:rPr>
          <w:rFonts w:hint="default" w:ascii="Times New Roman" w:hAnsi="Times New Roman" w:eastAsia="方正仿宋_GBK"/>
          <w:color w:val="000000"/>
          <w:sz w:val="32"/>
          <w:szCs w:val="32"/>
          <w:shd w:val="clear" w:color="auto" w:fill="FFFFFF"/>
        </w:rPr>
        <w:t>1</w:t>
      </w:r>
      <w:r>
        <w:rPr>
          <w:rFonts w:ascii="方正仿宋_GBK" w:hAnsi="方正仿宋_GBK" w:eastAsia="方正仿宋_GBK" w:cs="方正仿宋_GBK"/>
          <w:color w:val="000000"/>
          <w:sz w:val="32"/>
          <w:szCs w:val="32"/>
          <w:shd w:val="clear" w:color="auto" w:fill="FFFFFF"/>
        </w:rPr>
        <w:t>），独立核算机构（</w:t>
      </w:r>
      <w:r>
        <w:rPr>
          <w:rFonts w:hint="default" w:ascii="Times New Roman" w:hAnsi="Times New Roman" w:eastAsia="方正仿宋_GBK"/>
          <w:color w:val="000000"/>
          <w:sz w:val="32"/>
          <w:szCs w:val="32"/>
          <w:shd w:val="clear" w:color="auto" w:fill="FFFFFF"/>
        </w:rPr>
        <w:t>1</w:t>
      </w:r>
      <w:r>
        <w:rPr>
          <w:rFonts w:ascii="方正仿宋_GBK" w:hAnsi="方正仿宋_GBK" w:eastAsia="方正仿宋_GBK" w:cs="方正仿宋_GBK"/>
          <w:color w:val="000000"/>
          <w:sz w:val="32"/>
          <w:szCs w:val="32"/>
          <w:shd w:val="clear" w:color="auto" w:fill="FFFFFF"/>
        </w:rPr>
        <w:t>）</w:t>
      </w:r>
    </w:p>
    <w:p>
      <w:pPr>
        <w:pStyle w:val="23"/>
        <w:shd w:val="clear" w:color="auto" w:fill="FFFFFF"/>
        <w:autoSpaceDE w:val="0"/>
        <w:spacing w:beforeAutospacing="0" w:afterAutospacing="0"/>
        <w:ind w:firstLine="640" w:firstLineChars="200"/>
        <w:rPr>
          <w:rFonts w:hint="default" w:ascii="Times New Roman" w:hAnsi="Times New Roman" w:eastAsia="方正黑体_GBK"/>
          <w:bCs/>
          <w:color w:val="000000"/>
          <w:sz w:val="32"/>
          <w:szCs w:val="32"/>
          <w:shd w:val="clear" w:color="auto" w:fill="FFFFFF"/>
        </w:rPr>
      </w:pPr>
      <w:r>
        <w:rPr>
          <w:rStyle w:val="15"/>
          <w:rFonts w:hint="eastAsia" w:ascii="方正黑体_GBK" w:hAnsi="方正黑体_GBK" w:eastAsia="方正黑体_GBK" w:cs="方正黑体_GBK"/>
          <w:b w:val="0"/>
          <w:bCs/>
          <w:color w:val="000000"/>
          <w:sz w:val="32"/>
          <w:szCs w:val="32"/>
          <w:shd w:val="clear" w:color="auto" w:fill="FFFFFF"/>
        </w:rPr>
        <w:t>二、部门决算情况说明</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（一）收入支出决算总体情况说明</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eastAsia="方正仿宋_GBK"/>
          <w:b w:val="0"/>
          <w:bCs/>
          <w:color w:val="000000"/>
          <w:sz w:val="32"/>
          <w:szCs w:val="32"/>
          <w:shd w:val="clear" w:color="auto" w:fill="FFFFFF"/>
        </w:rPr>
        <w:t>1</w:t>
      </w:r>
      <w:r>
        <w:rPr>
          <w:rStyle w:val="15"/>
          <w:rFonts w:hint="eastAsia" w:ascii="方正仿宋_GBK" w:hAnsi="方正仿宋_GBK" w:eastAsia="方正仿宋_GBK" w:cs="方正仿宋_GBK"/>
          <w:b w:val="0"/>
          <w:bCs/>
          <w:color w:val="000000"/>
          <w:sz w:val="32"/>
          <w:szCs w:val="32"/>
          <w:shd w:val="clear" w:color="auto" w:fill="FFFFFF"/>
        </w:rPr>
        <w:t>.总体情况。</w:t>
      </w: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年度收入总计</w:t>
      </w:r>
      <w:r>
        <w:rPr>
          <w:rFonts w:hint="default" w:ascii="Times New Roman" w:hAnsi="Times New Roman" w:eastAsia="方正仿宋_GBK"/>
          <w:color w:val="000000"/>
          <w:sz w:val="32"/>
          <w:szCs w:val="32"/>
          <w:shd w:val="clear" w:color="auto" w:fill="FFFFFF"/>
        </w:rPr>
        <w:t>2,444.03</w:t>
      </w:r>
      <w:r>
        <w:rPr>
          <w:rFonts w:ascii="方正仿宋_GBK" w:hAnsi="方正仿宋_GBK" w:eastAsia="方正仿宋_GBK" w:cs="方正仿宋_GBK"/>
          <w:color w:val="000000"/>
          <w:sz w:val="32"/>
          <w:szCs w:val="32"/>
          <w:shd w:val="clear" w:color="auto" w:fill="FFFFFF"/>
        </w:rPr>
        <w:t>万元，支出总计</w:t>
      </w:r>
      <w:r>
        <w:rPr>
          <w:rFonts w:hint="default" w:ascii="Times New Roman" w:hAnsi="Times New Roman" w:eastAsia="方正仿宋_GBK"/>
          <w:color w:val="000000"/>
          <w:sz w:val="32"/>
          <w:szCs w:val="32"/>
          <w:shd w:val="clear" w:color="auto" w:fill="FFFFFF"/>
        </w:rPr>
        <w:t>2,444.03</w:t>
      </w:r>
      <w:r>
        <w:rPr>
          <w:rFonts w:ascii="方正仿宋_GBK" w:hAnsi="方正仿宋_GBK" w:eastAsia="方正仿宋_GBK" w:cs="方正仿宋_GBK"/>
          <w:color w:val="000000"/>
          <w:sz w:val="32"/>
          <w:szCs w:val="32"/>
          <w:shd w:val="clear" w:color="auto" w:fill="FFFFFF"/>
        </w:rPr>
        <w:t>万元。收支较上年决算数减少</w:t>
      </w:r>
      <w:r>
        <w:rPr>
          <w:rFonts w:hint="default" w:ascii="Times New Roman" w:hAnsi="Times New Roman" w:eastAsia="方正仿宋_GBK"/>
          <w:color w:val="000000"/>
          <w:sz w:val="32"/>
          <w:szCs w:val="32"/>
          <w:shd w:val="clear" w:color="auto" w:fill="FFFFFF"/>
        </w:rPr>
        <w:t>454.38</w:t>
      </w:r>
      <w:r>
        <w:rPr>
          <w:rFonts w:ascii="方正仿宋_GBK" w:hAnsi="方正仿宋_GBK" w:eastAsia="方正仿宋_GBK" w:cs="方正仿宋_GBK"/>
          <w:color w:val="000000"/>
          <w:sz w:val="32"/>
          <w:szCs w:val="32"/>
          <w:shd w:val="clear" w:color="auto" w:fill="FFFFFF"/>
        </w:rPr>
        <w:t>万元</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下降</w:t>
      </w:r>
      <w:r>
        <w:rPr>
          <w:rFonts w:hint="default" w:ascii="Times New Roman" w:hAnsi="Times New Roman" w:eastAsia="方正仿宋_GBK"/>
          <w:color w:val="000000"/>
          <w:sz w:val="32"/>
          <w:szCs w:val="32"/>
          <w:shd w:val="clear" w:color="auto" w:fill="FFFFFF"/>
        </w:rPr>
        <w:t>15.7%</w:t>
      </w:r>
      <w:r>
        <w:rPr>
          <w:rFonts w:ascii="方正仿宋_GBK" w:hAnsi="方正仿宋_GBK" w:eastAsia="方正仿宋_GBK" w:cs="方正仿宋_GBK"/>
          <w:color w:val="000000"/>
          <w:sz w:val="32"/>
          <w:szCs w:val="32"/>
          <w:shd w:val="clear" w:color="auto" w:fill="FFFFFF"/>
        </w:rPr>
        <w:t>，主要原因是学生和教师人数减少，人员经费等减少。</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eastAsia="方正仿宋_GBK"/>
          <w:b w:val="0"/>
          <w:bCs/>
          <w:color w:val="000000"/>
          <w:sz w:val="32"/>
          <w:szCs w:val="32"/>
          <w:shd w:val="clear" w:color="auto" w:fill="FFFFFF"/>
        </w:rPr>
        <w:t>2.收入情况。</w:t>
      </w: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年度收入合计</w:t>
      </w:r>
      <w:r>
        <w:rPr>
          <w:rFonts w:hint="default" w:ascii="Times New Roman" w:hAnsi="Times New Roman" w:eastAsia="方正仿宋_GBK"/>
          <w:color w:val="000000"/>
          <w:sz w:val="32"/>
          <w:szCs w:val="32"/>
          <w:shd w:val="clear" w:color="auto" w:fill="FFFFFF"/>
        </w:rPr>
        <w:t>2,444.03</w:t>
      </w:r>
      <w:r>
        <w:rPr>
          <w:rFonts w:ascii="方正仿宋_GBK" w:hAnsi="方正仿宋_GBK" w:eastAsia="方正仿宋_GBK" w:cs="方正仿宋_GBK"/>
          <w:color w:val="000000"/>
          <w:sz w:val="32"/>
          <w:szCs w:val="32"/>
          <w:shd w:val="clear" w:color="auto" w:fill="FFFFFF"/>
        </w:rPr>
        <w:t>万元，较上年决算数减少</w:t>
      </w:r>
      <w:r>
        <w:rPr>
          <w:rFonts w:hint="default" w:ascii="Times New Roman" w:hAnsi="Times New Roman" w:eastAsia="方正仿宋_GBK"/>
          <w:color w:val="000000"/>
          <w:sz w:val="32"/>
          <w:szCs w:val="32"/>
          <w:shd w:val="clear" w:color="auto" w:fill="FFFFFF"/>
        </w:rPr>
        <w:t>386.04</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13.6%</w:t>
      </w:r>
      <w:r>
        <w:rPr>
          <w:rFonts w:ascii="方正仿宋_GBK" w:hAnsi="方正仿宋_GBK" w:eastAsia="方正仿宋_GBK" w:cs="方正仿宋_GBK"/>
          <w:color w:val="000000"/>
          <w:sz w:val="32"/>
          <w:szCs w:val="32"/>
          <w:shd w:val="clear" w:color="auto" w:fill="FFFFFF"/>
        </w:rPr>
        <w:t>，主要原因是学生和教师人数减少，人员经费等减少。其中：财政拨款收入</w:t>
      </w:r>
      <w:r>
        <w:rPr>
          <w:rFonts w:hint="default" w:ascii="Times New Roman" w:hAnsi="Times New Roman" w:eastAsia="方正仿宋_GBK"/>
          <w:color w:val="000000"/>
          <w:sz w:val="32"/>
          <w:szCs w:val="32"/>
          <w:shd w:val="clear" w:color="auto" w:fill="FFFFFF"/>
        </w:rPr>
        <w:t>2,444.03</w:t>
      </w:r>
      <w:r>
        <w:rPr>
          <w:rFonts w:ascii="方正仿宋_GBK" w:hAnsi="方正仿宋_GBK" w:eastAsia="方正仿宋_GBK" w:cs="方正仿宋_GBK"/>
          <w:color w:val="000000"/>
          <w:sz w:val="32"/>
          <w:szCs w:val="32"/>
          <w:shd w:val="clear" w:color="auto" w:fill="FFFFFF"/>
        </w:rPr>
        <w:t>万元，占</w:t>
      </w:r>
      <w:r>
        <w:rPr>
          <w:rFonts w:hint="default" w:ascii="Times New Roman" w:hAnsi="Times New Roman" w:eastAsia="方正仿宋_GBK"/>
          <w:color w:val="000000"/>
          <w:sz w:val="32"/>
          <w:szCs w:val="32"/>
          <w:shd w:val="clear" w:color="auto" w:fill="FFFFFF"/>
        </w:rPr>
        <w:t>100%</w:t>
      </w:r>
      <w:r>
        <w:rPr>
          <w:rFonts w:ascii="方正仿宋_GBK" w:hAnsi="方正仿宋_GBK" w:eastAsia="方正仿宋_GBK" w:cs="方正仿宋_GBK"/>
          <w:color w:val="000000"/>
          <w:sz w:val="32"/>
          <w:szCs w:val="32"/>
          <w:shd w:val="clear" w:color="auto" w:fill="FFFFFF"/>
        </w:rPr>
        <w:t>；</w:t>
      </w:r>
    </w:p>
    <w:p>
      <w:pPr>
        <w:pStyle w:val="23"/>
        <w:shd w:val="clear" w:color="auto" w:fill="FFFFFF"/>
        <w:autoSpaceDE w:val="0"/>
        <w:spacing w:beforeAutospacing="0" w:afterAutospacing="0"/>
        <w:ind w:firstLine="643" w:firstLineChars="200"/>
        <w:rPr>
          <w:rFonts w:hint="default" w:ascii="Times New Roman" w:hAnsi="Times New Roman" w:eastAsia="方正仿宋_GBK"/>
          <w:color w:val="000000"/>
          <w:sz w:val="32"/>
          <w:szCs w:val="32"/>
          <w:shd w:val="clear" w:color="auto" w:fill="FFFFFF"/>
        </w:rPr>
      </w:pPr>
      <w:r>
        <w:rPr>
          <w:rStyle w:val="15"/>
          <w:rFonts w:hint="eastAsia" w:eastAsia="方正仿宋_GBK"/>
          <w:color w:val="000000"/>
          <w:sz w:val="32"/>
          <w:szCs w:val="32"/>
          <w:shd w:val="clear" w:color="auto" w:fill="FFFFFF"/>
        </w:rPr>
        <w:t xml:space="preserve"> </w:t>
      </w:r>
      <w:r>
        <w:rPr>
          <w:rStyle w:val="15"/>
          <w:rFonts w:hint="eastAsia" w:eastAsia="方正仿宋_GBK"/>
          <w:b w:val="0"/>
          <w:bCs/>
          <w:color w:val="000000"/>
          <w:sz w:val="32"/>
          <w:szCs w:val="32"/>
          <w:shd w:val="clear" w:color="auto" w:fill="FFFFFF"/>
        </w:rPr>
        <w:t>3.</w:t>
      </w:r>
      <w:r>
        <w:rPr>
          <w:rStyle w:val="15"/>
          <w:rFonts w:hint="eastAsia" w:ascii="方正仿宋_GBK" w:hAnsi="方正仿宋_GBK" w:eastAsia="方正仿宋_GBK" w:cs="方正仿宋_GBK"/>
          <w:b w:val="0"/>
          <w:bCs/>
          <w:color w:val="000000"/>
          <w:sz w:val="32"/>
          <w:szCs w:val="32"/>
          <w:shd w:val="clear" w:color="auto" w:fill="FFFFFF"/>
        </w:rPr>
        <w:t>支出情况。</w:t>
      </w: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年度支出合计</w:t>
      </w:r>
      <w:r>
        <w:rPr>
          <w:rFonts w:hint="default" w:ascii="Times New Roman" w:hAnsi="Times New Roman" w:eastAsia="方正仿宋_GBK"/>
          <w:color w:val="000000"/>
          <w:sz w:val="32"/>
          <w:szCs w:val="32"/>
          <w:shd w:val="clear" w:color="auto" w:fill="FFFFFF"/>
        </w:rPr>
        <w:t>2,444.03</w:t>
      </w:r>
      <w:r>
        <w:rPr>
          <w:rFonts w:ascii="方正仿宋_GBK" w:hAnsi="方正仿宋_GBK" w:eastAsia="方正仿宋_GBK" w:cs="方正仿宋_GBK"/>
          <w:color w:val="000000"/>
          <w:sz w:val="32"/>
          <w:szCs w:val="32"/>
          <w:shd w:val="clear" w:color="auto" w:fill="FFFFFF"/>
        </w:rPr>
        <w:t>万元，较上年决算减少</w:t>
      </w:r>
      <w:r>
        <w:rPr>
          <w:rFonts w:hint="default" w:ascii="Times New Roman" w:hAnsi="Times New Roman" w:eastAsia="方正仿宋_GBK"/>
          <w:color w:val="000000"/>
          <w:sz w:val="32"/>
          <w:szCs w:val="32"/>
          <w:shd w:val="clear" w:color="auto" w:fill="FFFFFF"/>
        </w:rPr>
        <w:t>454.38</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15.7%</w:t>
      </w:r>
      <w:r>
        <w:rPr>
          <w:rFonts w:ascii="方正仿宋_GBK" w:hAnsi="方正仿宋_GBK" w:eastAsia="方正仿宋_GBK" w:cs="方正仿宋_GBK"/>
          <w:color w:val="000000"/>
          <w:sz w:val="32"/>
          <w:szCs w:val="32"/>
          <w:shd w:val="clear" w:color="auto" w:fill="FFFFFF"/>
        </w:rPr>
        <w:t>，主要原因是学生和教师人数减少，人员经费等减少。其中：基本支出</w:t>
      </w:r>
      <w:r>
        <w:rPr>
          <w:rFonts w:hint="default" w:ascii="Times New Roman" w:hAnsi="Times New Roman" w:eastAsia="方正仿宋_GBK"/>
          <w:color w:val="000000"/>
          <w:sz w:val="32"/>
          <w:szCs w:val="32"/>
          <w:shd w:val="clear" w:color="auto" w:fill="FFFFFF"/>
        </w:rPr>
        <w:t>2,075.76</w:t>
      </w:r>
      <w:r>
        <w:rPr>
          <w:rFonts w:ascii="方正仿宋_GBK" w:hAnsi="方正仿宋_GBK" w:eastAsia="方正仿宋_GBK" w:cs="方正仿宋_GBK"/>
          <w:color w:val="000000"/>
          <w:sz w:val="32"/>
          <w:szCs w:val="32"/>
          <w:shd w:val="clear" w:color="auto" w:fill="FFFFFF"/>
        </w:rPr>
        <w:t>万元，占</w:t>
      </w:r>
      <w:r>
        <w:rPr>
          <w:rFonts w:hint="default" w:ascii="Times New Roman" w:hAnsi="Times New Roman" w:eastAsia="方正仿宋_GBK"/>
          <w:color w:val="000000"/>
          <w:sz w:val="32"/>
          <w:szCs w:val="32"/>
          <w:shd w:val="clear" w:color="auto" w:fill="FFFFFF"/>
        </w:rPr>
        <w:t>84.9%</w:t>
      </w:r>
      <w:r>
        <w:rPr>
          <w:rFonts w:ascii="方正仿宋_GBK" w:hAnsi="方正仿宋_GBK" w:eastAsia="方正仿宋_GBK" w:cs="方正仿宋_GBK"/>
          <w:color w:val="000000"/>
          <w:sz w:val="32"/>
          <w:szCs w:val="32"/>
          <w:shd w:val="clear" w:color="auto" w:fill="FFFFFF"/>
        </w:rPr>
        <w:t>；项目支出</w:t>
      </w:r>
      <w:r>
        <w:rPr>
          <w:rFonts w:hint="default" w:ascii="Times New Roman" w:hAnsi="Times New Roman" w:eastAsia="方正仿宋_GBK"/>
          <w:color w:val="000000"/>
          <w:sz w:val="32"/>
          <w:szCs w:val="32"/>
          <w:shd w:val="clear" w:color="auto" w:fill="FFFFFF"/>
        </w:rPr>
        <w:t>368.26</w:t>
      </w:r>
      <w:r>
        <w:rPr>
          <w:rFonts w:ascii="方正仿宋_GBK" w:hAnsi="方正仿宋_GBK" w:eastAsia="方正仿宋_GBK" w:cs="方正仿宋_GBK"/>
          <w:color w:val="000000"/>
          <w:sz w:val="32"/>
          <w:szCs w:val="32"/>
          <w:shd w:val="clear" w:color="auto" w:fill="FFFFFF"/>
        </w:rPr>
        <w:t>万元，占</w:t>
      </w:r>
      <w:r>
        <w:rPr>
          <w:rFonts w:hint="default" w:ascii="Times New Roman" w:hAnsi="Times New Roman" w:eastAsia="方正仿宋_GBK"/>
          <w:color w:val="000000"/>
          <w:sz w:val="32"/>
          <w:szCs w:val="32"/>
          <w:shd w:val="clear" w:color="auto" w:fill="FFFFFF"/>
        </w:rPr>
        <w:t>15.1%</w:t>
      </w:r>
      <w:r>
        <w:rPr>
          <w:rFonts w:ascii="方正仿宋_GBK" w:hAnsi="方正仿宋_GBK" w:eastAsia="方正仿宋_GBK" w:cs="方正仿宋_GBK"/>
          <w:color w:val="000000"/>
          <w:sz w:val="32"/>
          <w:szCs w:val="32"/>
          <w:shd w:val="clear" w:color="auto" w:fill="FFFFFF"/>
        </w:rPr>
        <w:t>；</w:t>
      </w:r>
    </w:p>
    <w:p>
      <w:pPr>
        <w:pStyle w:val="23"/>
        <w:shd w:val="clear" w:color="auto" w:fill="FFFFFF"/>
        <w:autoSpaceDE w:val="0"/>
        <w:spacing w:beforeAutospacing="0" w:afterAutospacing="0"/>
        <w:ind w:firstLine="640" w:firstLineChars="200"/>
        <w:rPr>
          <w:rFonts w:hint="default" w:ascii="Times New Roman" w:hAnsi="Times New Roman" w:eastAsia="方正仿宋_GBK"/>
          <w:bCs/>
          <w:color w:val="000000"/>
          <w:sz w:val="32"/>
          <w:szCs w:val="32"/>
          <w:shd w:val="clear" w:color="auto" w:fill="FFFFFF"/>
        </w:rPr>
      </w:pPr>
      <w:r>
        <w:rPr>
          <w:rStyle w:val="15"/>
          <w:rFonts w:hint="eastAsia" w:eastAsia="方正仿宋_GBK"/>
          <w:b w:val="0"/>
          <w:bCs/>
          <w:color w:val="000000"/>
          <w:sz w:val="32"/>
          <w:szCs w:val="32"/>
          <w:shd w:val="clear" w:color="auto" w:fill="FFFFFF"/>
        </w:rPr>
        <w:t>4</w:t>
      </w:r>
      <w:r>
        <w:rPr>
          <w:rStyle w:val="15"/>
          <w:rFonts w:hint="eastAsia" w:ascii="方正仿宋_GBK" w:hAnsi="方正仿宋_GBK" w:eastAsia="方正仿宋_GBK" w:cs="方正仿宋_GBK"/>
          <w:b w:val="0"/>
          <w:bCs/>
          <w:color w:val="000000"/>
          <w:sz w:val="32"/>
          <w:szCs w:val="32"/>
          <w:shd w:val="clear" w:color="auto" w:fill="FFFFFF"/>
        </w:rPr>
        <w:t>.结转结余情况。</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本年度无结转结余。</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（二）财政拨款收入支出决算总体情况说明</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年度财政拨款收、支总计</w:t>
      </w:r>
      <w:r>
        <w:rPr>
          <w:rFonts w:hint="default" w:ascii="Times New Roman" w:hAnsi="Times New Roman" w:eastAsia="方正仿宋_GBK"/>
          <w:color w:val="000000"/>
          <w:sz w:val="32"/>
          <w:szCs w:val="32"/>
          <w:shd w:val="clear" w:color="auto" w:fill="FFFFFF"/>
        </w:rPr>
        <w:t>2,444.03</w:t>
      </w:r>
      <w:r>
        <w:rPr>
          <w:rFonts w:ascii="方正仿宋_GBK" w:hAnsi="方正仿宋_GBK" w:eastAsia="方正仿宋_GBK" w:cs="方正仿宋_GBK"/>
          <w:color w:val="000000"/>
          <w:sz w:val="32"/>
          <w:szCs w:val="32"/>
          <w:shd w:val="clear" w:color="auto" w:fill="FFFFFF"/>
        </w:rPr>
        <w:t>万元。与</w:t>
      </w:r>
      <w:r>
        <w:rPr>
          <w:rFonts w:hint="default" w:ascii="Times New Roman" w:hAnsi="Times New Roman" w:eastAsia="方正仿宋_GBK"/>
          <w:color w:val="000000"/>
          <w:sz w:val="32"/>
          <w:szCs w:val="32"/>
          <w:shd w:val="clear" w:color="auto" w:fill="FFFFFF"/>
        </w:rPr>
        <w:t>2021</w:t>
      </w:r>
      <w:r>
        <w:rPr>
          <w:rFonts w:ascii="方正仿宋_GBK" w:hAnsi="方正仿宋_GBK" w:eastAsia="方正仿宋_GBK" w:cs="方正仿宋_GBK"/>
          <w:color w:val="000000"/>
          <w:sz w:val="32"/>
          <w:szCs w:val="32"/>
          <w:shd w:val="clear" w:color="auto" w:fill="FFFFFF"/>
        </w:rPr>
        <w:t>年相比，财政拨款收、支总计各减少</w:t>
      </w:r>
      <w:r>
        <w:rPr>
          <w:rFonts w:hint="default" w:ascii="Times New Roman" w:hAnsi="Times New Roman" w:eastAsia="方正仿宋_GBK"/>
          <w:color w:val="000000"/>
          <w:sz w:val="32"/>
          <w:szCs w:val="32"/>
          <w:shd w:val="clear" w:color="auto" w:fill="FFFFFF"/>
        </w:rPr>
        <w:t>331.72</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12%</w:t>
      </w:r>
      <w:r>
        <w:rPr>
          <w:rFonts w:ascii="方正仿宋_GBK" w:hAnsi="方正仿宋_GBK" w:eastAsia="方正仿宋_GBK" w:cs="方正仿宋_GBK"/>
          <w:color w:val="000000"/>
          <w:sz w:val="32"/>
          <w:szCs w:val="32"/>
          <w:shd w:val="clear" w:color="auto" w:fill="FFFFFF"/>
        </w:rPr>
        <w:t>。主要原因是学生和教师人数减少，人员经费等减少。</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（三）一般公共预算财政拨款收入支出决算情况说明</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eastAsia="方正仿宋_GBK"/>
          <w:b w:val="0"/>
          <w:bCs/>
          <w:color w:val="000000"/>
          <w:sz w:val="32"/>
          <w:szCs w:val="32"/>
          <w:shd w:val="clear" w:color="auto" w:fill="FFFFFF"/>
        </w:rPr>
        <w:t>1.收入情况。</w:t>
      </w: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年度一般公共预算财政拨款收入</w:t>
      </w:r>
      <w:r>
        <w:rPr>
          <w:rFonts w:hint="default" w:ascii="Times New Roman" w:hAnsi="Times New Roman" w:eastAsia="方正仿宋_GBK"/>
          <w:color w:val="000000"/>
          <w:sz w:val="32"/>
          <w:szCs w:val="32"/>
          <w:shd w:val="clear" w:color="auto" w:fill="FFFFFF"/>
        </w:rPr>
        <w:t>2,444.03</w:t>
      </w:r>
      <w:r>
        <w:rPr>
          <w:rFonts w:ascii="方正仿宋_GBK" w:hAnsi="方正仿宋_GBK" w:eastAsia="方正仿宋_GBK" w:cs="方正仿宋_GBK"/>
          <w:color w:val="000000"/>
          <w:sz w:val="32"/>
          <w:szCs w:val="32"/>
          <w:shd w:val="clear" w:color="auto" w:fill="FFFFFF"/>
        </w:rPr>
        <w:t>万元，较上年决算数减少</w:t>
      </w:r>
      <w:r>
        <w:rPr>
          <w:rFonts w:hint="default" w:ascii="Times New Roman" w:hAnsi="Times New Roman" w:eastAsia="方正仿宋_GBK"/>
          <w:color w:val="000000"/>
          <w:sz w:val="32"/>
          <w:szCs w:val="32"/>
          <w:shd w:val="clear" w:color="auto" w:fill="FFFFFF"/>
        </w:rPr>
        <w:t>329.26</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11.9%</w:t>
      </w:r>
      <w:r>
        <w:rPr>
          <w:rFonts w:ascii="方正仿宋_GBK" w:hAnsi="方正仿宋_GBK" w:eastAsia="方正仿宋_GBK" w:cs="方正仿宋_GBK"/>
          <w:color w:val="000000"/>
          <w:sz w:val="32"/>
          <w:szCs w:val="32"/>
          <w:shd w:val="clear" w:color="auto" w:fill="FFFFFF"/>
        </w:rPr>
        <w:t>。主要原因是学生和教师人数减少，人员经费等减少。较年初预算数增加</w:t>
      </w:r>
      <w:r>
        <w:rPr>
          <w:rFonts w:hint="default" w:ascii="Times New Roman" w:hAnsi="Times New Roman" w:eastAsia="方正仿宋_GBK"/>
          <w:color w:val="000000"/>
          <w:sz w:val="32"/>
          <w:szCs w:val="32"/>
          <w:shd w:val="clear" w:color="auto" w:fill="FFFFFF"/>
        </w:rPr>
        <w:t>533.14</w:t>
      </w:r>
      <w:r>
        <w:rPr>
          <w:rFonts w:ascii="方正仿宋_GBK" w:hAnsi="方正仿宋_GBK" w:eastAsia="方正仿宋_GBK" w:cs="方正仿宋_GBK"/>
          <w:color w:val="000000"/>
          <w:sz w:val="32"/>
          <w:szCs w:val="32"/>
          <w:shd w:val="clear" w:color="auto" w:fill="FFFFFF"/>
        </w:rPr>
        <w:t>万元，增长</w:t>
      </w:r>
      <w:r>
        <w:rPr>
          <w:rFonts w:hint="default" w:ascii="Times New Roman" w:hAnsi="Times New Roman" w:eastAsia="方正仿宋_GBK"/>
          <w:color w:val="000000"/>
          <w:sz w:val="32"/>
          <w:szCs w:val="32"/>
          <w:shd w:val="clear" w:color="auto" w:fill="FFFFFF"/>
        </w:rPr>
        <w:t>27.9%</w:t>
      </w:r>
      <w:r>
        <w:rPr>
          <w:rFonts w:ascii="方正仿宋_GBK" w:hAnsi="方正仿宋_GBK" w:eastAsia="方正仿宋_GBK" w:cs="方正仿宋_GBK"/>
          <w:color w:val="000000"/>
          <w:sz w:val="32"/>
          <w:szCs w:val="32"/>
          <w:shd w:val="clear" w:color="auto" w:fill="FFFFFF"/>
        </w:rPr>
        <w:t>。主要原因是人员经费及助学金增加。</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eastAsia="方正仿宋_GBK"/>
          <w:b w:val="0"/>
          <w:bCs/>
          <w:color w:val="000000"/>
          <w:sz w:val="32"/>
          <w:szCs w:val="32"/>
          <w:shd w:val="clear" w:color="auto" w:fill="FFFFFF"/>
        </w:rPr>
        <w:t>2.支出情况。</w:t>
      </w:r>
      <w:r>
        <w:rPr>
          <w:rStyle w:val="15"/>
          <w:rFonts w:eastAsia="方正仿宋_GBK"/>
          <w:b w:val="0"/>
          <w:bCs/>
          <w:color w:val="000000"/>
          <w:sz w:val="32"/>
          <w:szCs w:val="32"/>
          <w:shd w:val="clear" w:color="auto" w:fill="FFFFFF"/>
        </w:rPr>
        <w:t>2</w:t>
      </w:r>
      <w:r>
        <w:rPr>
          <w:rFonts w:hint="default" w:ascii="Times New Roman" w:hAnsi="Times New Roman" w:eastAsia="方正仿宋_GBK"/>
          <w:color w:val="000000"/>
          <w:sz w:val="32"/>
          <w:szCs w:val="32"/>
          <w:shd w:val="clear" w:color="auto" w:fill="FFFFFF"/>
        </w:rPr>
        <w:t>022</w:t>
      </w:r>
      <w:r>
        <w:rPr>
          <w:rFonts w:ascii="方正仿宋_GBK" w:hAnsi="方正仿宋_GBK" w:eastAsia="方正仿宋_GBK" w:cs="方正仿宋_GBK"/>
          <w:color w:val="000000"/>
          <w:sz w:val="32"/>
          <w:szCs w:val="32"/>
          <w:shd w:val="clear" w:color="auto" w:fill="FFFFFF"/>
        </w:rPr>
        <w:t>年度一般公共预算财政拨款支出</w:t>
      </w:r>
      <w:r>
        <w:rPr>
          <w:rFonts w:hint="default" w:ascii="Times New Roman" w:hAnsi="Times New Roman" w:eastAsia="方正仿宋_GBK"/>
          <w:color w:val="000000"/>
          <w:sz w:val="32"/>
          <w:szCs w:val="32"/>
          <w:shd w:val="clear" w:color="auto" w:fill="FFFFFF"/>
        </w:rPr>
        <w:t>2,444.03</w:t>
      </w:r>
      <w:r>
        <w:rPr>
          <w:rFonts w:ascii="方正仿宋_GBK" w:hAnsi="方正仿宋_GBK" w:eastAsia="方正仿宋_GBK" w:cs="方正仿宋_GBK"/>
          <w:color w:val="000000"/>
          <w:sz w:val="32"/>
          <w:szCs w:val="32"/>
          <w:shd w:val="clear" w:color="auto" w:fill="FFFFFF"/>
        </w:rPr>
        <w:t>万元，较上年决算数减少</w:t>
      </w:r>
      <w:r>
        <w:rPr>
          <w:rFonts w:hint="default" w:ascii="Times New Roman" w:hAnsi="Times New Roman" w:eastAsia="方正仿宋_GBK"/>
          <w:color w:val="000000"/>
          <w:sz w:val="32"/>
          <w:szCs w:val="32"/>
          <w:shd w:val="clear" w:color="auto" w:fill="FFFFFF"/>
        </w:rPr>
        <w:t>331.72</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12%</w:t>
      </w:r>
      <w:r>
        <w:rPr>
          <w:rFonts w:ascii="方正仿宋_GBK" w:hAnsi="方正仿宋_GBK" w:eastAsia="方正仿宋_GBK" w:cs="方正仿宋_GBK"/>
          <w:color w:val="000000"/>
          <w:sz w:val="32"/>
          <w:szCs w:val="32"/>
          <w:shd w:val="clear" w:color="auto" w:fill="FFFFFF"/>
        </w:rPr>
        <w:t>。主要原因是学生和教师人数减少，人员经费等减少。较年初预算数增加</w:t>
      </w:r>
      <w:r>
        <w:rPr>
          <w:rFonts w:hint="default" w:ascii="Times New Roman" w:hAnsi="Times New Roman" w:eastAsia="方正仿宋_GBK"/>
          <w:color w:val="000000"/>
          <w:sz w:val="32"/>
          <w:szCs w:val="32"/>
          <w:shd w:val="clear" w:color="auto" w:fill="FFFFFF"/>
        </w:rPr>
        <w:t>533.14</w:t>
      </w:r>
      <w:r>
        <w:rPr>
          <w:rFonts w:ascii="方正仿宋_GBK" w:hAnsi="方正仿宋_GBK" w:eastAsia="方正仿宋_GBK" w:cs="方正仿宋_GBK"/>
          <w:color w:val="000000"/>
          <w:sz w:val="32"/>
          <w:szCs w:val="32"/>
          <w:shd w:val="clear" w:color="auto" w:fill="FFFFFF"/>
        </w:rPr>
        <w:t>万元，增长</w:t>
      </w:r>
      <w:r>
        <w:rPr>
          <w:rFonts w:hint="default" w:ascii="Times New Roman" w:hAnsi="Times New Roman" w:eastAsia="方正仿宋_GBK"/>
          <w:color w:val="000000"/>
          <w:sz w:val="32"/>
          <w:szCs w:val="32"/>
          <w:shd w:val="clear" w:color="auto" w:fill="FFFFFF"/>
        </w:rPr>
        <w:t>27.9%</w:t>
      </w:r>
      <w:r>
        <w:rPr>
          <w:rFonts w:ascii="方正仿宋_GBK" w:hAnsi="方正仿宋_GBK" w:eastAsia="方正仿宋_GBK" w:cs="方正仿宋_GBK"/>
          <w:color w:val="000000"/>
          <w:sz w:val="32"/>
          <w:szCs w:val="32"/>
          <w:shd w:val="clear" w:color="auto" w:fill="FFFFFF"/>
        </w:rPr>
        <w:t>。主要原因是人员经费及助学金增加。</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eastAsia="方正仿宋_GBK"/>
          <w:b w:val="0"/>
          <w:bCs/>
          <w:color w:val="000000"/>
          <w:sz w:val="32"/>
          <w:szCs w:val="32"/>
          <w:shd w:val="clear" w:color="auto" w:fill="FFFFFF"/>
        </w:rPr>
        <w:t>3.结转结余情况。</w:t>
      </w: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年度年末一般公共预算财政拨款无结转和结余。</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00"/>
        </w:rPr>
      </w:pPr>
      <w:r>
        <w:rPr>
          <w:rStyle w:val="15"/>
          <w:rFonts w:hint="eastAsia" w:eastAsia="方正仿宋_GBK"/>
          <w:b w:val="0"/>
          <w:bCs/>
          <w:color w:val="000000"/>
          <w:sz w:val="32"/>
          <w:szCs w:val="32"/>
          <w:shd w:val="clear" w:color="auto" w:fill="FFFFFF"/>
        </w:rPr>
        <w:t>4.比较情况。</w:t>
      </w:r>
      <w:r>
        <w:rPr>
          <w:rFonts w:ascii="方正仿宋_GBK" w:hAnsi="方正仿宋_GBK" w:eastAsia="方正仿宋_GBK" w:cs="方正仿宋_GBK"/>
          <w:color w:val="000000"/>
          <w:sz w:val="32"/>
          <w:szCs w:val="32"/>
          <w:shd w:val="clear" w:color="auto" w:fill="FFFFFF"/>
        </w:rPr>
        <w:t>本部门</w:t>
      </w: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年度一般公共预算财政拨款支出主要用于以下几个方面：</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1</w:t>
      </w:r>
      <w:r>
        <w:rPr>
          <w:rFonts w:ascii="方正仿宋_GBK" w:hAnsi="方正仿宋_GBK" w:eastAsia="方正仿宋_GBK" w:cs="方正仿宋_GBK"/>
          <w:color w:val="000000"/>
          <w:sz w:val="32"/>
          <w:szCs w:val="32"/>
          <w:shd w:val="clear" w:color="auto" w:fill="FFFFFF"/>
        </w:rPr>
        <w:t>）一般公共服务支出</w:t>
      </w:r>
      <w:r>
        <w:rPr>
          <w:rFonts w:hint="default" w:ascii="Times New Roman" w:hAnsi="Times New Roman" w:eastAsia="方正仿宋_GBK"/>
          <w:color w:val="000000"/>
          <w:sz w:val="32"/>
          <w:szCs w:val="32"/>
          <w:shd w:val="clear" w:color="auto" w:fill="FFFFFF"/>
        </w:rPr>
        <w:t>8.68</w:t>
      </w:r>
      <w:r>
        <w:rPr>
          <w:rFonts w:ascii="方正仿宋_GBK" w:hAnsi="方正仿宋_GBK" w:eastAsia="方正仿宋_GBK" w:cs="方正仿宋_GBK"/>
          <w:color w:val="000000"/>
          <w:sz w:val="32"/>
          <w:szCs w:val="32"/>
          <w:shd w:val="clear" w:color="auto" w:fill="FFFFFF"/>
        </w:rPr>
        <w:t>万元，占</w:t>
      </w:r>
      <w:r>
        <w:rPr>
          <w:rFonts w:hint="default" w:ascii="Times New Roman" w:hAnsi="Times New Roman" w:eastAsia="方正仿宋_GBK"/>
          <w:color w:val="000000"/>
          <w:sz w:val="32"/>
          <w:szCs w:val="32"/>
          <w:shd w:val="clear" w:color="auto" w:fill="FFFFFF"/>
        </w:rPr>
        <w:t>0.4%</w:t>
      </w:r>
      <w:r>
        <w:rPr>
          <w:rFonts w:ascii="方正仿宋_GBK" w:hAnsi="方正仿宋_GBK" w:eastAsia="方正仿宋_GBK" w:cs="方正仿宋_GBK"/>
          <w:color w:val="000000"/>
          <w:sz w:val="32"/>
          <w:szCs w:val="32"/>
          <w:shd w:val="clear" w:color="auto" w:fill="FFFFFF"/>
        </w:rPr>
        <w:t>，较年初预算数增加</w:t>
      </w:r>
      <w:r>
        <w:rPr>
          <w:rFonts w:hint="default" w:ascii="Times New Roman" w:hAnsi="Times New Roman" w:eastAsia="方正仿宋_GBK"/>
          <w:color w:val="000000"/>
          <w:sz w:val="32"/>
          <w:szCs w:val="32"/>
          <w:shd w:val="clear" w:color="auto" w:fill="FFFFFF"/>
        </w:rPr>
        <w:t>0.00</w:t>
      </w:r>
      <w:r>
        <w:rPr>
          <w:rFonts w:ascii="方正仿宋_GBK" w:hAnsi="方正仿宋_GBK" w:eastAsia="方正仿宋_GBK" w:cs="方正仿宋_GBK"/>
          <w:color w:val="000000"/>
          <w:sz w:val="32"/>
          <w:szCs w:val="32"/>
          <w:shd w:val="clear" w:color="auto" w:fill="FFFFFF"/>
        </w:rPr>
        <w:t>万元，增长</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2</w:t>
      </w:r>
      <w:r>
        <w:rPr>
          <w:rFonts w:ascii="方正仿宋_GBK" w:hAnsi="方正仿宋_GBK" w:eastAsia="方正仿宋_GBK" w:cs="方正仿宋_GBK"/>
          <w:color w:val="000000"/>
          <w:sz w:val="32"/>
          <w:szCs w:val="32"/>
          <w:shd w:val="clear" w:color="auto" w:fill="FFFFFF"/>
        </w:rPr>
        <w:t>）教育支出</w:t>
      </w:r>
      <w:r>
        <w:rPr>
          <w:rFonts w:hint="default" w:ascii="Times New Roman" w:hAnsi="Times New Roman" w:eastAsia="方正仿宋_GBK"/>
          <w:color w:val="000000"/>
          <w:sz w:val="32"/>
          <w:szCs w:val="32"/>
          <w:shd w:val="clear" w:color="auto" w:fill="FFFFFF"/>
        </w:rPr>
        <w:t>2,017.99</w:t>
      </w:r>
      <w:r>
        <w:rPr>
          <w:rFonts w:ascii="方正仿宋_GBK" w:hAnsi="方正仿宋_GBK" w:eastAsia="方正仿宋_GBK" w:cs="方正仿宋_GBK"/>
          <w:color w:val="000000"/>
          <w:sz w:val="32"/>
          <w:szCs w:val="32"/>
          <w:shd w:val="clear" w:color="auto" w:fill="FFFFFF"/>
        </w:rPr>
        <w:t>万元，占</w:t>
      </w:r>
      <w:r>
        <w:rPr>
          <w:rFonts w:hint="default" w:ascii="Times New Roman" w:hAnsi="Times New Roman" w:eastAsia="方正仿宋_GBK"/>
          <w:color w:val="000000"/>
          <w:sz w:val="32"/>
          <w:szCs w:val="32"/>
          <w:shd w:val="clear" w:color="auto" w:fill="FFFFFF"/>
        </w:rPr>
        <w:t>82.6%</w:t>
      </w:r>
      <w:r>
        <w:rPr>
          <w:rFonts w:ascii="方正仿宋_GBK" w:hAnsi="方正仿宋_GBK" w:eastAsia="方正仿宋_GBK" w:cs="方正仿宋_GBK"/>
          <w:color w:val="000000"/>
          <w:sz w:val="32"/>
          <w:szCs w:val="32"/>
          <w:shd w:val="clear" w:color="auto" w:fill="FFFFFF"/>
        </w:rPr>
        <w:t>，较年初预算数增加</w:t>
      </w:r>
      <w:r>
        <w:rPr>
          <w:rFonts w:hint="default" w:ascii="Times New Roman" w:hAnsi="Times New Roman" w:eastAsia="方正仿宋_GBK"/>
          <w:color w:val="000000"/>
          <w:sz w:val="32"/>
          <w:szCs w:val="32"/>
          <w:shd w:val="clear" w:color="auto" w:fill="FFFFFF"/>
        </w:rPr>
        <w:t>568.62</w:t>
      </w:r>
      <w:r>
        <w:rPr>
          <w:rFonts w:ascii="方正仿宋_GBK" w:hAnsi="方正仿宋_GBK" w:eastAsia="方正仿宋_GBK" w:cs="方正仿宋_GBK"/>
          <w:color w:val="000000"/>
          <w:sz w:val="32"/>
          <w:szCs w:val="32"/>
          <w:shd w:val="clear" w:color="auto" w:fill="FFFFFF"/>
        </w:rPr>
        <w:t>万元，增长</w:t>
      </w:r>
      <w:r>
        <w:rPr>
          <w:rFonts w:hint="default" w:ascii="Times New Roman" w:hAnsi="Times New Roman" w:eastAsia="方正仿宋_GBK"/>
          <w:color w:val="000000"/>
          <w:sz w:val="32"/>
          <w:szCs w:val="32"/>
          <w:shd w:val="clear" w:color="auto" w:fill="FFFFFF"/>
        </w:rPr>
        <w:t>39.2%</w:t>
      </w:r>
      <w:r>
        <w:rPr>
          <w:rFonts w:ascii="方正仿宋_GBK" w:hAnsi="方正仿宋_GBK" w:eastAsia="方正仿宋_GBK" w:cs="方正仿宋_GBK"/>
          <w:color w:val="000000"/>
          <w:sz w:val="32"/>
          <w:szCs w:val="32"/>
          <w:shd w:val="clear" w:color="auto" w:fill="FFFFFF"/>
        </w:rPr>
        <w:t>，主要原因是人员经费及助学金增加。</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3</w:t>
      </w:r>
      <w:r>
        <w:rPr>
          <w:rFonts w:ascii="方正仿宋_GBK" w:hAnsi="方正仿宋_GBK" w:eastAsia="方正仿宋_GBK" w:cs="方正仿宋_GBK"/>
          <w:color w:val="000000"/>
          <w:sz w:val="32"/>
          <w:szCs w:val="32"/>
          <w:shd w:val="clear" w:color="auto" w:fill="FFFFFF"/>
        </w:rPr>
        <w:t>）社会保障与就业支出</w:t>
      </w:r>
      <w:r>
        <w:rPr>
          <w:rFonts w:hint="default" w:ascii="Times New Roman" w:hAnsi="Times New Roman" w:eastAsia="方正仿宋_GBK"/>
          <w:color w:val="000000"/>
          <w:sz w:val="32"/>
          <w:szCs w:val="32"/>
          <w:shd w:val="clear" w:color="auto" w:fill="FFFFFF"/>
        </w:rPr>
        <w:t>220.30</w:t>
      </w:r>
      <w:r>
        <w:rPr>
          <w:rFonts w:ascii="方正仿宋_GBK" w:hAnsi="方正仿宋_GBK" w:eastAsia="方正仿宋_GBK" w:cs="方正仿宋_GBK"/>
          <w:color w:val="000000"/>
          <w:sz w:val="32"/>
          <w:szCs w:val="32"/>
          <w:shd w:val="clear" w:color="auto" w:fill="FFFFFF"/>
        </w:rPr>
        <w:t>万元，占</w:t>
      </w:r>
      <w:r>
        <w:rPr>
          <w:rFonts w:hint="default" w:ascii="Times New Roman" w:hAnsi="Times New Roman" w:eastAsia="方正仿宋_GBK"/>
          <w:color w:val="000000"/>
          <w:sz w:val="32"/>
          <w:szCs w:val="32"/>
          <w:shd w:val="clear" w:color="auto" w:fill="FFFFFF"/>
        </w:rPr>
        <w:t>9%</w:t>
      </w:r>
      <w:r>
        <w:rPr>
          <w:rFonts w:ascii="方正仿宋_GBK" w:hAnsi="方正仿宋_GBK" w:eastAsia="方正仿宋_GBK" w:cs="方正仿宋_GBK"/>
          <w:color w:val="000000"/>
          <w:sz w:val="32"/>
          <w:szCs w:val="32"/>
          <w:shd w:val="clear" w:color="auto" w:fill="FFFFFF"/>
        </w:rPr>
        <w:t>，较年初预算数减少</w:t>
      </w:r>
      <w:r>
        <w:rPr>
          <w:rFonts w:hint="default" w:ascii="Times New Roman" w:hAnsi="Times New Roman" w:eastAsia="方正仿宋_GBK"/>
          <w:color w:val="000000"/>
          <w:sz w:val="32"/>
          <w:szCs w:val="32"/>
          <w:shd w:val="clear" w:color="auto" w:fill="FFFFFF"/>
        </w:rPr>
        <w:t>35.49</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13.9%</w:t>
      </w:r>
      <w:r>
        <w:rPr>
          <w:rFonts w:ascii="方正仿宋_GBK" w:hAnsi="方正仿宋_GBK" w:eastAsia="方正仿宋_GBK" w:cs="方正仿宋_GBK"/>
          <w:color w:val="000000"/>
          <w:sz w:val="32"/>
          <w:szCs w:val="32"/>
          <w:shd w:val="clear" w:color="auto" w:fill="FFFFFF"/>
        </w:rPr>
        <w:t>，主要原因是教师人数减少。</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4</w:t>
      </w:r>
      <w:r>
        <w:rPr>
          <w:rFonts w:ascii="方正仿宋_GBK" w:hAnsi="方正仿宋_GBK" w:eastAsia="方正仿宋_GBK" w:cs="方正仿宋_GBK"/>
          <w:color w:val="000000"/>
          <w:sz w:val="32"/>
          <w:szCs w:val="32"/>
          <w:shd w:val="clear" w:color="auto" w:fill="FFFFFF"/>
        </w:rPr>
        <w:t>）卫生健康支出</w:t>
      </w:r>
      <w:r>
        <w:rPr>
          <w:rFonts w:hint="default" w:ascii="Times New Roman" w:hAnsi="Times New Roman" w:eastAsia="方正仿宋_GBK"/>
          <w:color w:val="000000"/>
          <w:sz w:val="32"/>
          <w:szCs w:val="32"/>
          <w:shd w:val="clear" w:color="auto" w:fill="FFFFFF"/>
        </w:rPr>
        <w:t>91.02</w:t>
      </w:r>
      <w:r>
        <w:rPr>
          <w:rFonts w:ascii="方正仿宋_GBK" w:hAnsi="方正仿宋_GBK" w:eastAsia="方正仿宋_GBK" w:cs="方正仿宋_GBK"/>
          <w:color w:val="000000"/>
          <w:sz w:val="32"/>
          <w:szCs w:val="32"/>
          <w:shd w:val="clear" w:color="auto" w:fill="FFFFFF"/>
        </w:rPr>
        <w:t>万元，占</w:t>
      </w:r>
      <w:r>
        <w:rPr>
          <w:rFonts w:hint="default" w:ascii="Times New Roman" w:hAnsi="Times New Roman" w:eastAsia="方正仿宋_GBK"/>
          <w:color w:val="000000"/>
          <w:sz w:val="32"/>
          <w:szCs w:val="32"/>
          <w:shd w:val="clear" w:color="auto" w:fill="FFFFFF"/>
        </w:rPr>
        <w:t>3.7%</w:t>
      </w:r>
      <w:r>
        <w:rPr>
          <w:rFonts w:ascii="方正仿宋_GBK" w:hAnsi="方正仿宋_GBK" w:eastAsia="方正仿宋_GBK" w:cs="方正仿宋_GBK"/>
          <w:color w:val="000000"/>
          <w:sz w:val="32"/>
          <w:szCs w:val="32"/>
          <w:shd w:val="clear" w:color="auto" w:fill="FFFFFF"/>
        </w:rPr>
        <w:t>，较年初预算数增加</w:t>
      </w:r>
      <w:r>
        <w:rPr>
          <w:rFonts w:hint="default" w:ascii="Times New Roman" w:hAnsi="Times New Roman" w:eastAsia="方正仿宋_GBK"/>
          <w:color w:val="000000"/>
          <w:sz w:val="32"/>
          <w:szCs w:val="32"/>
          <w:shd w:val="clear" w:color="auto" w:fill="FFFFFF"/>
        </w:rPr>
        <w:t>0.00</w:t>
      </w:r>
      <w:r>
        <w:rPr>
          <w:rFonts w:ascii="方正仿宋_GBK" w:hAnsi="方正仿宋_GBK" w:eastAsia="方正仿宋_GBK" w:cs="方正仿宋_GBK"/>
          <w:color w:val="000000"/>
          <w:sz w:val="32"/>
          <w:szCs w:val="32"/>
          <w:shd w:val="clear" w:color="auto" w:fill="FFFFFF"/>
        </w:rPr>
        <w:t>万元，增长</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5</w:t>
      </w:r>
      <w:r>
        <w:rPr>
          <w:rFonts w:ascii="方正仿宋_GBK" w:hAnsi="方正仿宋_GBK" w:eastAsia="方正仿宋_GBK" w:cs="方正仿宋_GBK"/>
          <w:color w:val="000000"/>
          <w:sz w:val="32"/>
          <w:szCs w:val="32"/>
          <w:shd w:val="clear" w:color="auto" w:fill="FFFFFF"/>
        </w:rPr>
        <w:t>）住房保障支出</w:t>
      </w:r>
      <w:r>
        <w:rPr>
          <w:rFonts w:hint="default" w:ascii="Times New Roman" w:hAnsi="Times New Roman" w:eastAsia="方正仿宋_GBK"/>
          <w:color w:val="000000"/>
          <w:sz w:val="32"/>
          <w:szCs w:val="32"/>
          <w:shd w:val="clear" w:color="auto" w:fill="FFFFFF"/>
        </w:rPr>
        <w:t>106.04</w:t>
      </w:r>
      <w:r>
        <w:rPr>
          <w:rFonts w:ascii="方正仿宋_GBK" w:hAnsi="方正仿宋_GBK" w:eastAsia="方正仿宋_GBK" w:cs="方正仿宋_GBK"/>
          <w:color w:val="000000"/>
          <w:sz w:val="32"/>
          <w:szCs w:val="32"/>
          <w:shd w:val="clear" w:color="auto" w:fill="FFFFFF"/>
        </w:rPr>
        <w:t>万元，占</w:t>
      </w:r>
      <w:r>
        <w:rPr>
          <w:rFonts w:hint="default" w:ascii="Times New Roman" w:hAnsi="Times New Roman" w:eastAsia="方正仿宋_GBK"/>
          <w:color w:val="000000"/>
          <w:sz w:val="32"/>
          <w:szCs w:val="32"/>
          <w:shd w:val="clear" w:color="auto" w:fill="FFFFFF"/>
        </w:rPr>
        <w:t>4.3%</w:t>
      </w:r>
      <w:r>
        <w:rPr>
          <w:rFonts w:ascii="方正仿宋_GBK" w:hAnsi="方正仿宋_GBK" w:eastAsia="方正仿宋_GBK" w:cs="方正仿宋_GBK"/>
          <w:color w:val="000000"/>
          <w:sz w:val="32"/>
          <w:szCs w:val="32"/>
          <w:shd w:val="clear" w:color="auto" w:fill="FFFFFF"/>
        </w:rPr>
        <w:t>，较年初预算数增加</w:t>
      </w:r>
      <w:r>
        <w:rPr>
          <w:rFonts w:hint="default" w:ascii="Times New Roman" w:hAnsi="Times New Roman" w:eastAsia="方正仿宋_GBK"/>
          <w:color w:val="000000"/>
          <w:sz w:val="32"/>
          <w:szCs w:val="32"/>
          <w:shd w:val="clear" w:color="auto" w:fill="FFFFFF"/>
        </w:rPr>
        <w:t>0.00</w:t>
      </w:r>
      <w:r>
        <w:rPr>
          <w:rFonts w:ascii="方正仿宋_GBK" w:hAnsi="方正仿宋_GBK" w:eastAsia="方正仿宋_GBK" w:cs="方正仿宋_GBK"/>
          <w:color w:val="000000"/>
          <w:sz w:val="32"/>
          <w:szCs w:val="32"/>
          <w:shd w:val="clear" w:color="auto" w:fill="FFFFFF"/>
        </w:rPr>
        <w:t>万元，增长</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（四）一般公共预算财政拨款基本支出决算情况说明</w:t>
      </w:r>
    </w:p>
    <w:p>
      <w:pPr>
        <w:autoSpaceDE w:val="0"/>
        <w:ind w:firstLine="640" w:firstLineChars="200"/>
        <w:rPr>
          <w:rFonts w:hint="default" w:ascii="Times New Roman" w:hAnsi="Times New Roman" w:eastAsia="方正仿宋_GBK"/>
          <w:color w:val="000000"/>
          <w:sz w:val="32"/>
          <w:szCs w:val="32"/>
        </w:rPr>
      </w:pPr>
      <w:r>
        <w:rPr>
          <w:rFonts w:hint="default" w:ascii="Times New Roman" w:hAnsi="Times New Roman" w:eastAsia="方正仿宋_GBK"/>
          <w:color w:val="000000"/>
          <w:sz w:val="32"/>
          <w:szCs w:val="32"/>
        </w:rPr>
        <w:t>2022</w:t>
      </w:r>
      <w:r>
        <w:rPr>
          <w:rFonts w:ascii="方正仿宋_GBK" w:hAnsi="方正仿宋_GBK" w:eastAsia="方正仿宋_GBK" w:cs="方正仿宋_GBK"/>
          <w:color w:val="000000"/>
          <w:sz w:val="32"/>
          <w:szCs w:val="32"/>
        </w:rPr>
        <w:t>年度一般公共预算财政拨款基本支出</w:t>
      </w:r>
      <w:r>
        <w:rPr>
          <w:rFonts w:hint="default" w:ascii="Times New Roman" w:hAnsi="Times New Roman" w:eastAsia="方正仿宋_GBK"/>
          <w:color w:val="000000"/>
          <w:sz w:val="32"/>
          <w:szCs w:val="32"/>
        </w:rPr>
        <w:t>2,075.76</w:t>
      </w:r>
      <w:r>
        <w:rPr>
          <w:rFonts w:ascii="方正仿宋_GBK" w:hAnsi="方正仿宋_GBK" w:eastAsia="方正仿宋_GBK" w:cs="方正仿宋_GBK"/>
          <w:color w:val="000000"/>
          <w:sz w:val="32"/>
          <w:szCs w:val="32"/>
        </w:rPr>
        <w:t>万元。其中：人员经费</w:t>
      </w:r>
      <w:r>
        <w:rPr>
          <w:rFonts w:hint="default" w:ascii="Times New Roman" w:hAnsi="Times New Roman" w:eastAsia="方正仿宋_GBK"/>
          <w:color w:val="000000"/>
          <w:sz w:val="32"/>
          <w:szCs w:val="32"/>
        </w:rPr>
        <w:t>1,861.28</w:t>
      </w:r>
      <w:r>
        <w:rPr>
          <w:rFonts w:ascii="方正仿宋_GBK" w:hAnsi="方正仿宋_GBK" w:eastAsia="方正仿宋_GBK" w:cs="方正仿宋_GBK"/>
          <w:color w:val="000000"/>
          <w:sz w:val="32"/>
          <w:szCs w:val="32"/>
        </w:rPr>
        <w:t>万元，较上年决算数减少</w:t>
      </w:r>
      <w:r>
        <w:rPr>
          <w:rFonts w:hint="default" w:ascii="Times New Roman" w:hAnsi="Times New Roman" w:eastAsia="方正仿宋_GBK"/>
          <w:color w:val="000000"/>
          <w:sz w:val="32"/>
          <w:szCs w:val="32"/>
        </w:rPr>
        <w:t>287.99</w:t>
      </w:r>
      <w:r>
        <w:rPr>
          <w:rFonts w:ascii="方正仿宋_GBK" w:hAnsi="方正仿宋_GBK" w:eastAsia="方正仿宋_GBK" w:cs="方正仿宋_GBK"/>
          <w:color w:val="000000"/>
          <w:sz w:val="32"/>
          <w:szCs w:val="32"/>
        </w:rPr>
        <w:t>万元，下降</w:t>
      </w:r>
      <w:r>
        <w:rPr>
          <w:rFonts w:hint="default" w:ascii="Times New Roman" w:hAnsi="Times New Roman" w:eastAsia="方正仿宋_GBK"/>
          <w:color w:val="000000"/>
          <w:sz w:val="32"/>
          <w:szCs w:val="32"/>
        </w:rPr>
        <w:t>13.4%</w:t>
      </w:r>
      <w:r>
        <w:rPr>
          <w:rFonts w:ascii="方正仿宋_GBK" w:hAnsi="方正仿宋_GBK" w:eastAsia="方正仿宋_GBK" w:cs="方正仿宋_GBK"/>
          <w:color w:val="000000"/>
          <w:sz w:val="32"/>
          <w:szCs w:val="32"/>
        </w:rPr>
        <w:t>，主要原因是教师人数减少。人员经费用途主要包括人员经费用途主要包括基本工资、津贴补贴、奖金、社会保障缴费、住房公积金、绩效工资等。公用经费</w:t>
      </w:r>
      <w:r>
        <w:rPr>
          <w:rFonts w:hint="default" w:ascii="Times New Roman" w:hAnsi="Times New Roman" w:eastAsia="方正仿宋_GBK"/>
          <w:color w:val="000000"/>
          <w:sz w:val="32"/>
          <w:szCs w:val="32"/>
        </w:rPr>
        <w:t>214.49</w:t>
      </w:r>
      <w:r>
        <w:rPr>
          <w:rFonts w:ascii="方正仿宋_GBK" w:hAnsi="方正仿宋_GBK" w:eastAsia="方正仿宋_GBK" w:cs="方正仿宋_GBK"/>
          <w:color w:val="000000"/>
          <w:sz w:val="32"/>
          <w:szCs w:val="32"/>
        </w:rPr>
        <w:t>万元，较上年决算数增加</w:t>
      </w:r>
      <w:r>
        <w:rPr>
          <w:rFonts w:hint="default" w:ascii="Times New Roman" w:hAnsi="Times New Roman" w:eastAsia="方正仿宋_GBK"/>
          <w:color w:val="000000"/>
          <w:sz w:val="32"/>
          <w:szCs w:val="32"/>
        </w:rPr>
        <w:t>11.89</w:t>
      </w:r>
      <w:r>
        <w:rPr>
          <w:rFonts w:ascii="方正仿宋_GBK" w:hAnsi="方正仿宋_GBK" w:eastAsia="方正仿宋_GBK" w:cs="方正仿宋_GBK"/>
          <w:color w:val="000000"/>
          <w:sz w:val="32"/>
          <w:szCs w:val="32"/>
        </w:rPr>
        <w:t>万元，增长</w:t>
      </w:r>
      <w:r>
        <w:rPr>
          <w:rFonts w:hint="default" w:ascii="Times New Roman" w:hAnsi="Times New Roman" w:eastAsia="方正仿宋_GBK"/>
          <w:color w:val="000000"/>
          <w:sz w:val="32"/>
          <w:szCs w:val="32"/>
        </w:rPr>
        <w:t>5.9%</w:t>
      </w:r>
      <w:r>
        <w:rPr>
          <w:rFonts w:ascii="方正仿宋_GBK" w:hAnsi="方正仿宋_GBK" w:eastAsia="方正仿宋_GBK" w:cs="方正仿宋_GBK"/>
          <w:color w:val="000000"/>
          <w:sz w:val="32"/>
          <w:szCs w:val="32"/>
        </w:rPr>
        <w:t>，公用经费用途主要包括公用经费用途主要包括办公费、水费、电费、邮电费、差旅费、维修（护）费、会议费、公务接待费、工会经费、福利费、党建经费、其他商品和服务支出。</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（五）政府性基金预算收支决算情况说明。</w:t>
      </w:r>
    </w:p>
    <w:p>
      <w:pPr>
        <w:pStyle w:val="23"/>
        <w:shd w:val="clear" w:color="auto" w:fill="FFFFFF"/>
        <w:autoSpaceDE w:val="0"/>
        <w:spacing w:beforeAutospacing="0" w:afterAutospacing="0"/>
        <w:ind w:firstLine="640" w:firstLineChars="200"/>
        <w:rPr>
          <w:rFonts w:hint="default" w:ascii="方正仿宋_GBK" w:hAnsi="方正仿宋_GBK" w:eastAsia="方正仿宋_GBK" w:cs="方正仿宋_GBK"/>
          <w:color w:val="000000"/>
          <w:sz w:val="32"/>
          <w:szCs w:val="32"/>
        </w:rPr>
      </w:pPr>
      <w:r>
        <w:rPr>
          <w:rFonts w:ascii="方正仿宋_GBK" w:hAnsi="方正仿宋_GBK" w:eastAsia="方正仿宋_GBK" w:cs="方正仿宋_GBK"/>
          <w:color w:val="000000"/>
          <w:sz w:val="32"/>
          <w:szCs w:val="32"/>
        </w:rPr>
        <w:t>本部门</w:t>
      </w:r>
      <w:r>
        <w:rPr>
          <w:rFonts w:hint="default" w:ascii="Times New Roman" w:hAnsi="Times New Roman" w:eastAsia="方正仿宋_GBK"/>
          <w:color w:val="000000"/>
          <w:sz w:val="32"/>
          <w:szCs w:val="32"/>
        </w:rPr>
        <w:t>2022</w:t>
      </w:r>
      <w:r>
        <w:rPr>
          <w:rFonts w:ascii="Times New Roman" w:hAnsi="Times New Roman" w:eastAsia="方正仿宋_GBK"/>
          <w:color w:val="000000"/>
          <w:sz w:val="32"/>
          <w:szCs w:val="32"/>
        </w:rPr>
        <w:t>年</w:t>
      </w:r>
      <w:r>
        <w:rPr>
          <w:rFonts w:ascii="方正仿宋_GBK" w:hAnsi="方正仿宋_GBK" w:eastAsia="方正仿宋_GBK" w:cs="方正仿宋_GBK"/>
          <w:color w:val="000000"/>
          <w:sz w:val="32"/>
          <w:szCs w:val="32"/>
        </w:rPr>
        <w:t>度无政府性基金预算财政拨款收支。</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（六）国有资本经营预算财政拨款支出决算情况说明。</w:t>
      </w:r>
    </w:p>
    <w:p>
      <w:pPr>
        <w:pStyle w:val="23"/>
        <w:shd w:val="clear" w:color="auto" w:fill="FFFFFF"/>
        <w:autoSpaceDE w:val="0"/>
        <w:spacing w:beforeAutospacing="0" w:afterAutospacing="0"/>
        <w:ind w:firstLine="640" w:firstLineChars="200"/>
        <w:rPr>
          <w:rFonts w:hint="default" w:ascii="方正仿宋_GBK" w:hAnsi="方正仿宋_GBK" w:eastAsia="方正仿宋_GBK" w:cs="方正仿宋_GBK"/>
          <w:color w:val="000000"/>
          <w:sz w:val="32"/>
          <w:szCs w:val="32"/>
        </w:rPr>
      </w:pPr>
      <w:r>
        <w:rPr>
          <w:rFonts w:ascii="方正仿宋_GBK" w:hAnsi="方正仿宋_GBK" w:eastAsia="方正仿宋_GBK" w:cs="方正仿宋_GBK"/>
          <w:color w:val="000000"/>
          <w:sz w:val="32"/>
          <w:szCs w:val="32"/>
        </w:rPr>
        <w:t>本部门</w:t>
      </w:r>
      <w:r>
        <w:rPr>
          <w:rFonts w:hint="default" w:ascii="Times New Roman" w:hAnsi="Times New Roman" w:eastAsia="方正仿宋_GBK"/>
          <w:color w:val="000000"/>
          <w:sz w:val="32"/>
          <w:szCs w:val="32"/>
        </w:rPr>
        <w:t>2022</w:t>
      </w:r>
      <w:r>
        <w:rPr>
          <w:rFonts w:ascii="Times New Roman" w:hAnsi="Times New Roman" w:eastAsia="方正仿宋_GBK"/>
          <w:color w:val="000000"/>
          <w:sz w:val="32"/>
          <w:szCs w:val="32"/>
        </w:rPr>
        <w:t>年度无</w:t>
      </w:r>
      <w:r>
        <w:rPr>
          <w:rFonts w:ascii="方正仿宋_GBK" w:hAnsi="方正仿宋_GBK" w:eastAsia="方正仿宋_GBK" w:cs="方正仿宋_GBK"/>
          <w:color w:val="000000"/>
          <w:sz w:val="32"/>
          <w:szCs w:val="32"/>
        </w:rPr>
        <w:t>国有资本经营预算财政拨款支出。</w:t>
      </w:r>
    </w:p>
    <w:p>
      <w:pPr>
        <w:pStyle w:val="23"/>
        <w:shd w:val="clear" w:color="auto" w:fill="FFFFFF"/>
        <w:autoSpaceDE w:val="0"/>
        <w:spacing w:beforeAutospacing="0" w:afterAutospacing="0"/>
        <w:ind w:firstLine="640" w:firstLineChars="200"/>
        <w:rPr>
          <w:rFonts w:hint="default" w:ascii="Times New Roman" w:hAnsi="Times New Roman" w:eastAsia="方正黑体_GBK"/>
          <w:bCs/>
          <w:color w:val="000000"/>
          <w:sz w:val="32"/>
          <w:szCs w:val="32"/>
          <w:shd w:val="clear" w:color="auto" w:fill="FFFFFF"/>
        </w:rPr>
      </w:pPr>
      <w:r>
        <w:rPr>
          <w:rStyle w:val="15"/>
          <w:rFonts w:hint="eastAsia" w:ascii="方正黑体_GBK" w:hAnsi="方正黑体_GBK" w:eastAsia="方正黑体_GBK" w:cs="方正黑体_GBK"/>
          <w:b w:val="0"/>
          <w:bCs/>
          <w:color w:val="000000"/>
          <w:sz w:val="32"/>
          <w:szCs w:val="32"/>
          <w:shd w:val="clear" w:color="auto" w:fill="FFFFFF"/>
        </w:rPr>
        <w:t>三、</w:t>
      </w:r>
      <w:r>
        <w:rPr>
          <w:rStyle w:val="15"/>
          <w:rFonts w:hint="eastAsia" w:eastAsia="方正黑体_GBK"/>
          <w:b w:val="0"/>
          <w:bCs/>
          <w:color w:val="000000"/>
          <w:sz w:val="32"/>
          <w:szCs w:val="32"/>
          <w:shd w:val="clear" w:color="auto" w:fill="FFFFFF"/>
        </w:rPr>
        <w:t>“</w:t>
      </w:r>
      <w:r>
        <w:rPr>
          <w:rStyle w:val="15"/>
          <w:rFonts w:hint="eastAsia" w:ascii="方正黑体_GBK" w:hAnsi="方正黑体_GBK" w:eastAsia="方正黑体_GBK" w:cs="方正黑体_GBK"/>
          <w:b w:val="0"/>
          <w:bCs/>
          <w:color w:val="000000"/>
          <w:sz w:val="32"/>
          <w:szCs w:val="32"/>
          <w:shd w:val="clear" w:color="auto" w:fill="FFFFFF"/>
        </w:rPr>
        <w:t>三公</w:t>
      </w:r>
      <w:r>
        <w:rPr>
          <w:rStyle w:val="15"/>
          <w:rFonts w:hint="eastAsia" w:eastAsia="方正黑体_GBK"/>
          <w:b w:val="0"/>
          <w:bCs/>
          <w:color w:val="000000"/>
          <w:sz w:val="32"/>
          <w:szCs w:val="32"/>
          <w:shd w:val="clear" w:color="auto" w:fill="FFFFFF"/>
        </w:rPr>
        <w:t>”</w:t>
      </w:r>
      <w:r>
        <w:rPr>
          <w:rStyle w:val="15"/>
          <w:rFonts w:hint="eastAsia" w:ascii="方正黑体_GBK" w:hAnsi="方正黑体_GBK" w:eastAsia="方正黑体_GBK" w:cs="方正黑体_GBK"/>
          <w:b w:val="0"/>
          <w:bCs/>
          <w:color w:val="000000"/>
          <w:sz w:val="32"/>
          <w:szCs w:val="32"/>
          <w:shd w:val="clear" w:color="auto" w:fill="FFFFFF"/>
        </w:rPr>
        <w:t>经费情况说明</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（一）“三公”经费支出总体情况说明</w:t>
      </w:r>
    </w:p>
    <w:p>
      <w:pPr>
        <w:pStyle w:val="20"/>
        <w:autoSpaceDE w:val="0"/>
        <w:ind w:firstLine="640"/>
        <w:rPr>
          <w:rFonts w:hint="default" w:ascii="Times New Roman" w:hAnsi="Times New Roman" w:eastAsia="方正仿宋_GBK"/>
          <w:color w:val="000000"/>
          <w:sz w:val="32"/>
          <w:szCs w:val="32"/>
        </w:rPr>
      </w:pPr>
      <w:r>
        <w:rPr>
          <w:rFonts w:hint="default" w:ascii="Times New Roman" w:hAnsi="Times New Roman" w:eastAsia="方正仿宋_GBK"/>
          <w:color w:val="000000"/>
          <w:sz w:val="32"/>
          <w:szCs w:val="32"/>
        </w:rPr>
        <w:t>2022</w:t>
      </w:r>
      <w:r>
        <w:rPr>
          <w:rFonts w:ascii="方正仿宋_GBK" w:hAnsi="方正仿宋_GBK" w:eastAsia="方正仿宋_GBK" w:cs="方正仿宋_GBK"/>
          <w:color w:val="000000"/>
          <w:sz w:val="32"/>
          <w:szCs w:val="32"/>
        </w:rPr>
        <w:t>年度</w:t>
      </w:r>
      <w:r>
        <w:rPr>
          <w:rFonts w:hint="default" w:ascii="Times New Roman" w:hAnsi="Times New Roman" w:eastAsia="方正仿宋_GBK"/>
          <w:color w:val="000000"/>
          <w:sz w:val="32"/>
          <w:szCs w:val="32"/>
        </w:rPr>
        <w:t>“</w:t>
      </w:r>
      <w:r>
        <w:rPr>
          <w:rFonts w:ascii="方正仿宋_GBK" w:hAnsi="方正仿宋_GBK" w:eastAsia="方正仿宋_GBK" w:cs="方正仿宋_GBK"/>
          <w:color w:val="000000"/>
          <w:sz w:val="32"/>
          <w:szCs w:val="32"/>
        </w:rPr>
        <w:t>三公</w:t>
      </w:r>
      <w:r>
        <w:rPr>
          <w:rFonts w:hint="default" w:ascii="Times New Roman" w:hAnsi="Times New Roman" w:eastAsia="方正仿宋_GBK"/>
          <w:color w:val="000000"/>
          <w:sz w:val="32"/>
          <w:szCs w:val="32"/>
        </w:rPr>
        <w:t>”</w:t>
      </w:r>
      <w:r>
        <w:rPr>
          <w:rFonts w:ascii="方正仿宋_GBK" w:hAnsi="方正仿宋_GBK" w:eastAsia="方正仿宋_GBK" w:cs="方正仿宋_GBK"/>
          <w:color w:val="000000"/>
          <w:sz w:val="32"/>
          <w:szCs w:val="32"/>
        </w:rPr>
        <w:t>经费支出共计</w:t>
      </w:r>
      <w:r>
        <w:rPr>
          <w:rFonts w:hint="default" w:ascii="Times New Roman" w:hAnsi="Times New Roman" w:eastAsia="方正仿宋_GBK"/>
          <w:color w:val="000000"/>
          <w:sz w:val="32"/>
          <w:szCs w:val="32"/>
        </w:rPr>
        <w:t>1.35</w:t>
      </w:r>
      <w:r>
        <w:rPr>
          <w:rFonts w:ascii="方正仿宋_GBK" w:hAnsi="方正仿宋_GBK" w:eastAsia="方正仿宋_GBK" w:cs="方正仿宋_GBK"/>
          <w:color w:val="000000"/>
          <w:sz w:val="32"/>
          <w:szCs w:val="32"/>
        </w:rPr>
        <w:t>万元，较年初预算数减少</w:t>
      </w:r>
      <w:r>
        <w:rPr>
          <w:rFonts w:hint="default" w:ascii="Times New Roman" w:hAnsi="Times New Roman" w:eastAsia="方正仿宋_GBK"/>
          <w:color w:val="000000"/>
          <w:sz w:val="32"/>
          <w:szCs w:val="32"/>
        </w:rPr>
        <w:t>3.65</w:t>
      </w:r>
      <w:r>
        <w:rPr>
          <w:rFonts w:ascii="方正仿宋_GBK" w:hAnsi="方正仿宋_GBK" w:eastAsia="方正仿宋_GBK" w:cs="方正仿宋_GBK"/>
          <w:color w:val="000000"/>
          <w:sz w:val="32"/>
          <w:szCs w:val="32"/>
        </w:rPr>
        <w:t>万元，下降</w:t>
      </w:r>
      <w:r>
        <w:rPr>
          <w:rFonts w:hint="default" w:ascii="Times New Roman" w:hAnsi="Times New Roman" w:eastAsia="方正仿宋_GBK"/>
          <w:color w:val="000000"/>
          <w:sz w:val="32"/>
          <w:szCs w:val="32"/>
        </w:rPr>
        <w:t>73%</w:t>
      </w:r>
      <w:r>
        <w:rPr>
          <w:rFonts w:ascii="方正仿宋_GBK" w:hAnsi="方正仿宋_GBK" w:eastAsia="方正仿宋_GBK" w:cs="方正仿宋_GBK"/>
          <w:color w:val="000000"/>
          <w:sz w:val="32"/>
          <w:szCs w:val="32"/>
        </w:rPr>
        <w:t>，主要原因是严格压缩公务接待费用。较上年支出数减少</w:t>
      </w:r>
      <w:r>
        <w:rPr>
          <w:rFonts w:hint="default" w:ascii="Times New Roman" w:hAnsi="Times New Roman" w:eastAsia="方正仿宋_GBK"/>
          <w:color w:val="000000"/>
          <w:sz w:val="32"/>
          <w:szCs w:val="32"/>
        </w:rPr>
        <w:t>3.37</w:t>
      </w:r>
      <w:r>
        <w:rPr>
          <w:rFonts w:ascii="方正仿宋_GBK" w:hAnsi="方正仿宋_GBK" w:eastAsia="方正仿宋_GBK" w:cs="方正仿宋_GBK"/>
          <w:color w:val="000000"/>
          <w:sz w:val="32"/>
          <w:szCs w:val="32"/>
        </w:rPr>
        <w:t>万元，下降</w:t>
      </w:r>
      <w:r>
        <w:rPr>
          <w:rFonts w:hint="default" w:ascii="Times New Roman" w:hAnsi="Times New Roman" w:eastAsia="方正仿宋_GBK"/>
          <w:color w:val="000000"/>
          <w:sz w:val="32"/>
          <w:szCs w:val="32"/>
        </w:rPr>
        <w:t>71.4%</w:t>
      </w:r>
      <w:r>
        <w:rPr>
          <w:rFonts w:ascii="方正仿宋_GBK" w:hAnsi="方正仿宋_GBK" w:eastAsia="方正仿宋_GBK" w:cs="方正仿宋_GBK"/>
          <w:color w:val="000000"/>
          <w:sz w:val="32"/>
          <w:szCs w:val="32"/>
        </w:rPr>
        <w:t>，主要原因是一是认真贯彻落实中央八项规定精神，按照只减不增的要求从严控制</w:t>
      </w:r>
      <w:r>
        <w:rPr>
          <w:rFonts w:hint="default" w:ascii="Times New Roman" w:hAnsi="Times New Roman" w:eastAsia="方正仿宋_GBK"/>
          <w:color w:val="000000"/>
          <w:sz w:val="32"/>
          <w:szCs w:val="32"/>
        </w:rPr>
        <w:t>“</w:t>
      </w:r>
      <w:r>
        <w:rPr>
          <w:rFonts w:ascii="方正仿宋_GBK" w:hAnsi="方正仿宋_GBK" w:eastAsia="方正仿宋_GBK" w:cs="方正仿宋_GBK"/>
          <w:color w:val="000000"/>
          <w:sz w:val="32"/>
          <w:szCs w:val="32"/>
        </w:rPr>
        <w:t>三公</w:t>
      </w:r>
      <w:r>
        <w:rPr>
          <w:rFonts w:hint="default" w:ascii="Times New Roman" w:hAnsi="Times New Roman" w:eastAsia="方正仿宋_GBK"/>
          <w:color w:val="000000"/>
          <w:sz w:val="32"/>
          <w:szCs w:val="32"/>
        </w:rPr>
        <w:t>”</w:t>
      </w:r>
      <w:r>
        <w:rPr>
          <w:rFonts w:ascii="方正仿宋_GBK" w:hAnsi="方正仿宋_GBK" w:eastAsia="方正仿宋_GBK" w:cs="方正仿宋_GBK"/>
          <w:color w:val="000000"/>
          <w:sz w:val="32"/>
          <w:szCs w:val="32"/>
        </w:rPr>
        <w:t>经费，全年实际支出较预算和决算均有所下降。二是强化公务接待支出管理，严格遵守公务接待开支范围和开支标准，严格控制陪餐人数，对应由接待对象承担的费用一律由接待对象自行支付，公务接待费大幅下降。</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（二）“三公”经费分项支出情况</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本单位</w:t>
      </w: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年度未发生因公出国（境）费用支出</w:t>
      </w:r>
    </w:p>
    <w:p>
      <w:pPr>
        <w:pStyle w:val="23"/>
        <w:shd w:val="clear" w:color="auto" w:fill="FFFFFF"/>
        <w:autoSpaceDE w:val="0"/>
        <w:spacing w:beforeAutospacing="0" w:afterAutospacing="0"/>
        <w:ind w:firstLine="640" w:firstLineChars="200"/>
        <w:rPr>
          <w:rFonts w:ascii="方正仿宋_GBK" w:hAnsi="方正仿宋_GBK" w:eastAsia="方正仿宋_GBK" w:cs="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本单位无公务车购置费。</w:t>
      </w:r>
    </w:p>
    <w:p>
      <w:pPr>
        <w:pStyle w:val="23"/>
        <w:shd w:val="clear" w:color="auto" w:fill="FFFFFF"/>
        <w:autoSpaceDE w:val="0"/>
        <w:spacing w:beforeAutospacing="0" w:afterAutospacing="0"/>
        <w:ind w:firstLine="640" w:firstLineChars="200"/>
        <w:rPr>
          <w:rFonts w:hint="default" w:ascii="方正仿宋_GBK" w:hAnsi="方正仿宋_GBK" w:eastAsia="方正仿宋_GBK" w:cs="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本单位无公务车运行维护费。</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公务接待费</w:t>
      </w:r>
      <w:r>
        <w:rPr>
          <w:rFonts w:hint="default" w:ascii="Times New Roman" w:hAnsi="Times New Roman" w:eastAsia="方正仿宋_GBK"/>
          <w:color w:val="000000"/>
          <w:sz w:val="32"/>
          <w:szCs w:val="32"/>
          <w:shd w:val="clear" w:color="auto" w:fill="FFFFFF"/>
        </w:rPr>
        <w:t>1.35</w:t>
      </w:r>
      <w:r>
        <w:rPr>
          <w:rFonts w:ascii="方正仿宋_GBK" w:hAnsi="方正仿宋_GBK" w:eastAsia="方正仿宋_GBK" w:cs="方正仿宋_GBK"/>
          <w:color w:val="000000"/>
          <w:sz w:val="32"/>
          <w:szCs w:val="32"/>
          <w:shd w:val="clear" w:color="auto" w:fill="FFFFFF"/>
        </w:rPr>
        <w:t>万元，主要用于接待接受相关部门检查指导工作发生的接待支出费，用支出较年初预算数减少</w:t>
      </w:r>
      <w:r>
        <w:rPr>
          <w:rFonts w:hint="default" w:ascii="Times New Roman" w:hAnsi="Times New Roman" w:eastAsia="方正仿宋_GBK"/>
          <w:color w:val="000000"/>
          <w:sz w:val="32"/>
          <w:szCs w:val="32"/>
          <w:shd w:val="clear" w:color="auto" w:fill="FFFFFF"/>
        </w:rPr>
        <w:t>3.65</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73%</w:t>
      </w:r>
      <w:r>
        <w:rPr>
          <w:rFonts w:ascii="方正仿宋_GBK" w:hAnsi="方正仿宋_GBK" w:eastAsia="方正仿宋_GBK" w:cs="方正仿宋_GBK"/>
          <w:color w:val="000000"/>
          <w:sz w:val="32"/>
          <w:szCs w:val="32"/>
          <w:shd w:val="clear" w:color="auto" w:fill="FFFFFF"/>
        </w:rPr>
        <w:t>，主要原因是严格控制压缩公务接待。较上年支出数减少</w:t>
      </w:r>
      <w:r>
        <w:rPr>
          <w:rFonts w:hint="default" w:ascii="Times New Roman" w:hAnsi="Times New Roman" w:eastAsia="方正仿宋_GBK"/>
          <w:color w:val="000000"/>
          <w:sz w:val="32"/>
          <w:szCs w:val="32"/>
          <w:shd w:val="clear" w:color="auto" w:fill="FFFFFF"/>
        </w:rPr>
        <w:t>3.37</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71.4%</w:t>
      </w:r>
      <w:r>
        <w:rPr>
          <w:rFonts w:ascii="方正仿宋_GBK" w:hAnsi="方正仿宋_GBK" w:eastAsia="方正仿宋_GBK" w:cs="方正仿宋_GBK"/>
          <w:color w:val="000000"/>
          <w:sz w:val="32"/>
          <w:szCs w:val="32"/>
          <w:shd w:val="clear" w:color="auto" w:fill="FFFFFF"/>
        </w:rPr>
        <w:t>，主要原因是严格控制压缩公务接待。</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（三）“三公”经费实物量情况</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年度本部门因公出国（境）共计</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个团组，</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人；公务用车购置</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辆，公务车保有量为</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辆；国内公务接待</w:t>
      </w:r>
      <w:r>
        <w:rPr>
          <w:rFonts w:hint="default" w:ascii="Times New Roman" w:hAnsi="Times New Roman" w:eastAsia="方正仿宋_GBK"/>
          <w:color w:val="000000"/>
          <w:sz w:val="32"/>
          <w:szCs w:val="32"/>
          <w:shd w:val="clear" w:color="auto" w:fill="FFFFFF"/>
        </w:rPr>
        <w:t>33</w:t>
      </w:r>
      <w:r>
        <w:rPr>
          <w:rFonts w:ascii="方正仿宋_GBK" w:hAnsi="方正仿宋_GBK" w:eastAsia="方正仿宋_GBK" w:cs="方正仿宋_GBK"/>
          <w:color w:val="000000"/>
          <w:sz w:val="32"/>
          <w:szCs w:val="32"/>
          <w:shd w:val="clear" w:color="auto" w:fill="FFFFFF"/>
        </w:rPr>
        <w:t>批次</w:t>
      </w:r>
      <w:r>
        <w:rPr>
          <w:rFonts w:hint="default" w:ascii="Times New Roman" w:hAnsi="Times New Roman" w:eastAsia="方正仿宋_GBK"/>
          <w:color w:val="000000"/>
          <w:sz w:val="32"/>
          <w:szCs w:val="32"/>
          <w:shd w:val="clear" w:color="auto" w:fill="FFFFFF"/>
        </w:rPr>
        <w:t>270</w:t>
      </w:r>
      <w:r>
        <w:rPr>
          <w:rFonts w:ascii="方正仿宋_GBK" w:hAnsi="方正仿宋_GBK" w:eastAsia="方正仿宋_GBK" w:cs="方正仿宋_GBK"/>
          <w:color w:val="000000"/>
          <w:sz w:val="32"/>
          <w:szCs w:val="32"/>
          <w:shd w:val="clear" w:color="auto" w:fill="FFFFFF"/>
        </w:rPr>
        <w:t>人，其中：国内外事接待</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批次，</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人；国（境）外公务接待</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批次，</w:t>
      </w:r>
      <w:r>
        <w:rPr>
          <w:rFonts w:hint="default" w:ascii="Times New Roman" w:hAnsi="Times New Roman" w:eastAsia="方正仿宋_GBK"/>
          <w:color w:val="000000"/>
          <w:sz w:val="32"/>
          <w:szCs w:val="32"/>
          <w:shd w:val="clear" w:color="auto" w:fill="FFFFFF"/>
        </w:rPr>
        <w:t>0</w:t>
      </w:r>
      <w:r>
        <w:rPr>
          <w:rFonts w:ascii="方正仿宋_GBK" w:hAnsi="方正仿宋_GBK" w:eastAsia="方正仿宋_GBK" w:cs="方正仿宋_GBK"/>
          <w:color w:val="000000"/>
          <w:sz w:val="32"/>
          <w:szCs w:val="32"/>
          <w:shd w:val="clear" w:color="auto" w:fill="FFFFFF"/>
        </w:rPr>
        <w:t>人。</w:t>
      </w:r>
      <w:r>
        <w:rPr>
          <w:rFonts w:hint="default" w:ascii="Times New Roman" w:hAnsi="Times New Roman" w:eastAsia="方正仿宋_GBK"/>
          <w:color w:val="000000"/>
          <w:sz w:val="32"/>
          <w:szCs w:val="32"/>
          <w:shd w:val="clear" w:color="auto" w:fill="FFFFFF"/>
        </w:rPr>
        <w:t>2022</w:t>
      </w:r>
      <w:r>
        <w:rPr>
          <w:rFonts w:ascii="方正仿宋_GBK" w:hAnsi="方正仿宋_GBK" w:eastAsia="方正仿宋_GBK" w:cs="方正仿宋_GBK"/>
          <w:color w:val="000000"/>
          <w:sz w:val="32"/>
          <w:szCs w:val="32"/>
          <w:shd w:val="clear" w:color="auto" w:fill="FFFFFF"/>
        </w:rPr>
        <w:t>年本部门人均接待费</w:t>
      </w:r>
      <w:r>
        <w:rPr>
          <w:rFonts w:hint="default" w:ascii="Times New Roman" w:hAnsi="Times New Roman" w:eastAsia="方正仿宋_GBK"/>
          <w:color w:val="000000"/>
          <w:sz w:val="32"/>
          <w:szCs w:val="32"/>
          <w:shd w:val="clear" w:color="auto" w:fill="FFFFFF"/>
        </w:rPr>
        <w:t>50.11</w:t>
      </w:r>
      <w:r>
        <w:rPr>
          <w:rFonts w:ascii="方正仿宋_GBK" w:hAnsi="方正仿宋_GBK" w:eastAsia="方正仿宋_GBK" w:cs="方正仿宋_GBK"/>
          <w:color w:val="000000"/>
          <w:sz w:val="32"/>
          <w:szCs w:val="32"/>
          <w:shd w:val="clear" w:color="auto" w:fill="FFFFFF"/>
        </w:rPr>
        <w:t>元，车均购置费</w:t>
      </w:r>
      <w:r>
        <w:rPr>
          <w:rFonts w:hint="default" w:ascii="Times New Roman" w:hAnsi="Times New Roman" w:eastAsia="方正仿宋_GBK"/>
          <w:color w:val="000000"/>
          <w:sz w:val="32"/>
          <w:szCs w:val="32"/>
          <w:shd w:val="clear" w:color="auto" w:fill="FFFFFF"/>
        </w:rPr>
        <w:t>0.00</w:t>
      </w:r>
      <w:r>
        <w:rPr>
          <w:rFonts w:ascii="方正仿宋_GBK" w:hAnsi="方正仿宋_GBK" w:eastAsia="方正仿宋_GBK" w:cs="方正仿宋_GBK"/>
          <w:color w:val="000000"/>
          <w:sz w:val="32"/>
          <w:szCs w:val="32"/>
          <w:shd w:val="clear" w:color="auto" w:fill="FFFFFF"/>
        </w:rPr>
        <w:t>万元，车均维护费</w:t>
      </w:r>
      <w:r>
        <w:rPr>
          <w:rFonts w:hint="default" w:ascii="Times New Roman" w:hAnsi="Times New Roman" w:eastAsia="方正仿宋_GBK"/>
          <w:color w:val="000000"/>
          <w:sz w:val="32"/>
          <w:szCs w:val="32"/>
          <w:shd w:val="clear" w:color="auto" w:fill="FFFFFF"/>
        </w:rPr>
        <w:t>0.00</w:t>
      </w:r>
      <w:r>
        <w:rPr>
          <w:rFonts w:ascii="方正仿宋_GBK" w:hAnsi="方正仿宋_GBK" w:eastAsia="方正仿宋_GBK" w:cs="方正仿宋_GBK"/>
          <w:color w:val="000000"/>
          <w:sz w:val="32"/>
          <w:szCs w:val="32"/>
          <w:shd w:val="clear" w:color="auto" w:fill="FFFFFF"/>
        </w:rPr>
        <w:t>万元。</w:t>
      </w:r>
    </w:p>
    <w:p>
      <w:pPr>
        <w:pStyle w:val="23"/>
        <w:shd w:val="clear" w:color="auto" w:fill="FFFFFF"/>
        <w:autoSpaceDE w:val="0"/>
        <w:spacing w:beforeAutospacing="0" w:afterAutospacing="0"/>
        <w:ind w:firstLine="640" w:firstLineChars="200"/>
        <w:rPr>
          <w:rFonts w:hint="default" w:ascii="Times New Roman" w:hAnsi="Times New Roman" w:eastAsia="方正黑体_GBK"/>
          <w:bCs/>
          <w:color w:val="000000"/>
          <w:sz w:val="32"/>
          <w:szCs w:val="32"/>
          <w:shd w:val="clear" w:color="auto" w:fill="FFFFFF"/>
        </w:rPr>
      </w:pPr>
      <w:r>
        <w:rPr>
          <w:rStyle w:val="15"/>
          <w:rFonts w:hint="eastAsia" w:ascii="方正黑体_GBK" w:hAnsi="方正黑体_GBK" w:eastAsia="方正黑体_GBK" w:cs="方正黑体_GBK"/>
          <w:b w:val="0"/>
          <w:bCs/>
          <w:color w:val="000000"/>
          <w:sz w:val="32"/>
          <w:szCs w:val="32"/>
          <w:shd w:val="clear" w:color="auto" w:fill="FFFFFF"/>
        </w:rPr>
        <w:t>四、其他需要说明的事项</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（一）财政拨款会议费和培训费情况说明</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本年度会议费支出</w:t>
      </w:r>
      <w:r>
        <w:rPr>
          <w:rFonts w:hint="default" w:ascii="Times New Roman" w:hAnsi="Times New Roman" w:eastAsia="方正仿宋_GBK"/>
          <w:color w:val="000000"/>
          <w:sz w:val="32"/>
          <w:szCs w:val="32"/>
          <w:shd w:val="clear" w:color="auto" w:fill="FFFFFF"/>
        </w:rPr>
        <w:t>4.75</w:t>
      </w:r>
      <w:r>
        <w:rPr>
          <w:rFonts w:ascii="方正仿宋_GBK" w:hAnsi="方正仿宋_GBK" w:eastAsia="方正仿宋_GBK" w:cs="方正仿宋_GBK"/>
          <w:color w:val="000000"/>
          <w:sz w:val="32"/>
          <w:szCs w:val="32"/>
          <w:shd w:val="clear" w:color="auto" w:fill="FFFFFF"/>
        </w:rPr>
        <w:t>万元，较上年决算数减少</w:t>
      </w:r>
      <w:r>
        <w:rPr>
          <w:rFonts w:hint="default" w:ascii="Times New Roman" w:hAnsi="Times New Roman" w:eastAsia="方正仿宋_GBK"/>
          <w:color w:val="000000"/>
          <w:sz w:val="32"/>
          <w:szCs w:val="32"/>
          <w:shd w:val="clear" w:color="auto" w:fill="FFFFFF"/>
        </w:rPr>
        <w:t>3.36</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41.4%</w:t>
      </w:r>
      <w:r>
        <w:rPr>
          <w:rFonts w:ascii="方正仿宋_GBK" w:hAnsi="方正仿宋_GBK" w:eastAsia="方正仿宋_GBK" w:cs="方正仿宋_GBK"/>
          <w:color w:val="000000"/>
          <w:sz w:val="32"/>
          <w:szCs w:val="32"/>
          <w:shd w:val="clear" w:color="auto" w:fill="FFFFFF"/>
        </w:rPr>
        <w:t>，主要原因是县级活动减少。本年度培训费支出</w:t>
      </w:r>
      <w:r>
        <w:rPr>
          <w:rFonts w:hint="default" w:ascii="Times New Roman" w:hAnsi="Times New Roman" w:eastAsia="方正仿宋_GBK"/>
          <w:color w:val="000000"/>
          <w:sz w:val="32"/>
          <w:szCs w:val="32"/>
          <w:shd w:val="clear" w:color="auto" w:fill="FFFFFF"/>
        </w:rPr>
        <w:t>1.61</w:t>
      </w:r>
      <w:r>
        <w:rPr>
          <w:rFonts w:ascii="方正仿宋_GBK" w:hAnsi="方正仿宋_GBK" w:eastAsia="方正仿宋_GBK" w:cs="方正仿宋_GBK"/>
          <w:color w:val="000000"/>
          <w:sz w:val="32"/>
          <w:szCs w:val="32"/>
          <w:shd w:val="clear" w:color="auto" w:fill="FFFFFF"/>
        </w:rPr>
        <w:t>万元，较上年决算数减少</w:t>
      </w:r>
      <w:r>
        <w:rPr>
          <w:rFonts w:hint="default" w:ascii="Times New Roman" w:hAnsi="Times New Roman" w:eastAsia="方正仿宋_GBK"/>
          <w:color w:val="000000"/>
          <w:sz w:val="32"/>
          <w:szCs w:val="32"/>
          <w:shd w:val="clear" w:color="auto" w:fill="FFFFFF"/>
        </w:rPr>
        <w:t>4.67</w:t>
      </w:r>
      <w:r>
        <w:rPr>
          <w:rFonts w:ascii="方正仿宋_GBK" w:hAnsi="方正仿宋_GBK" w:eastAsia="方正仿宋_GBK" w:cs="方正仿宋_GBK"/>
          <w:color w:val="000000"/>
          <w:sz w:val="32"/>
          <w:szCs w:val="32"/>
          <w:shd w:val="clear" w:color="auto" w:fill="FFFFFF"/>
        </w:rPr>
        <w:t>万元，下降</w:t>
      </w:r>
      <w:r>
        <w:rPr>
          <w:rFonts w:hint="default" w:ascii="Times New Roman" w:hAnsi="Times New Roman" w:eastAsia="方正仿宋_GBK"/>
          <w:color w:val="000000"/>
          <w:sz w:val="32"/>
          <w:szCs w:val="32"/>
          <w:shd w:val="clear" w:color="auto" w:fill="FFFFFF"/>
        </w:rPr>
        <w:t>74.4%</w:t>
      </w:r>
      <w:r>
        <w:rPr>
          <w:rFonts w:ascii="方正仿宋_GBK" w:hAnsi="方正仿宋_GBK" w:eastAsia="方正仿宋_GBK" w:cs="方正仿宋_GBK"/>
          <w:color w:val="000000"/>
          <w:sz w:val="32"/>
          <w:szCs w:val="32"/>
          <w:shd w:val="clear" w:color="auto" w:fill="FFFFFF"/>
        </w:rPr>
        <w:t>，主要原因是本年度培训人次减少。</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（二）机关运行经费支出情况说明</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按照部门决算列报口径，我单位不在机关运行经费统计范围之内。</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（三）国有资产占用情况说明</w:t>
      </w:r>
    </w:p>
    <w:p>
      <w:pPr>
        <w:pStyle w:val="23"/>
        <w:autoSpaceDE w:val="0"/>
        <w:spacing w:beforeAutospacing="0" w:afterAutospacing="0" w:line="579" w:lineRule="exact"/>
        <w:ind w:firstLine="640" w:firstLineChars="200"/>
        <w:rPr>
          <w:rFonts w:hint="default" w:ascii="Times New Roman" w:hAnsi="Times New Roman" w:eastAsia="方正仿宋_GBK"/>
          <w:sz w:val="32"/>
          <w:szCs w:val="32"/>
          <w:lang w:bidi="ar"/>
        </w:rPr>
      </w:pPr>
      <w:r>
        <w:rPr>
          <w:rFonts w:ascii="Times New Roman" w:hAnsi="Times New Roman" w:eastAsia="方正仿宋_GBK"/>
          <w:sz w:val="32"/>
          <w:szCs w:val="32"/>
          <w:lang w:bidi="ar"/>
        </w:rPr>
        <w:t>截至2022年12月31日，本部门共有车辆0辆，其中，副部（省）级及以上领导用车0辆、主要领导干部用车0辆、机要通信用车0辆、应急保障用车0辆、执法执勤用车0辆，特种专业技术用车0辆，离</w:t>
      </w:r>
      <w:bookmarkStart w:id="0" w:name="_GoBack"/>
      <w:bookmarkEnd w:id="0"/>
      <w:r>
        <w:rPr>
          <w:rFonts w:ascii="Times New Roman" w:hAnsi="Times New Roman" w:eastAsia="方正仿宋_GBK"/>
          <w:sz w:val="32"/>
          <w:szCs w:val="32"/>
          <w:lang w:bidi="ar"/>
        </w:rPr>
        <w:t>退休干部用车0辆，其他用车0辆。单价50万元（含）以上通用设备0台（套），单价100万元（含）以上专用设备0台（套）。</w:t>
      </w:r>
    </w:p>
    <w:p>
      <w:pPr>
        <w:pStyle w:val="23"/>
        <w:shd w:val="clear" w:color="auto" w:fill="FFFFFF"/>
        <w:autoSpaceDE w:val="0"/>
        <w:spacing w:beforeAutospacing="0" w:afterAutospacing="0"/>
        <w:ind w:firstLine="640" w:firstLineChars="200"/>
        <w:rPr>
          <w:rStyle w:val="15"/>
          <w:rFonts w:hint="eastAsia" w:ascii="方正楷体_GBK" w:hAnsi="方正楷体_GBK" w:eastAsia="方正楷体_GBK" w:cs="方正楷体_GBK"/>
          <w:b w:val="0"/>
          <w:bCs/>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（四）政府采购支出说明</w:t>
      </w:r>
    </w:p>
    <w:p>
      <w:pPr>
        <w:pStyle w:val="23"/>
        <w:autoSpaceDE w:val="0"/>
        <w:spacing w:beforeAutospacing="0" w:afterAutospacing="0" w:line="579" w:lineRule="exact"/>
        <w:ind w:firstLine="640" w:firstLineChars="200"/>
        <w:rPr>
          <w:rFonts w:hint="default" w:ascii="Times New Roman" w:hAnsi="Times New Roman" w:eastAsia="方正仿宋_GBK"/>
          <w:color w:val="000000"/>
          <w:sz w:val="32"/>
          <w:szCs w:val="32"/>
          <w:shd w:val="clear" w:color="auto" w:fill="FFFFFF"/>
        </w:rPr>
      </w:pPr>
      <w:r>
        <w:rPr>
          <w:rFonts w:ascii="Times New Roman" w:hAnsi="Times New Roman" w:eastAsia="方正仿宋_GBK"/>
          <w:sz w:val="32"/>
          <w:szCs w:val="32"/>
          <w:lang w:bidi="ar"/>
        </w:rPr>
        <w:t>2022年度我单位未发生政府采购事项，无相关经费支出总。</w:t>
      </w:r>
    </w:p>
    <w:p>
      <w:pPr>
        <w:pStyle w:val="23"/>
        <w:shd w:val="clear" w:color="auto" w:fill="FFFFFF"/>
        <w:autoSpaceDE w:val="0"/>
        <w:spacing w:beforeAutospacing="0" w:afterAutospacing="0"/>
        <w:ind w:firstLine="640" w:firstLineChars="200"/>
        <w:rPr>
          <w:rFonts w:hint="default" w:ascii="Times New Roman" w:hAnsi="Times New Roman" w:eastAsia="方正黑体_GBK"/>
          <w:bCs/>
          <w:color w:val="000000"/>
          <w:sz w:val="32"/>
          <w:szCs w:val="32"/>
          <w:shd w:val="clear" w:color="auto" w:fill="FFFFFF"/>
        </w:rPr>
      </w:pPr>
      <w:r>
        <w:rPr>
          <w:rStyle w:val="15"/>
          <w:rFonts w:hint="eastAsia" w:ascii="方正黑体_GBK" w:hAnsi="方正黑体_GBK" w:eastAsia="方正黑体_GBK" w:cs="方正黑体_GBK"/>
          <w:b w:val="0"/>
          <w:bCs/>
          <w:color w:val="000000"/>
          <w:sz w:val="32"/>
          <w:szCs w:val="32"/>
          <w:shd w:val="clear" w:color="auto" w:fill="FFFFFF"/>
        </w:rPr>
        <w:t>五、预算绩效管理情况说明</w:t>
      </w:r>
    </w:p>
    <w:p>
      <w:pPr>
        <w:spacing w:line="596" w:lineRule="exact"/>
        <w:ind w:firstLine="640" w:firstLineChars="200"/>
        <w:rPr>
          <w:rFonts w:ascii="方正仿宋_GBK" w:eastAsia="方正仿宋_GBK" w:cs="宋体"/>
          <w:sz w:val="32"/>
          <w:szCs w:val="32"/>
        </w:rPr>
      </w:pPr>
      <w:r>
        <w:rPr>
          <w:rFonts w:ascii="方正仿宋_GBK" w:eastAsia="方正仿宋_GBK" w:cs="宋体"/>
          <w:sz w:val="32"/>
          <w:szCs w:val="32"/>
        </w:rPr>
        <w:t>预算绩效管理情况只针对一级预算单位，本单位为二级预算单位，故预算绩效管理情况在此不反映。</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黑体_GBK" w:hAnsi="方正黑体_GBK" w:eastAsia="方正黑体_GBK" w:cs="方正黑体_GBK"/>
          <w:b w:val="0"/>
          <w:bCs/>
          <w:color w:val="000000"/>
          <w:sz w:val="32"/>
          <w:szCs w:val="32"/>
          <w:shd w:val="clear" w:color="auto" w:fill="FFFFFF"/>
        </w:rPr>
        <w:t>六、专业名词解释</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（一）财政拨款收入：</w:t>
      </w:r>
      <w:r>
        <w:rPr>
          <w:rFonts w:ascii="方正仿宋_GBK" w:hAnsi="方正仿宋_GBK" w:eastAsia="方正仿宋_GBK" w:cs="方正仿宋_GBK"/>
          <w:color w:val="000000"/>
          <w:sz w:val="32"/>
          <w:szCs w:val="32"/>
          <w:shd w:val="clear" w:color="auto" w:fill="FFFFFF"/>
        </w:rPr>
        <w:t>指本年度从本级财政部门取得的财政拨款，包括一般公共预算财政拨款和政府性基金预算财政拨款。</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（二）事业收入：</w:t>
      </w:r>
      <w:r>
        <w:rPr>
          <w:rFonts w:ascii="方正仿宋_GBK" w:hAnsi="方正仿宋_GBK" w:eastAsia="方正仿宋_GBK" w:cs="方正仿宋_GBK"/>
          <w:color w:val="000000"/>
          <w:sz w:val="32"/>
          <w:szCs w:val="32"/>
          <w:shd w:val="clear" w:color="auto" w:fill="FFFFFF"/>
        </w:rPr>
        <w:t>指事业单位开展专业业务活动及其辅助活动取得的现金流入；事业单位收到的财政专户实际核拨的教育收费等资金在此反映。</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（三）经营收入：</w:t>
      </w:r>
      <w:r>
        <w:rPr>
          <w:rFonts w:ascii="方正仿宋_GBK" w:hAnsi="方正仿宋_GBK" w:eastAsia="方正仿宋_GBK" w:cs="方正仿宋_GBK"/>
          <w:color w:val="000000"/>
          <w:sz w:val="32"/>
          <w:szCs w:val="32"/>
          <w:shd w:val="clear" w:color="auto" w:fill="FFFFFF"/>
        </w:rPr>
        <w:t>指事业单位在专业业务活动及其辅助活动之外开展非独立核算经营活动取得的现金流入。</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（四）其他收入：</w:t>
      </w:r>
      <w:r>
        <w:rPr>
          <w:rFonts w:ascii="方正仿宋_GBK" w:hAnsi="方正仿宋_GBK" w:eastAsia="方正仿宋_GBK" w:cs="方正仿宋_GBK"/>
          <w:color w:val="000000"/>
          <w:sz w:val="32"/>
          <w:szCs w:val="32"/>
          <w:shd w:val="clear" w:color="auto" w:fill="FFFFFF"/>
        </w:rPr>
        <w:t>指单位取得的除</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财政拨款收入</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事业收入</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经营收入</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（五）使用非财政拨款结余：</w:t>
      </w:r>
      <w:r>
        <w:rPr>
          <w:rFonts w:ascii="方正仿宋_GBK" w:hAnsi="方正仿宋_GBK" w:eastAsia="方正仿宋_GBK" w:cs="方正仿宋_GBK"/>
          <w:color w:val="000000"/>
          <w:sz w:val="32"/>
          <w:szCs w:val="32"/>
          <w:shd w:val="clear" w:color="auto" w:fill="FFFFFF"/>
        </w:rPr>
        <w:t>指单位在当年的</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财政拨款收入</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事业收入</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经营收入</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其他收入</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等不足以安排当年支出的情况下，使用以前年度积累的非财政拨款结余弥补本年度收支缺口的资金。</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（六）年初结转和结余：</w:t>
      </w:r>
      <w:r>
        <w:rPr>
          <w:rFonts w:ascii="方正仿宋_GBK" w:hAnsi="方正仿宋_GBK" w:eastAsia="方正仿宋_GBK" w:cs="方正仿宋_GBK"/>
          <w:color w:val="000000"/>
          <w:sz w:val="32"/>
          <w:szCs w:val="32"/>
          <w:shd w:val="clear" w:color="auto" w:fill="FFFFFF"/>
        </w:rPr>
        <w:t>指单位上年结转本年使用的基本支出结转、项目支出结转和结余、经营结余。</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（七）结余分配：</w:t>
      </w:r>
      <w:r>
        <w:rPr>
          <w:rFonts w:ascii="方正仿宋_GBK" w:hAnsi="方正仿宋_GBK" w:eastAsia="方正仿宋_GBK" w:cs="方正仿宋_GBK"/>
          <w:color w:val="000000"/>
          <w:sz w:val="32"/>
          <w:szCs w:val="32"/>
          <w:shd w:val="clear" w:color="auto" w:fill="FFFFFF"/>
        </w:rPr>
        <w:t>指单位按照国家有关规定，缴纳所得税、提取专用基金、转入非财政拨款结余等当年结余的分配情况。</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（八）年末结转和结余：</w:t>
      </w:r>
      <w:r>
        <w:rPr>
          <w:rFonts w:ascii="方正仿宋_GBK" w:hAnsi="方正仿宋_GBK" w:eastAsia="方正仿宋_GBK" w:cs="方正仿宋_GBK"/>
          <w:color w:val="000000"/>
          <w:sz w:val="32"/>
          <w:szCs w:val="32"/>
          <w:shd w:val="clear" w:color="auto" w:fill="FFFFFF"/>
        </w:rPr>
        <w:t>指单位结转下年的基本支出结转、项目支出结转和结余、经营结余。</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（九）基本支出：</w:t>
      </w:r>
      <w:r>
        <w:rPr>
          <w:rFonts w:ascii="方正仿宋_GBK" w:hAnsi="方正仿宋_GBK" w:eastAsia="方正仿宋_GBK" w:cs="方正仿宋_GBK"/>
          <w:color w:val="000000"/>
          <w:sz w:val="32"/>
          <w:szCs w:val="32"/>
          <w:shd w:val="clear" w:color="auto" w:fill="FFFFFF"/>
        </w:rPr>
        <w:t>指为保障机构正常运转、完成日常工作任务而发生的人员经费和公用经费。其中：人员经费指政府收支分类经济科目中的</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工资福利支出</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和</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对个人和家庭的补助</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；公用经费指政府收支分类经济科目中除</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工资福利支出</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和</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对个人和家庭的补助</w:t>
      </w:r>
      <w:r>
        <w:rPr>
          <w:rFonts w:hint="default" w:ascii="Times New Roman" w:hAnsi="Times New Roman" w:eastAsia="方正仿宋_GBK"/>
          <w:color w:val="000000"/>
          <w:sz w:val="32"/>
          <w:szCs w:val="32"/>
          <w:shd w:val="clear" w:color="auto" w:fill="FFFFFF"/>
        </w:rPr>
        <w:t>”</w:t>
      </w:r>
      <w:r>
        <w:rPr>
          <w:rFonts w:ascii="方正仿宋_GBK" w:hAnsi="方正仿宋_GBK" w:eastAsia="方正仿宋_GBK" w:cs="方正仿宋_GBK"/>
          <w:color w:val="000000"/>
          <w:sz w:val="32"/>
          <w:szCs w:val="32"/>
          <w:shd w:val="clear" w:color="auto" w:fill="FFFFFF"/>
        </w:rPr>
        <w:t>外的其他支出。</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（十）项目支出：</w:t>
      </w:r>
      <w:r>
        <w:rPr>
          <w:rFonts w:ascii="方正仿宋_GBK" w:hAnsi="方正仿宋_GBK" w:eastAsia="方正仿宋_GBK" w:cs="方正仿宋_GBK"/>
          <w:color w:val="000000"/>
          <w:sz w:val="32"/>
          <w:szCs w:val="32"/>
          <w:shd w:val="clear" w:color="auto" w:fill="FFFFFF"/>
        </w:rPr>
        <w:t>指在基本支出之外为完成特定行政任务和事业发展目标所发生的支出。</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（十一）经营支出：</w:t>
      </w:r>
      <w:r>
        <w:rPr>
          <w:rFonts w:ascii="方正仿宋_GBK" w:hAnsi="方正仿宋_GBK" w:eastAsia="方正仿宋_GBK" w:cs="方正仿宋_GBK"/>
          <w:color w:val="000000"/>
          <w:sz w:val="32"/>
          <w:szCs w:val="32"/>
          <w:shd w:val="clear" w:color="auto" w:fill="FFFFFF"/>
        </w:rPr>
        <w:t>指事业单位在专业业务活动及其辅助活动之外开展非独立核算经营活动发生的支出。</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（十二）“三公”经费：</w:t>
      </w:r>
      <w:r>
        <w:rPr>
          <w:rFonts w:ascii="方正仿宋_GBK" w:hAnsi="方正仿宋_GBK" w:eastAsia="方正仿宋_GBK" w:cs="方正仿宋_GBK"/>
          <w:color w:val="000000"/>
          <w:sz w:val="32"/>
          <w:szCs w:val="32"/>
          <w:shd w:val="clear" w:color="auto"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（十三）机关运行经费：</w:t>
      </w:r>
      <w:r>
        <w:rPr>
          <w:rFonts w:ascii="方正仿宋_GBK" w:hAnsi="方正仿宋_GBK" w:eastAsia="方正仿宋_GBK" w:cs="方正仿宋_GBK"/>
          <w:color w:val="000000"/>
          <w:sz w:val="32"/>
          <w:szCs w:val="32"/>
          <w:shd w:val="clear" w:color="auto" w:fill="FFFFFF"/>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（十四）工资福利支出（支出经济分类科目类级）：</w:t>
      </w:r>
      <w:r>
        <w:rPr>
          <w:rFonts w:ascii="方正仿宋_GBK" w:hAnsi="方正仿宋_GBK" w:eastAsia="方正仿宋_GBK" w:cs="方正仿宋_GBK"/>
          <w:color w:val="000000"/>
          <w:sz w:val="32"/>
          <w:szCs w:val="32"/>
          <w:shd w:val="clear" w:color="auto" w:fill="FFFFFF"/>
        </w:rPr>
        <w:t>反映单位开支的在职职工和编制外长期聘用人员的各类劳动报酬，以及为上述人员缴纳的各项社会保险费等。</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（十五）商品和服务支出（支出经济分类科目类级）：</w:t>
      </w:r>
      <w:r>
        <w:rPr>
          <w:rFonts w:ascii="方正仿宋_GBK" w:hAnsi="方正仿宋_GBK" w:eastAsia="方正仿宋_GBK" w:cs="方正仿宋_GBK"/>
          <w:color w:val="000000"/>
          <w:sz w:val="32"/>
          <w:szCs w:val="32"/>
          <w:shd w:val="clear" w:color="auto" w:fill="FFFFFF"/>
        </w:rPr>
        <w:t>反映单位购买商品和服务的支出（不包括用于购置固定资产的支出、战略性和应急储备支出）。</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（十六）对个人和家庭的补助（支出经济分类科目类级）：</w:t>
      </w:r>
      <w:r>
        <w:rPr>
          <w:rFonts w:ascii="方正仿宋_GBK" w:hAnsi="方正仿宋_GBK" w:eastAsia="方正仿宋_GBK" w:cs="方正仿宋_GBK"/>
          <w:color w:val="000000"/>
          <w:sz w:val="32"/>
          <w:szCs w:val="32"/>
          <w:shd w:val="clear" w:color="auto" w:fill="FFFFFF"/>
        </w:rPr>
        <w:t>反映用于对个人和家庭的补助支出。</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楷体_GBK" w:hAnsi="方正楷体_GBK" w:eastAsia="方正楷体_GBK" w:cs="方正楷体_GBK"/>
          <w:b w:val="0"/>
          <w:bCs/>
          <w:color w:val="000000"/>
          <w:sz w:val="32"/>
          <w:szCs w:val="32"/>
          <w:shd w:val="clear" w:color="auto" w:fill="FFFFFF"/>
        </w:rPr>
        <w:t>（十七）其他资本性支出（支出经济分类科目类级）：</w:t>
      </w:r>
      <w:r>
        <w:rPr>
          <w:rFonts w:ascii="方正仿宋_GBK" w:hAnsi="方正仿宋_GBK" w:eastAsia="方正仿宋_GBK" w:cs="方正仿宋_GBK"/>
          <w:color w:val="000000"/>
          <w:sz w:val="32"/>
          <w:szCs w:val="32"/>
          <w:shd w:val="clear" w:color="auto" w:fill="FFFFFF"/>
        </w:rPr>
        <w:t>反映非各级发展与改革部门集中安排的用于购置固定资产、战略性和应急性储备、土地和无形资产，以及构建基础设施、大型修缮和财政支持企业更新改造所发生的支出。</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Style w:val="15"/>
          <w:rFonts w:hint="eastAsia" w:ascii="方正黑体_GBK" w:hAnsi="方正黑体_GBK" w:eastAsia="方正黑体_GBK" w:cs="方正黑体_GBK"/>
          <w:b w:val="0"/>
          <w:bCs/>
          <w:color w:val="000000"/>
          <w:sz w:val="32"/>
          <w:szCs w:val="32"/>
          <w:shd w:val="clear" w:color="auto" w:fill="FFFFFF"/>
        </w:rPr>
        <w:t>七、决算公开联系方式及信息反馈渠道</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本单位决算公开信息反馈和联系方式：</w:t>
      </w:r>
    </w:p>
    <w:p>
      <w:pPr>
        <w:pStyle w:val="23"/>
        <w:shd w:val="clear" w:color="auto" w:fill="FFFFFF"/>
        <w:autoSpaceDE w:val="0"/>
        <w:spacing w:beforeAutospacing="0" w:afterAutospacing="0"/>
        <w:ind w:firstLine="640" w:firstLineChars="200"/>
        <w:rPr>
          <w:rFonts w:hint="default" w:ascii="Times New Roman" w:hAnsi="Times New Roman" w:eastAsia="方正仿宋_GBK"/>
          <w:color w:val="000000"/>
          <w:sz w:val="32"/>
          <w:szCs w:val="32"/>
          <w:shd w:val="clear" w:color="auto" w:fill="FFFFFF"/>
        </w:rPr>
      </w:pPr>
      <w:r>
        <w:rPr>
          <w:rFonts w:ascii="方正仿宋_GBK" w:hAnsi="方正仿宋_GBK" w:eastAsia="方正仿宋_GBK" w:cs="方正仿宋_GBK"/>
          <w:color w:val="000000"/>
          <w:sz w:val="32"/>
          <w:szCs w:val="32"/>
          <w:shd w:val="clear" w:color="auto" w:fill="FFFFFF"/>
        </w:rPr>
        <w:t>李川</w:t>
      </w:r>
      <w:r>
        <w:rPr>
          <w:rFonts w:hint="default" w:ascii="Times New Roman" w:hAnsi="Times New Roman" w:eastAsia="方正仿宋_GBK"/>
          <w:color w:val="000000"/>
          <w:sz w:val="32"/>
          <w:szCs w:val="32"/>
          <w:shd w:val="clear" w:color="auto" w:fill="FFFFFF"/>
        </w:rPr>
        <w:t xml:space="preserve">   023-59290019</w:t>
      </w:r>
    </w:p>
    <w:p>
      <w:pPr>
        <w:rPr>
          <w:rFonts w:hint="default" w:ascii="Times New Roman" w:hAnsi="Times New Roman"/>
          <w:color w:val="000000"/>
          <w:shd w:val="clear" w:color="auto" w:fill="FFFFFF"/>
        </w:rPr>
      </w:pPr>
      <w:r>
        <w:rPr>
          <w:rFonts w:hint="default" w:ascii="Times New Roman" w:hAnsi="Times New Roman" w:eastAsia="方正仿宋_GBK"/>
          <w:color w:val="000000"/>
          <w:sz w:val="32"/>
          <w:szCs w:val="32"/>
        </w:rPr>
        <w:t xml:space="preserve"> </w:t>
      </w:r>
    </w:p>
    <w:sectPr>
      <w:pgSz w:w="11915" w:h="16840"/>
      <w:pgMar w:top="1440" w:right="1800" w:bottom="1440" w:left="180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9495BB-2BC8-464E-B871-D677F0287C48}"/>
  </w:font>
  <w:font w:name="Arial">
    <w:panose1 w:val="020B0604020202020204"/>
    <w:charset w:val="01"/>
    <w:family w:val="swiss"/>
    <w:pitch w:val="default"/>
    <w:sig w:usb0="E0002AFF" w:usb1="C0007843" w:usb2="00000009" w:usb3="00000000" w:csb0="400001FF" w:csb1="FFFF0000"/>
    <w:embedRegular r:id="rId2" w:fontKey="{5F797236-22A4-47CB-B272-12245F0000B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E429435-A337-48AF-A7A9-B4C629920A31}"/>
  </w:font>
  <w:font w:name="Symbol">
    <w:panose1 w:val="05050102010706020507"/>
    <w:charset w:val="02"/>
    <w:family w:val="roman"/>
    <w:pitch w:val="default"/>
    <w:sig w:usb0="00000000" w:usb1="00000000" w:usb2="00000000" w:usb3="00000000" w:csb0="80000000" w:csb1="00000000"/>
    <w:embedRegular r:id="rId4" w:fontKey="{0E156C3D-9A62-4C50-823D-3C9927DB345F}"/>
  </w:font>
  <w:font w:name="Calibri">
    <w:panose1 w:val="020F0502020204030204"/>
    <w:charset w:val="00"/>
    <w:family w:val="swiss"/>
    <w:pitch w:val="default"/>
    <w:sig w:usb0="E00002FF" w:usb1="4000ACFF" w:usb2="00000001" w:usb3="00000000" w:csb0="2000019F" w:csb1="00000000"/>
    <w:embedRegular r:id="rId5" w:fontKey="{319037A5-E3B3-4906-A04D-05E4BDB79713}"/>
  </w:font>
  <w:font w:name="Courier New">
    <w:panose1 w:val="02070309020205020404"/>
    <w:charset w:val="00"/>
    <w:family w:val="modern"/>
    <w:pitch w:val="default"/>
    <w:sig w:usb0="E0002AFF" w:usb1="C0007843" w:usb2="00000009" w:usb3="00000000" w:csb0="400001FF" w:csb1="FFFF0000"/>
    <w:embedRegular r:id="rId6" w:fontKey="{61D6019B-C0D5-4F66-92AE-376FB237E907}"/>
  </w:font>
  <w:font w:name="方正小标宋_GBK">
    <w:panose1 w:val="03000509000000000000"/>
    <w:charset w:val="86"/>
    <w:family w:val="script"/>
    <w:pitch w:val="default"/>
    <w:sig w:usb0="00000001" w:usb1="080E0000" w:usb2="00000000" w:usb3="00000000" w:csb0="00040000" w:csb1="00000000"/>
    <w:embedRegular r:id="rId7" w:fontKey="{63FE1A75-EFBC-4091-86A7-02A4038099E3}"/>
  </w:font>
  <w:font w:name="方正仿宋_GBK">
    <w:panose1 w:val="03000509000000000000"/>
    <w:charset w:val="86"/>
    <w:family w:val="script"/>
    <w:pitch w:val="default"/>
    <w:sig w:usb0="00000001" w:usb1="080E0000" w:usb2="00000000" w:usb3="00000000" w:csb0="00040000" w:csb1="00000000"/>
    <w:embedRegular r:id="rId8" w:fontKey="{A5DE2E10-A4AC-416A-9101-7F8C780C3954}"/>
  </w:font>
  <w:font w:name="方正黑体_GBK">
    <w:panose1 w:val="03000509000000000000"/>
    <w:charset w:val="86"/>
    <w:family w:val="script"/>
    <w:pitch w:val="default"/>
    <w:sig w:usb0="00000001" w:usb1="080E0000" w:usb2="00000000" w:usb3="00000000" w:csb0="00040000" w:csb1="00000000"/>
    <w:embedRegular r:id="rId9" w:fontKey="{17DF743B-98D7-4AFC-AED6-CED0BA23BDD1}"/>
  </w:font>
  <w:font w:name="方正楷体_GBK">
    <w:panose1 w:val="03000509000000000000"/>
    <w:charset w:val="86"/>
    <w:family w:val="script"/>
    <w:pitch w:val="default"/>
    <w:sig w:usb0="00000001" w:usb1="080E0000" w:usb2="00000000" w:usb3="00000000" w:csb0="00040000" w:csb1="00000000"/>
    <w:embedRegular r:id="rId10" w:fontKey="{F92084E2-9E25-4FF6-BB9C-C8BB9DB686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VerticalSpacing w:val="157"/>
  <w:displayHorizontalDrawingGridEvery w:val="0"/>
  <w:displayVerticalDrawingGridEvery w:val="2"/>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zYTdmYTZlNDE5MDhiNjhkOTA3NWJmNWRhYjgyMDEifQ=="/>
  </w:docVars>
  <w:rsids>
    <w:rsidRoot w:val="00943C92"/>
    <w:rsid w:val="00011E7A"/>
    <w:rsid w:val="00044702"/>
    <w:rsid w:val="001E642B"/>
    <w:rsid w:val="00392EE3"/>
    <w:rsid w:val="00484D24"/>
    <w:rsid w:val="005B6EEC"/>
    <w:rsid w:val="008F52B7"/>
    <w:rsid w:val="00943C92"/>
    <w:rsid w:val="009F4BA8"/>
    <w:rsid w:val="00A21246"/>
    <w:rsid w:val="14731242"/>
    <w:rsid w:val="16685625"/>
    <w:rsid w:val="29563EC3"/>
    <w:rsid w:val="35586236"/>
    <w:rsid w:val="38C64D8D"/>
    <w:rsid w:val="6A9F647E"/>
    <w:rsid w:val="75D92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iPriority="99"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99" w:semiHidden="0" w:name="Normal Indent"/>
    <w:lsdException w:unhideWhenUsed="0" w:uiPriority="99" w:semiHidden="0" w:name="footnote text"/>
    <w:lsdException w:unhideWhenUsed="0" w:uiPriority="99" w:semiHidden="0" w:name="annotation text"/>
    <w:lsdException w:qFormat="1" w:unhideWhenUsed="0" w:uiPriority="99" w:semiHidden="0" w:name="header"/>
    <w:lsdException w:qFormat="1" w:unhideWhenUsed="0" w:uiPriority="99" w:semiHidden="0" w:name="footer"/>
    <w:lsdException w:unhideWhenUsed="0" w:uiPriority="99" w:semiHidden="0" w:name="index heading"/>
    <w:lsdException w:qFormat="1" w:unhideWhenUsed="0" w:uiPriority="35" w:semiHidden="0"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10" w:semiHidden="0" w:name="Title"/>
    <w:lsdException w:unhideWhenUsed="0" w:uiPriority="99" w:semiHidden="0" w:name="Closing"/>
    <w:lsdException w:unhideWhenUsed="0" w:uiPriority="99" w:semiHidden="0" w:name="Signature"/>
    <w:lsdException w:qFormat="1" w:uiPriority="1"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11"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nhideWhenUsed="0"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nhideWhenUsed="0"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qFormat="1"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99"/>
    <w:rPr>
      <w:rFonts w:hint="eastAsia" w:ascii="宋体" w:hAnsi="宋体" w:eastAsia="宋体" w:cs="Times New Roman"/>
      <w:sz w:val="24"/>
      <w:szCs w:val="24"/>
      <w:lang w:val="en-US" w:eastAsia="zh-CN" w:bidi="ar-SA"/>
    </w:rPr>
  </w:style>
  <w:style w:type="paragraph" w:styleId="2">
    <w:name w:val="heading 1"/>
    <w:basedOn w:val="1"/>
    <w:next w:val="1"/>
    <w:qFormat/>
    <w:uiPriority w:val="9"/>
    <w:pPr>
      <w:spacing w:beforeAutospacing="1" w:afterAutospacing="1"/>
      <w:outlineLvl w:val="0"/>
    </w:pPr>
    <w:rPr>
      <w:b/>
      <w:bCs/>
      <w:kern w:val="44"/>
      <w:sz w:val="48"/>
      <w:szCs w:val="48"/>
    </w:rPr>
  </w:style>
  <w:style w:type="paragraph" w:styleId="3">
    <w:name w:val="heading 2"/>
    <w:basedOn w:val="1"/>
    <w:next w:val="1"/>
    <w:qFormat/>
    <w:uiPriority w:val="9"/>
    <w:pPr>
      <w:spacing w:beforeAutospacing="1" w:afterAutospacing="1"/>
      <w:outlineLvl w:val="1"/>
    </w:pPr>
    <w:rPr>
      <w:b/>
      <w:bCs/>
      <w:sz w:val="36"/>
      <w:szCs w:val="36"/>
    </w:rPr>
  </w:style>
  <w:style w:type="paragraph" w:styleId="4">
    <w:name w:val="heading 3"/>
    <w:basedOn w:val="1"/>
    <w:next w:val="1"/>
    <w:qFormat/>
    <w:uiPriority w:val="9"/>
    <w:pPr>
      <w:spacing w:beforeAutospacing="1" w:afterAutospacing="1"/>
      <w:outlineLvl w:val="2"/>
    </w:pPr>
    <w:rPr>
      <w:b/>
      <w:bCs/>
      <w:sz w:val="27"/>
      <w:szCs w:val="27"/>
    </w:rPr>
  </w:style>
  <w:style w:type="paragraph" w:styleId="5">
    <w:name w:val="heading 4"/>
    <w:basedOn w:val="1"/>
    <w:next w:val="1"/>
    <w:qFormat/>
    <w:uiPriority w:val="9"/>
    <w:pPr>
      <w:spacing w:beforeAutospacing="1" w:afterAutospacing="1"/>
      <w:outlineLvl w:val="3"/>
    </w:pPr>
    <w:rPr>
      <w:b/>
      <w:bCs/>
    </w:rPr>
  </w:style>
  <w:style w:type="paragraph" w:styleId="6">
    <w:name w:val="heading 5"/>
    <w:basedOn w:val="1"/>
    <w:next w:val="1"/>
    <w:qFormat/>
    <w:uiPriority w:val="9"/>
    <w:pPr>
      <w:spacing w:beforeAutospacing="1" w:afterAutospacing="1"/>
      <w:outlineLvl w:val="4"/>
    </w:pPr>
    <w:rPr>
      <w:b/>
      <w:bCs/>
      <w:sz w:val="20"/>
      <w:szCs w:val="20"/>
    </w:rPr>
  </w:style>
  <w:style w:type="paragraph" w:styleId="7">
    <w:name w:val="heading 6"/>
    <w:basedOn w:val="1"/>
    <w:next w:val="1"/>
    <w:qFormat/>
    <w:uiPriority w:val="9"/>
    <w:pPr>
      <w:spacing w:beforeAutospacing="1" w:afterAutospacing="1"/>
      <w:outlineLvl w:val="5"/>
    </w:pPr>
    <w:rPr>
      <w:b/>
      <w:bCs/>
      <w:sz w:val="15"/>
      <w:szCs w:val="15"/>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footer"/>
    <w:basedOn w:val="1"/>
    <w:qFormat/>
    <w:uiPriority w:val="99"/>
    <w:pPr>
      <w:widowControl w:val="0"/>
      <w:snapToGrid w:val="0"/>
    </w:pPr>
    <w:rPr>
      <w:rFonts w:hint="default" w:ascii="Times New Roman" w:hAnsi="Times New Roman"/>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default" w:ascii="Courier New" w:hAnsi="Courier New"/>
      <w:sz w:val="20"/>
      <w:szCs w:val="20"/>
    </w:rPr>
  </w:style>
  <w:style w:type="paragraph" w:styleId="11">
    <w:name w:val="Normal (Web)"/>
    <w:basedOn w:val="1"/>
    <w:qFormat/>
    <w:uiPriority w:val="99"/>
    <w:pPr>
      <w:spacing w:beforeAutospacing="1" w:afterAutospacing="1"/>
    </w:pPr>
  </w:style>
  <w:style w:type="character" w:customStyle="1" w:styleId="14">
    <w:name w:val="19"/>
    <w:basedOn w:val="13"/>
    <w:qFormat/>
    <w:uiPriority w:val="0"/>
    <w:rPr>
      <w:rFonts w:hint="default" w:ascii="Times New Roman" w:hAnsi="Times New Roman" w:cs="Times New Roman"/>
      <w:sz w:val="18"/>
      <w:szCs w:val="18"/>
    </w:rPr>
  </w:style>
  <w:style w:type="character" w:customStyle="1" w:styleId="15">
    <w:name w:val="16"/>
    <w:basedOn w:val="13"/>
    <w:qFormat/>
    <w:uiPriority w:val="0"/>
    <w:rPr>
      <w:rFonts w:hint="default" w:ascii="Times New Roman" w:hAnsi="Times New Roman" w:cs="Times New Roman"/>
      <w:b/>
    </w:rPr>
  </w:style>
  <w:style w:type="character" w:customStyle="1" w:styleId="16">
    <w:name w:val="15"/>
    <w:basedOn w:val="13"/>
    <w:qFormat/>
    <w:uiPriority w:val="0"/>
    <w:rPr>
      <w:rFonts w:hint="default" w:ascii="Times New Roman" w:hAnsi="Times New Roman" w:cs="Times New Roman"/>
    </w:rPr>
  </w:style>
  <w:style w:type="character" w:customStyle="1" w:styleId="17">
    <w:name w:val="18"/>
    <w:basedOn w:val="13"/>
    <w:qFormat/>
    <w:uiPriority w:val="0"/>
    <w:rPr>
      <w:rFonts w:hint="eastAsia" w:ascii="宋体" w:hAnsi="宋体" w:eastAsia="宋体" w:cs="宋体"/>
      <w:sz w:val="18"/>
      <w:szCs w:val="18"/>
    </w:rPr>
  </w:style>
  <w:style w:type="character" w:customStyle="1" w:styleId="18">
    <w:name w:val="17"/>
    <w:basedOn w:val="13"/>
    <w:qFormat/>
    <w:uiPriority w:val="0"/>
    <w:rPr>
      <w:rFonts w:hint="default" w:ascii="Times New Roman" w:hAnsi="Times New Roman" w:cs="Times New Roman"/>
    </w:rPr>
  </w:style>
  <w:style w:type="character" w:customStyle="1" w:styleId="19">
    <w:name w:val="10"/>
    <w:basedOn w:val="13"/>
    <w:qFormat/>
    <w:uiPriority w:val="0"/>
    <w:rPr>
      <w:rFonts w:hint="default" w:ascii="Times New Roman" w:hAnsi="Times New Roman" w:cs="Times New Roman"/>
    </w:rPr>
  </w:style>
  <w:style w:type="paragraph" w:customStyle="1" w:styleId="20">
    <w:name w:val="msolistparagraph"/>
    <w:basedOn w:val="1"/>
    <w:qFormat/>
    <w:uiPriority w:val="0"/>
    <w:pPr>
      <w:ind w:firstLine="420" w:firstLineChars="200"/>
    </w:pPr>
  </w:style>
  <w:style w:type="paragraph" w:customStyle="1" w:styleId="21">
    <w:name w:val="HTML 预设格式 Char"/>
    <w:basedOn w:val="1"/>
    <w:qFormat/>
    <w:uiPriority w:val="0"/>
    <w:rPr>
      <w:rFonts w:hint="default" w:ascii="Courier New" w:hAnsi="Courier New"/>
      <w:sz w:val="20"/>
      <w:szCs w:val="20"/>
    </w:rPr>
  </w:style>
  <w:style w:type="paragraph" w:customStyle="1" w:styleId="22">
    <w:name w:val="HTML 预设格式 Char Char"/>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default" w:ascii="Courier New" w:hAnsi="Courier New"/>
      <w:sz w:val="20"/>
      <w:szCs w:val="20"/>
    </w:rPr>
  </w:style>
  <w:style w:type="paragraph" w:customStyle="1" w:styleId="23">
    <w:name w:val="普通(网站) Char"/>
    <w:basedOn w:val="1"/>
    <w:qFormat/>
    <w:uiPriority w:val="0"/>
    <w:pPr>
      <w:spacing w:beforeAutospacing="1" w:afterAutospacing="1"/>
    </w:pPr>
  </w:style>
  <w:style w:type="character" w:customStyle="1" w:styleId="24">
    <w:name w:val="页眉 Char"/>
    <w:basedOn w:val="13"/>
    <w:link w:val="9"/>
    <w:qFormat/>
    <w:uiPriority w:val="99"/>
    <w:rPr>
      <w:rFonts w:ascii="宋体" w:hAnsi="宋体"/>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640</Words>
  <Characters>3652</Characters>
  <Lines>30</Lines>
  <Paragraphs>8</Paragraphs>
  <TotalTime>0</TotalTime>
  <ScaleCrop>false</ScaleCrop>
  <LinksUpToDate>false</LinksUpToDate>
  <CharactersWithSpaces>4284</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2023-10-25T03:20:00Z</dcterms:created>
  <dc:creator>Administrator</dc:creator>
  <cp:lastModifiedBy>666</cp:lastModifiedBy>
  <dcterms:modified xsi:type="dcterms:W3CDTF">2023-11-08T03:59:08Z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1FF4AD963AB9497DBB6097D26E79948D</vt:lpwstr>
  </property>
  <property fmtid="{D5CDD505-2E9C-101B-9397-08002B2CF9AE}" pid="4" name="KSOSaveFontToCloudKey">
    <vt:lpwstr>300157628_embed</vt:lpwstr>
  </property>
</Properties>
</file>