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N/>
        <w:bidi w:val="0"/>
        <w:adjustRightInd/>
        <w:snapToGrid/>
        <w:spacing w:before="0" w:beforeAutospacing="0" w:after="0" w:afterAutospacing="0" w:line="579" w:lineRule="exact"/>
        <w:jc w:val="center"/>
        <w:textAlignment w:val="auto"/>
        <w:rPr>
          <w:rFonts w:hint="default" w:ascii="Times New Roman" w:hAnsi="Times New Roman" w:eastAsia="方正小标宋_GBK" w:cs="Times New Roman"/>
          <w:b w:val="0"/>
          <w:bCs w:val="0"/>
          <w:color w:val="auto"/>
          <w:sz w:val="44"/>
          <w:szCs w:val="44"/>
          <w:highlight w:val="none"/>
        </w:rPr>
      </w:pPr>
      <w:r>
        <w:rPr>
          <w:rFonts w:hint="default" w:ascii="Times New Roman" w:hAnsi="Times New Roman" w:eastAsia="方正小标宋_GBK" w:cs="Times New Roman"/>
          <w:b w:val="0"/>
          <w:bCs w:val="0"/>
          <w:color w:val="auto"/>
          <w:sz w:val="44"/>
          <w:szCs w:val="44"/>
          <w:highlight w:val="none"/>
        </w:rPr>
        <w:t>重庆市城口县经济和信息化委员会</w:t>
      </w:r>
    </w:p>
    <w:p>
      <w:pPr>
        <w:pStyle w:val="6"/>
        <w:keepNext w:val="0"/>
        <w:keepLines w:val="0"/>
        <w:pageBreakBefore w:val="0"/>
        <w:kinsoku/>
        <w:wordWrap/>
        <w:overflowPunct/>
        <w:topLinePunct w:val="0"/>
        <w:autoSpaceDN/>
        <w:bidi w:val="0"/>
        <w:adjustRightInd/>
        <w:snapToGrid/>
        <w:spacing w:before="0" w:beforeAutospacing="0" w:after="0" w:afterAutospacing="0" w:line="579" w:lineRule="exact"/>
        <w:jc w:val="center"/>
        <w:textAlignment w:val="auto"/>
        <w:rPr>
          <w:rFonts w:hint="default" w:ascii="Times New Roman" w:hAnsi="Times New Roman" w:eastAsia="方正小标宋_GBK" w:cs="Times New Roman"/>
          <w:b w:val="0"/>
          <w:bCs w:val="0"/>
          <w:color w:val="auto"/>
          <w:sz w:val="44"/>
          <w:szCs w:val="44"/>
          <w:highlight w:val="none"/>
          <w:shd w:val="clear" w:color="auto" w:fill="FFFFFF"/>
        </w:rPr>
      </w:pPr>
      <w:r>
        <w:rPr>
          <w:rFonts w:hint="default" w:ascii="Times New Roman" w:hAnsi="Times New Roman" w:eastAsia="方正小标宋_GBK" w:cs="Times New Roman"/>
          <w:b w:val="0"/>
          <w:bCs w:val="0"/>
          <w:color w:val="auto"/>
          <w:sz w:val="44"/>
          <w:szCs w:val="44"/>
          <w:highlight w:val="none"/>
          <w:shd w:val="clear" w:color="auto" w:fill="FFFFFF"/>
        </w:rPr>
        <w:t>2024年度决算公开说明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3" w:firstLineChars="200"/>
        <w:textAlignment w:val="auto"/>
        <w:rPr>
          <w:rStyle w:val="8"/>
          <w:rFonts w:hint="default" w:ascii="Times New Roman" w:hAnsi="Times New Roman" w:eastAsia="黑体" w:cs="Times New Roman"/>
          <w:color w:val="auto"/>
          <w:sz w:val="32"/>
          <w:szCs w:val="32"/>
          <w:highlight w:val="none"/>
          <w:shd w:val="clear" w:color="auto" w:fill="FFFFFF"/>
        </w:rPr>
      </w:pP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一、部门基本情况</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楷体_GBK" w:cs="Times New Roman"/>
          <w:color w:val="auto"/>
          <w:sz w:val="32"/>
          <w:highlight w:val="none"/>
        </w:rPr>
      </w:pPr>
      <w:r>
        <w:rPr>
          <w:rFonts w:hint="default" w:ascii="Times New Roman" w:hAnsi="Times New Roman" w:eastAsia="方正楷体_GBK" w:cs="Times New Roman"/>
          <w:color w:val="auto"/>
          <w:sz w:val="32"/>
          <w:highlight w:val="none"/>
        </w:rPr>
        <w:t>（</w:t>
      </w:r>
      <w:bookmarkStart w:id="0" w:name="_GoBack"/>
      <w:bookmarkEnd w:id="0"/>
      <w:r>
        <w:rPr>
          <w:rFonts w:hint="default" w:ascii="Times New Roman" w:hAnsi="Times New Roman" w:eastAsia="方正楷体_GBK" w:cs="Times New Roman"/>
          <w:color w:val="auto"/>
          <w:sz w:val="32"/>
          <w:highlight w:val="none"/>
        </w:rPr>
        <w:t>一）职能职责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1.</w:t>
      </w:r>
      <w:r>
        <w:rPr>
          <w:rFonts w:hint="default" w:ascii="Times New Roman" w:hAnsi="Times New Roman" w:eastAsia="方正仿宋_GBK" w:cs="Times New Roman"/>
          <w:i w:val="0"/>
          <w:iCs w:val="0"/>
          <w:caps w:val="0"/>
          <w:color w:val="auto"/>
          <w:spacing w:val="0"/>
          <w:sz w:val="32"/>
          <w:szCs w:val="32"/>
          <w:highlight w:val="none"/>
          <w:shd w:val="clear" w:color="auto" w:fill="FFFFFF"/>
        </w:rPr>
        <w:t>贯彻执行国家和县政府关于工业、科技创新、中小微企业、信息化、电子信息、智能终端、通信产业、通讯管理、无线电、军民融合、天然气、液化石油气工作的法律、法规、规章和方针、政策；拟订工业、科技创新、中小微企业、信息化、电子信息、智能终端、通信产业、通讯管理、无线电、军民融合、天然气、液化石油气中长期发展规划和年度计划并组织实施，研究拟订地方性产业政策、支持政策并组织实施。拟订全县加油加气站和液化石油气行业发展规划并组织实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2.</w:t>
      </w:r>
      <w:r>
        <w:rPr>
          <w:rFonts w:hint="default" w:ascii="Times New Roman" w:hAnsi="Times New Roman" w:eastAsia="方正仿宋_GBK" w:cs="Times New Roman"/>
          <w:i w:val="0"/>
          <w:iCs w:val="0"/>
          <w:caps w:val="0"/>
          <w:color w:val="auto"/>
          <w:spacing w:val="0"/>
          <w:sz w:val="32"/>
          <w:szCs w:val="32"/>
          <w:highlight w:val="none"/>
          <w:shd w:val="clear" w:color="auto" w:fill="FFFFFF"/>
        </w:rPr>
        <w:t>负责提出本县工业、科技、信息化等相关产业建设投资（含技术改造）规模、方向和计划并组织实施。对重大技术改造项目实施监督管理。负责权限内本县工业、科技、信息化等相关产业企业投资项目核准和备案，负责相关财政专项资金的使用安排。指导有关工业结构调整、技术进步、技术改造，推进产业转型升级。研究工业和信息产业布局规划和结构调整的政策措施，统筹推进淘汰落后产能、化解过剩产能，推动产业转移、企业兼并重组等工作。推进生产性服务业发展，促进服务业与制造业融合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3.</w:t>
      </w:r>
      <w:r>
        <w:rPr>
          <w:rFonts w:hint="default" w:ascii="Times New Roman" w:hAnsi="Times New Roman" w:eastAsia="方正仿宋_GBK" w:cs="Times New Roman"/>
          <w:i w:val="0"/>
          <w:iCs w:val="0"/>
          <w:caps w:val="0"/>
          <w:color w:val="auto"/>
          <w:spacing w:val="0"/>
          <w:sz w:val="32"/>
          <w:szCs w:val="32"/>
          <w:highlight w:val="none"/>
          <w:shd w:val="clear" w:color="auto" w:fill="FFFFFF"/>
        </w:rPr>
        <w:t>依法承担本部门有关电力、天然气、液化石油气、工业投资（技术改造）、工业节能、无线电、民爆、监控化学品、盐业等审批职能，相应承担行政处罚及与之相关的行政检查、行政强制权。组织行政执法人员开展专业培训，向执法对象开展普法宣传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4.</w:t>
      </w:r>
      <w:r>
        <w:rPr>
          <w:rFonts w:hint="default" w:ascii="Times New Roman" w:hAnsi="Times New Roman" w:eastAsia="方正仿宋_GBK" w:cs="Times New Roman"/>
          <w:i w:val="0"/>
          <w:iCs w:val="0"/>
          <w:caps w:val="0"/>
          <w:color w:val="auto"/>
          <w:spacing w:val="0"/>
          <w:sz w:val="32"/>
          <w:szCs w:val="32"/>
          <w:highlight w:val="none"/>
          <w:shd w:val="clear" w:color="auto" w:fill="FFFFFF"/>
        </w:rPr>
        <w:t>负责招商统筹、工业、科技、信息产业行业、园区的招商引资工作和对外经济合作交流工作。负责指导企业开拓国内外市场，促进工业品的销售工作。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5.</w:t>
      </w:r>
      <w:r>
        <w:rPr>
          <w:rFonts w:hint="default" w:ascii="Times New Roman" w:hAnsi="Times New Roman" w:eastAsia="方正仿宋_GBK" w:cs="Times New Roman"/>
          <w:i w:val="0"/>
          <w:iCs w:val="0"/>
          <w:caps w:val="0"/>
          <w:color w:val="auto"/>
          <w:spacing w:val="0"/>
          <w:sz w:val="32"/>
          <w:szCs w:val="32"/>
          <w:highlight w:val="none"/>
          <w:shd w:val="clear" w:color="auto" w:fill="FFFFFF"/>
        </w:rPr>
        <w:t>指导推进工业园区的产业定位、招商引资、运行统计、发展评价和功能转型工作。协调工业园区有关优惠政策的落实。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6.</w:t>
      </w:r>
      <w:r>
        <w:rPr>
          <w:rFonts w:hint="default" w:ascii="Times New Roman" w:hAnsi="Times New Roman" w:eastAsia="方正仿宋_GBK" w:cs="Times New Roman"/>
          <w:i w:val="0"/>
          <w:iCs w:val="0"/>
          <w:caps w:val="0"/>
          <w:color w:val="auto"/>
          <w:spacing w:val="0"/>
          <w:sz w:val="32"/>
          <w:szCs w:val="32"/>
          <w:highlight w:val="none"/>
          <w:shd w:val="clear" w:color="auto" w:fill="FFFFFF"/>
        </w:rPr>
        <w:t>负责拟订工业及信息产业年度目标并实施，负责监测分析工业、生产性服务业、信息服务业运行工作；协调解决工业经济运行中的有关问题，并提出政策建议。定期检查经济运行实效并进行预测预警和信息发布。承担对重点行业、企业运行的评价和重点企业的培育工作。负责工业重点企业运行调度，引导大中小型企业协同发展。负责对工业经济运行要素的煤、电、工业用油、气、运和重要物资平衡调度，根据经济运行情况对现有资源实行优化配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7.</w:t>
      </w:r>
      <w:r>
        <w:rPr>
          <w:rFonts w:hint="default" w:ascii="Times New Roman" w:hAnsi="Times New Roman" w:eastAsia="方正仿宋_GBK" w:cs="Times New Roman"/>
          <w:i w:val="0"/>
          <w:iCs w:val="0"/>
          <w:caps w:val="0"/>
          <w:color w:val="auto"/>
          <w:spacing w:val="0"/>
          <w:sz w:val="32"/>
          <w:szCs w:val="32"/>
          <w:highlight w:val="none"/>
          <w:shd w:val="clear" w:color="auto" w:fill="FFFFFF"/>
        </w:rPr>
        <w:t>负责本县中小微型企业发展的宏观指导，拟订促进中小微企业发展和非国有经济发展的相关政策和措施，协调解决有关重大问题；负责中小微企业运行监测、预警分析及信息发布。负责中小微企业发展服务体系建设工作，组织推动服务机构为中小微企业发展提供服务。负责中小微企业创新创业工作。编制微型企业发展规划及创业投资计划，指导微型企业创业扶持工作，开展创业培训及微型企业孵化工作。组织实施本县各类所有制企业的企业负担监督管理工作，承担中小微企业维权投诉工作。指导企业加强管理，建立现代企业制度。指导企业质量品牌建设和标准化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8.</w:t>
      </w:r>
      <w:r>
        <w:rPr>
          <w:rFonts w:hint="default" w:ascii="Times New Roman" w:hAnsi="Times New Roman" w:eastAsia="方正仿宋_GBK" w:cs="Times New Roman"/>
          <w:i w:val="0"/>
          <w:iCs w:val="0"/>
          <w:caps w:val="0"/>
          <w:color w:val="auto"/>
          <w:spacing w:val="0"/>
          <w:sz w:val="32"/>
          <w:szCs w:val="32"/>
          <w:highlight w:val="none"/>
          <w:shd w:val="clear" w:color="auto" w:fill="FFFFFF"/>
        </w:rPr>
        <w:t>负责指导本县工业、科技和信息产业的融资工作，参与推动企业融资服务体系建设。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9.</w:t>
      </w:r>
      <w:r>
        <w:rPr>
          <w:rFonts w:hint="default" w:ascii="Times New Roman" w:hAnsi="Times New Roman" w:eastAsia="方正仿宋_GBK" w:cs="Times New Roman"/>
          <w:i w:val="0"/>
          <w:iCs w:val="0"/>
          <w:caps w:val="0"/>
          <w:color w:val="auto"/>
          <w:spacing w:val="0"/>
          <w:sz w:val="32"/>
          <w:szCs w:val="32"/>
          <w:highlight w:val="none"/>
          <w:shd w:val="clear" w:color="auto" w:fill="FFFFFF"/>
        </w:rPr>
        <w:t>负责轻工、纺织、食品等消费品工业和医药工业行业管理，贯彻落实国家有关产业政策。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10.</w:t>
      </w:r>
      <w:r>
        <w:rPr>
          <w:rFonts w:hint="default" w:ascii="Times New Roman" w:hAnsi="Times New Roman" w:eastAsia="方正仿宋_GBK" w:cs="Times New Roman"/>
          <w:i w:val="0"/>
          <w:iCs w:val="0"/>
          <w:caps w:val="0"/>
          <w:color w:val="auto"/>
          <w:spacing w:val="0"/>
          <w:sz w:val="32"/>
          <w:szCs w:val="32"/>
          <w:highlight w:val="none"/>
          <w:shd w:val="clear" w:color="auto" w:fill="FFFFFF"/>
        </w:rPr>
        <w:t>指导行业安全生产应急救援体系建设。指导安全生产应急救援预案编制和演练。指导相关行业加强安全生产管理，指导重点行业排查治理隐患，参与重特大安全生产事故的调查、处理。负责发布行业安全生产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11.</w:t>
      </w:r>
      <w:r>
        <w:rPr>
          <w:rFonts w:hint="default" w:ascii="Times New Roman" w:hAnsi="Times New Roman" w:eastAsia="方正仿宋_GBK" w:cs="Times New Roman"/>
          <w:i w:val="0"/>
          <w:iCs w:val="0"/>
          <w:caps w:val="0"/>
          <w:color w:val="auto"/>
          <w:spacing w:val="0"/>
          <w:sz w:val="32"/>
          <w:szCs w:val="32"/>
          <w:highlight w:val="none"/>
          <w:shd w:val="clear" w:color="auto" w:fill="FFFFFF"/>
        </w:rPr>
        <w:t>负责职责范围内核准或备案的工业企业技改项目的安全生产监督管理。综合指导工业园区安全生产工作。牵头推动安全产业发展。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12.</w:t>
      </w:r>
      <w:r>
        <w:rPr>
          <w:rFonts w:hint="default" w:ascii="Times New Roman" w:hAnsi="Times New Roman" w:eastAsia="方正仿宋_GBK" w:cs="Times New Roman"/>
          <w:i w:val="0"/>
          <w:iCs w:val="0"/>
          <w:caps w:val="0"/>
          <w:color w:val="auto"/>
          <w:spacing w:val="0"/>
          <w:sz w:val="32"/>
          <w:szCs w:val="32"/>
          <w:highlight w:val="none"/>
          <w:shd w:val="clear" w:color="auto" w:fill="FFFFFF"/>
        </w:rPr>
        <w:t>拟订并组织实施工业和信息产业的能源节约、资源综合利用、清洁生产、绿色发展促进政策；承担工业节能监察及重点用能企业节能监督管理；指导和推进工业和信息产业绿色制造体系建设。组织协调工业和信息产业绿色改造重大示范工程和新产品、新技术、新设备、新材料的推广应用。参与拟订相关污染控制政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13.</w:t>
      </w:r>
      <w:r>
        <w:rPr>
          <w:rFonts w:hint="default" w:ascii="Times New Roman" w:hAnsi="Times New Roman" w:eastAsia="方正仿宋_GBK" w:cs="Times New Roman"/>
          <w:i w:val="0"/>
          <w:iCs w:val="0"/>
          <w:caps w:val="0"/>
          <w:color w:val="auto"/>
          <w:spacing w:val="0"/>
          <w:sz w:val="32"/>
          <w:szCs w:val="32"/>
          <w:highlight w:val="none"/>
          <w:shd w:val="clear" w:color="auto" w:fill="FFFFFF"/>
        </w:rPr>
        <w:t>指导和督促工业园区落实环境保护监管责任。指导和督促工业园区以外的工业企业落实环境保护主体责任。指导督促工业园区（含工业集聚区）环境保护基础设施建设工作。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14.</w:t>
      </w:r>
      <w:r>
        <w:rPr>
          <w:rFonts w:hint="default" w:ascii="Times New Roman" w:hAnsi="Times New Roman" w:eastAsia="方正仿宋_GBK" w:cs="Times New Roman"/>
          <w:i w:val="0"/>
          <w:iCs w:val="0"/>
          <w:caps w:val="0"/>
          <w:color w:val="auto"/>
          <w:spacing w:val="0"/>
          <w:sz w:val="32"/>
          <w:szCs w:val="32"/>
          <w:highlight w:val="none"/>
          <w:shd w:val="clear" w:color="auto" w:fill="FFFFFF"/>
        </w:rPr>
        <w:t>统筹推进全县科技创新体系和科技体制改革，会同有关部门健全技术创新激励机制。牵头推进全县科技管理平台建设和科研项目资金协调、评估、监管机制。会同有关部门提出优化配置科技资源的政策措施建议，推动多元化科技投入体系建设和科技金融结合。拟订全县基础研究、科技基础设施建设、科技创新基地建设、高新技术产业发展、科技促进农业农村和社会发展的规划并组织实施；指导和推进产业技术创新体系建设和创新生态打造，指导企业技术创新；负责编制县级科技项目规划并监督实施，统筹协调关键共性技术、前沿引领技术、现代工程技术、颠覆性技术研发和创新，牵头组织实施重大技术攻关；牵头科技型企业培育工作，推进实施科技金融支持企业发展，负责科技统计、科技信息、企业研发费用加计扣除鉴定等工作，推动工业企业和中小企业组织创新能力建设；推动科研条件保障建设、科技资源开放共享；牵头建立统筹协调机制，会同县级行业主管部门制定产业科技创新规划、组织项目申报，共同开展产业科技创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15.</w:t>
      </w:r>
      <w:r>
        <w:rPr>
          <w:rFonts w:hint="default" w:ascii="Times New Roman" w:hAnsi="Times New Roman" w:eastAsia="方正仿宋_GBK" w:cs="Times New Roman"/>
          <w:i w:val="0"/>
          <w:iCs w:val="0"/>
          <w:caps w:val="0"/>
          <w:color w:val="auto"/>
          <w:spacing w:val="0"/>
          <w:sz w:val="32"/>
          <w:szCs w:val="32"/>
          <w:highlight w:val="none"/>
          <w:shd w:val="clear" w:color="auto" w:fill="FFFFFF"/>
        </w:rPr>
        <w:t>拟订科学普及、科学传播、科技对外交流与创新能力开放合作、科技人才队伍建设、引进国外智力规划并组织实施。牵头拟订全县技术转移体系建设、促进产学研结合和科技成果转移转化推广的相关政策并监督实施，组织实施产学研交流合作、科技对外交流与创新能力开放合作、重点科技成果转移转化应用示范工作；负责科技奖励、科技保密、技术市场、科技扶贫、科技成果评价等工作，负责科技监督评价体系建设和相关科技评估管理、科技宣传和科研机构管理服务工作。指导科技服务业、技术市场和科技中介组织发展，指导基层科技业务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16.</w:t>
      </w:r>
      <w:r>
        <w:rPr>
          <w:rFonts w:hint="default" w:ascii="Times New Roman" w:hAnsi="Times New Roman" w:eastAsia="方正仿宋_GBK" w:cs="Times New Roman"/>
          <w:i w:val="0"/>
          <w:iCs w:val="0"/>
          <w:caps w:val="0"/>
          <w:color w:val="auto"/>
          <w:spacing w:val="0"/>
          <w:sz w:val="32"/>
          <w:szCs w:val="32"/>
          <w:highlight w:val="none"/>
          <w:shd w:val="clear" w:color="auto" w:fill="FFFFFF"/>
        </w:rPr>
        <w:t>统筹推进信息化发展工作。研究拟订全县信息化政策措施，编制全县信息化发展规划和年度计划并组织实施，协调建设中的重大问题。承担智能制造发展推动工作，牵头智能产业培育，统筹推进传统产业智能化改造。负责推进全县信息化应用。负责全县软件和信息服务产业发展和行业管理。牵头协调电讯、广播电视网络和计算机网络融合工作。承担信息化国防动员职责，负责组织全县信息通信机构和重要通信设施为国防动员战备应急提供通信保障职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17.</w:t>
      </w:r>
      <w:r>
        <w:rPr>
          <w:rFonts w:hint="default" w:ascii="Times New Roman" w:hAnsi="Times New Roman" w:eastAsia="方正仿宋_GBK" w:cs="Times New Roman"/>
          <w:i w:val="0"/>
          <w:iCs w:val="0"/>
          <w:caps w:val="0"/>
          <w:color w:val="auto"/>
          <w:spacing w:val="0"/>
          <w:sz w:val="32"/>
          <w:szCs w:val="32"/>
          <w:highlight w:val="none"/>
          <w:shd w:val="clear" w:color="auto" w:fill="FFFFFF"/>
        </w:rPr>
        <w:t>负责信息基础设施建设的规划、协调和管理，组织指导相关部门制定通信管线、公共通信网、专用信息网的规划并承担相应的管理工作；协调电信市场涉及社会公共利益的重大事宜；负责跨行业、跨部门面向社会服务网络的互联互通；统筹规划公用通信网，推进电信普遍服务，保障重要通信。负责全县通讯（移动、电信、联通等）和广播电视网络的行政管理、行政执法及服务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18.</w:t>
      </w:r>
      <w:r>
        <w:rPr>
          <w:rFonts w:hint="default" w:ascii="Times New Roman" w:hAnsi="Times New Roman" w:eastAsia="方正仿宋_GBK" w:cs="Times New Roman"/>
          <w:i w:val="0"/>
          <w:iCs w:val="0"/>
          <w:caps w:val="0"/>
          <w:color w:val="auto"/>
          <w:spacing w:val="0"/>
          <w:sz w:val="32"/>
          <w:szCs w:val="32"/>
          <w:highlight w:val="none"/>
          <w:shd w:val="clear" w:color="auto" w:fill="FFFFFF"/>
        </w:rPr>
        <w:t>负责本县无线电频率资源规划管理。负责本县无线电管理，协调处理电磁干扰事宜，维护空中电波秩序。协调处理本县行政区域内军地间无线电管理相关事宜。负责无线电管理技术机构的业务指导和监督管理。负责本县无线电台（站）使用的管理。负责组织无线电技术基础设施的规划、建设和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19.</w:t>
      </w:r>
      <w:r>
        <w:rPr>
          <w:rFonts w:hint="default" w:ascii="Times New Roman" w:hAnsi="Times New Roman" w:eastAsia="方正仿宋_GBK" w:cs="Times New Roman"/>
          <w:i w:val="0"/>
          <w:iCs w:val="0"/>
          <w:caps w:val="0"/>
          <w:color w:val="auto"/>
          <w:spacing w:val="0"/>
          <w:sz w:val="32"/>
          <w:szCs w:val="32"/>
          <w:highlight w:val="none"/>
          <w:shd w:val="clear" w:color="auto" w:fill="FFFFFF"/>
        </w:rPr>
        <w:t>负责电力行业的行政管理、行政执法；承担电力日常运行调度管理和行业管理，牵头编制电力年度平衡计划并组织实施。负责大面积停电应急处置工作，监测调控电力运行。承担电力市场统计和信息发布。协调处理电力运行、电力供应与使用中的重大问题。指导节约用电和电力需求侧管理工作。统筹协调推进电动汽车充电基础设施建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20.</w:t>
      </w:r>
      <w:r>
        <w:rPr>
          <w:rFonts w:hint="default" w:ascii="Times New Roman" w:hAnsi="Times New Roman" w:eastAsia="方正仿宋_GBK" w:cs="Times New Roman"/>
          <w:i w:val="0"/>
          <w:iCs w:val="0"/>
          <w:caps w:val="0"/>
          <w:color w:val="auto"/>
          <w:spacing w:val="0"/>
          <w:sz w:val="32"/>
          <w:szCs w:val="32"/>
          <w:highlight w:val="none"/>
          <w:shd w:val="clear" w:color="auto" w:fill="FFFFFF"/>
        </w:rPr>
        <w:t>负责天然气行业的行政管理、行政执法；承担天然气日常运行调度管理和行业管理，承担城镇天然气经营、输配、安全生产监督管理，承担城市门站以内城镇天然气管道安全保护监督管理工作。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21.</w:t>
      </w:r>
      <w:r>
        <w:rPr>
          <w:rFonts w:hint="default" w:ascii="Times New Roman" w:hAnsi="Times New Roman" w:eastAsia="方正仿宋_GBK" w:cs="Times New Roman"/>
          <w:i w:val="0"/>
          <w:iCs w:val="0"/>
          <w:caps w:val="0"/>
          <w:color w:val="auto"/>
          <w:spacing w:val="0"/>
          <w:sz w:val="32"/>
          <w:szCs w:val="32"/>
          <w:highlight w:val="none"/>
          <w:shd w:val="clear" w:color="auto" w:fill="FFFFFF"/>
        </w:rPr>
        <w:t>承担全县民用爆破器材生产、储存的行业管理工作。负责对全县民用爆破器材生产、储存企事业单位的安全生产工作进行监督检查。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22.</w:t>
      </w:r>
      <w:r>
        <w:rPr>
          <w:rFonts w:hint="default" w:ascii="Times New Roman" w:hAnsi="Times New Roman" w:eastAsia="方正仿宋_GBK" w:cs="Times New Roman"/>
          <w:i w:val="0"/>
          <w:iCs w:val="0"/>
          <w:caps w:val="0"/>
          <w:color w:val="auto"/>
          <w:spacing w:val="0"/>
          <w:sz w:val="32"/>
          <w:szCs w:val="32"/>
          <w:highlight w:val="none"/>
          <w:shd w:val="clear" w:color="auto" w:fill="FFFFFF"/>
        </w:rPr>
        <w:t>承担压缩天然气、液化天然气、液化石油气、醇基燃料的行业管理和日常安全生产监督管理工作。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23.</w:t>
      </w:r>
      <w:r>
        <w:rPr>
          <w:rFonts w:hint="default" w:ascii="Times New Roman" w:hAnsi="Times New Roman" w:eastAsia="方正仿宋_GBK" w:cs="Times New Roman"/>
          <w:i w:val="0"/>
          <w:iCs w:val="0"/>
          <w:caps w:val="0"/>
          <w:color w:val="auto"/>
          <w:spacing w:val="0"/>
          <w:sz w:val="32"/>
          <w:szCs w:val="32"/>
          <w:highlight w:val="none"/>
          <w:shd w:val="clear" w:color="auto" w:fill="FFFFFF"/>
        </w:rPr>
        <w:t>承担本县食盐专营管理、储备盐管理和盐业行政执法工作。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24.</w:t>
      </w:r>
      <w:r>
        <w:rPr>
          <w:rFonts w:hint="default" w:ascii="Times New Roman" w:hAnsi="Times New Roman" w:eastAsia="方正仿宋_GBK" w:cs="Times New Roman"/>
          <w:i w:val="0"/>
          <w:iCs w:val="0"/>
          <w:caps w:val="0"/>
          <w:color w:val="auto"/>
          <w:spacing w:val="0"/>
          <w:sz w:val="32"/>
          <w:szCs w:val="32"/>
          <w:highlight w:val="none"/>
          <w:shd w:val="clear" w:color="auto" w:fill="FFFFFF"/>
        </w:rPr>
        <w:t>综合协调军民融合发展工作，协调推进全县军民融合发展重大项目（专项工程）和重要事项，承担全县军工固定资产投资项目、军工科研项目，以及军工关键设备设施、重点实验室监督管理相关工作。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25.</w:t>
      </w:r>
      <w:r>
        <w:rPr>
          <w:rFonts w:hint="default" w:ascii="Times New Roman" w:hAnsi="Times New Roman" w:eastAsia="方正仿宋_GBK" w:cs="Times New Roman"/>
          <w:i w:val="0"/>
          <w:iCs w:val="0"/>
          <w:caps w:val="0"/>
          <w:color w:val="auto"/>
          <w:spacing w:val="0"/>
          <w:sz w:val="32"/>
          <w:szCs w:val="32"/>
          <w:highlight w:val="none"/>
          <w:shd w:val="clear" w:color="auto" w:fill="FFFFFF"/>
        </w:rPr>
        <w:t>拟定工业、信息化、科技领域的人才建设规划和有关支持政策并组织实施；协同有关部门做好人才引进和人才培训工作；承担工业系统人才工作和相关专业技术职称评审工作，指导工业系统专业技术人员管理工作。管理服务科技专家及人才队伍，做好引进科技智力工作。负责工业企业培训体系的建设和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26.</w:t>
      </w:r>
      <w:r>
        <w:rPr>
          <w:rFonts w:hint="default" w:ascii="Times New Roman" w:hAnsi="Times New Roman" w:eastAsia="方正仿宋_GBK" w:cs="Times New Roman"/>
          <w:i w:val="0"/>
          <w:iCs w:val="0"/>
          <w:caps w:val="0"/>
          <w:color w:val="auto"/>
          <w:spacing w:val="0"/>
          <w:sz w:val="32"/>
          <w:szCs w:val="32"/>
          <w:highlight w:val="none"/>
          <w:shd w:val="clear" w:color="auto" w:fill="FFFFFF"/>
        </w:rPr>
        <w:t>完成县委、县政府交办的其他任务。</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楷体_GBK" w:cs="Times New Roman"/>
          <w:color w:val="auto"/>
          <w:sz w:val="32"/>
          <w:highlight w:val="none"/>
        </w:rPr>
      </w:pPr>
      <w:r>
        <w:rPr>
          <w:rFonts w:hint="default" w:ascii="Times New Roman" w:hAnsi="Times New Roman" w:eastAsia="方正楷体_GBK" w:cs="Times New Roman"/>
          <w:color w:val="auto"/>
          <w:sz w:val="32"/>
          <w:highlight w:val="none"/>
        </w:rPr>
        <w:t>（二）单位构成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城口县经济和信息化委员会内设</w:t>
      </w:r>
      <w:r>
        <w:rPr>
          <w:rFonts w:hint="default"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rPr>
        <w:t>个机构处室，分别是办公室（</w:t>
      </w:r>
      <w:r>
        <w:rPr>
          <w:rFonts w:hint="default" w:ascii="Times New Roman" w:hAnsi="Times New Roman" w:eastAsia="方正仿宋_GBK" w:cs="Times New Roman"/>
          <w:color w:val="auto"/>
          <w:sz w:val="32"/>
          <w:szCs w:val="32"/>
          <w:highlight w:val="none"/>
          <w:lang w:eastAsia="zh-CN"/>
        </w:rPr>
        <w:t>党建办、财务室</w:t>
      </w:r>
      <w:r>
        <w:rPr>
          <w:rFonts w:hint="default" w:ascii="Times New Roman" w:hAnsi="Times New Roman" w:eastAsia="方正仿宋_GBK" w:cs="Times New Roman"/>
          <w:color w:val="auto"/>
          <w:sz w:val="32"/>
          <w:szCs w:val="32"/>
          <w:highlight w:val="none"/>
        </w:rPr>
        <w:t>）、规划与投资科（政务服务科）、工业经济运行与中小微企业发展科、科技创新与发展科、信息化管理科（</w:t>
      </w:r>
      <w:r>
        <w:rPr>
          <w:rFonts w:hint="default" w:ascii="Times New Roman" w:hAnsi="Times New Roman" w:eastAsia="方正仿宋_GBK" w:cs="Times New Roman"/>
          <w:color w:val="auto"/>
          <w:sz w:val="32"/>
          <w:szCs w:val="32"/>
          <w:highlight w:val="none"/>
          <w:lang w:eastAsia="zh-CN"/>
        </w:rPr>
        <w:t>无线电管理办公室、</w:t>
      </w:r>
      <w:r>
        <w:rPr>
          <w:rFonts w:hint="default" w:ascii="Times New Roman" w:hAnsi="Times New Roman" w:eastAsia="方正仿宋_GBK" w:cs="Times New Roman"/>
          <w:color w:val="auto"/>
          <w:sz w:val="32"/>
          <w:szCs w:val="32"/>
          <w:highlight w:val="none"/>
        </w:rPr>
        <w:t>电力管理办公室）、工业安全监督管理和节能环保科（执法科）、招商投资科。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城口县经济和信息化委员会机关行政编制</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2名</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机关后勤服务人员事业编制1名</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领</w:t>
      </w:r>
      <w:r>
        <w:rPr>
          <w:rFonts w:hint="default" w:ascii="Times New Roman" w:hAnsi="Times New Roman" w:eastAsia="方正仿宋_GBK" w:cs="Times New Roman"/>
          <w:color w:val="auto"/>
          <w:sz w:val="32"/>
          <w:szCs w:val="32"/>
          <w:highlight w:val="none"/>
        </w:rPr>
        <w:t>导职数</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名</w:t>
      </w:r>
      <w:r>
        <w:rPr>
          <w:rFonts w:hint="default" w:ascii="Times New Roman" w:hAnsi="Times New Roman" w:eastAsia="方正仿宋_GBK"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下属</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个二级预算单位，分别是城口县工业安全和环保节能服务中心、城口县招商投资促进中心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挂城口县生产力促进中心牌子）</w:t>
      </w:r>
      <w:r>
        <w:rPr>
          <w:rFonts w:hint="default" w:ascii="Times New Roman" w:hAnsi="Times New Roman" w:eastAsia="方正仿宋_GBK" w:cs="Times New Roman"/>
          <w:color w:val="auto"/>
          <w:sz w:val="32"/>
          <w:szCs w:val="32"/>
          <w:highlight w:val="none"/>
        </w:rPr>
        <w:t>。县工业安全和环保节能服务中心事业编制1</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名，领导职数</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名；城口县招商投资促进中心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挂城口县生产力促进中心牌子）</w:t>
      </w:r>
      <w:r>
        <w:rPr>
          <w:rFonts w:hint="default" w:ascii="Times New Roman" w:hAnsi="Times New Roman" w:eastAsia="方正仿宋_GBK" w:cs="Times New Roman"/>
          <w:color w:val="auto"/>
          <w:sz w:val="32"/>
          <w:szCs w:val="32"/>
          <w:highlight w:val="none"/>
        </w:rPr>
        <w:t>事业编制</w:t>
      </w: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名</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领导职数</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名。</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黑体" w:cs="Times New Roman"/>
          <w:color w:val="auto"/>
          <w:sz w:val="32"/>
          <w:szCs w:val="32"/>
          <w:highlight w:val="none"/>
          <w:shd w:val="clear" w:color="auto" w:fill="FFFFFF"/>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二、部门决算收支情况说明</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方正楷体_GBK" w:cs="Times New Roman"/>
          <w:color w:val="auto"/>
          <w:sz w:val="32"/>
          <w:szCs w:val="24"/>
          <w:highlight w:val="none"/>
          <w:lang w:val="en-US" w:eastAsia="zh-CN" w:bidi="ar-SA"/>
        </w:rPr>
      </w:pPr>
      <w:r>
        <w:rPr>
          <w:rFonts w:hint="default" w:ascii="Times New Roman" w:hAnsi="Times New Roman" w:eastAsia="方正楷体_GBK" w:cs="Times New Roman"/>
          <w:color w:val="auto"/>
          <w:sz w:val="32"/>
          <w:szCs w:val="24"/>
          <w:highlight w:val="none"/>
          <w:lang w:val="en-US" w:eastAsia="zh-CN" w:bidi="ar-SA"/>
        </w:rPr>
        <w:t>（一）收入支出决算总体情况说明</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2024年度收</w:t>
      </w:r>
      <w:r>
        <w:rPr>
          <w:rFonts w:hint="default" w:ascii="Times New Roman" w:hAnsi="Times New Roman" w:eastAsia="方正仿宋_GBK" w:cs="Times New Roman"/>
          <w:color w:val="auto"/>
          <w:sz w:val="32"/>
          <w:szCs w:val="32"/>
          <w:highlight w:val="none"/>
          <w:shd w:val="clear" w:color="auto" w:fill="FFFFFF"/>
          <w:lang w:eastAsia="zh-CN"/>
        </w:rPr>
        <w:t>、支</w:t>
      </w:r>
      <w:r>
        <w:rPr>
          <w:rFonts w:hint="default" w:ascii="Times New Roman" w:hAnsi="Times New Roman" w:eastAsia="方正仿宋_GBK" w:cs="Times New Roman"/>
          <w:color w:val="auto"/>
          <w:sz w:val="32"/>
          <w:szCs w:val="32"/>
          <w:highlight w:val="none"/>
          <w:shd w:val="clear" w:color="auto" w:fill="FFFFFF"/>
        </w:rPr>
        <w:t>总计</w:t>
      </w:r>
      <w:r>
        <w:rPr>
          <w:rFonts w:hint="default" w:ascii="Times New Roman" w:hAnsi="Times New Roman" w:eastAsia="方正仿宋_GBK" w:cs="Times New Roman"/>
          <w:color w:val="auto"/>
          <w:sz w:val="32"/>
          <w:szCs w:val="32"/>
          <w:highlight w:val="none"/>
          <w:shd w:val="clear" w:color="auto" w:fill="FFFFFF"/>
          <w:lang w:eastAsia="zh-CN"/>
        </w:rPr>
        <w:t>均为</w:t>
      </w:r>
      <w:r>
        <w:rPr>
          <w:rFonts w:hint="default" w:ascii="Times New Roman" w:hAnsi="Times New Roman" w:eastAsia="方正仿宋_GBK" w:cs="Times New Roman"/>
          <w:color w:val="auto"/>
          <w:sz w:val="32"/>
          <w:szCs w:val="32"/>
          <w:highlight w:val="none"/>
          <w:shd w:val="clear" w:color="auto" w:fill="FFFFFF"/>
        </w:rPr>
        <w:t>2078.09万元。收、支与2023年度相比，减少88.46万元，下降4.1%，主要原因是</w:t>
      </w:r>
      <w:r>
        <w:rPr>
          <w:rFonts w:hint="default" w:ascii="Times New Roman" w:hAnsi="Times New Roman" w:eastAsia="方正仿宋_GBK" w:cs="Times New Roman"/>
          <w:color w:val="auto"/>
          <w:sz w:val="32"/>
          <w:szCs w:val="32"/>
          <w:highlight w:val="none"/>
          <w:shd w:val="clear" w:color="auto" w:fill="FFFFFF"/>
          <w:lang w:eastAsia="zh-CN"/>
        </w:rPr>
        <w:t>本年</w:t>
      </w:r>
      <w:r>
        <w:rPr>
          <w:rFonts w:hint="default" w:ascii="Times New Roman" w:hAnsi="Times New Roman" w:eastAsia="方正仿宋_GBK" w:cs="Times New Roman"/>
          <w:color w:val="auto"/>
          <w:sz w:val="32"/>
          <w:szCs w:val="32"/>
          <w:highlight w:val="none"/>
          <w:shd w:val="clear" w:color="auto" w:fill="FFFFFF"/>
        </w:rPr>
        <w:t>项目收支减少</w:t>
      </w:r>
      <w:r>
        <w:rPr>
          <w:rFonts w:hint="default" w:ascii="Times New Roman" w:hAnsi="Times New Roman" w:eastAsia="方正仿宋_GBK" w:cs="Times New Roman"/>
          <w:color w:val="auto"/>
          <w:sz w:val="32"/>
          <w:szCs w:val="32"/>
          <w:highlight w:val="none"/>
          <w:shd w:val="clear" w:color="auto" w:fill="FFFFFF"/>
          <w:lang w:eastAsia="zh-CN"/>
        </w:rPr>
        <w:t>。</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8"/>
          <w:rFonts w:hint="default" w:ascii="Times New Roman" w:hAnsi="Times New Roman" w:eastAsia="方正仿宋_GBK" w:cs="Times New Roman"/>
          <w:color w:val="auto"/>
          <w:sz w:val="32"/>
          <w:szCs w:val="32"/>
          <w:highlight w:val="none"/>
          <w:shd w:val="clear" w:color="auto" w:fill="FFFFFF"/>
          <w:lang w:val="en-US" w:eastAsia="zh-CN"/>
        </w:rPr>
        <w:t>1</w:t>
      </w:r>
      <w:r>
        <w:rPr>
          <w:rStyle w:val="8"/>
          <w:rFonts w:hint="default" w:ascii="Times New Roman" w:hAnsi="Times New Roman" w:eastAsia="方正仿宋_GBK" w:cs="Times New Roman"/>
          <w:color w:val="auto"/>
          <w:sz w:val="32"/>
          <w:szCs w:val="32"/>
          <w:highlight w:val="none"/>
          <w:shd w:val="clear" w:color="auto" w:fill="FFFFFF"/>
        </w:rPr>
        <w:t>.收入情况。</w:t>
      </w:r>
      <w:r>
        <w:rPr>
          <w:rFonts w:hint="default" w:ascii="Times New Roman" w:hAnsi="Times New Roman" w:eastAsia="方正仿宋_GBK" w:cs="Times New Roman"/>
          <w:color w:val="auto"/>
          <w:sz w:val="32"/>
          <w:szCs w:val="32"/>
          <w:highlight w:val="none"/>
          <w:shd w:val="clear" w:color="auto" w:fill="FFFFFF"/>
        </w:rPr>
        <w:t>2024年度收入合计1599.53万元，与2023年度相比，减少278.28万元，下降14.8%，主要原因是</w:t>
      </w:r>
      <w:r>
        <w:rPr>
          <w:rFonts w:hint="default" w:ascii="Times New Roman" w:hAnsi="Times New Roman" w:eastAsia="方正仿宋_GBK" w:cs="Times New Roman"/>
          <w:color w:val="auto"/>
          <w:sz w:val="32"/>
          <w:szCs w:val="32"/>
          <w:highlight w:val="none"/>
          <w:shd w:val="clear" w:color="auto" w:fill="FFFFFF"/>
          <w:lang w:val="en-US" w:eastAsia="zh-CN"/>
        </w:rPr>
        <w:t>本年项目收入减少。</w:t>
      </w:r>
      <w:r>
        <w:rPr>
          <w:rFonts w:hint="default" w:ascii="Times New Roman" w:hAnsi="Times New Roman" w:eastAsia="方正仿宋_GBK" w:cs="Times New Roman"/>
          <w:color w:val="auto"/>
          <w:sz w:val="32"/>
          <w:szCs w:val="32"/>
          <w:highlight w:val="none"/>
          <w:shd w:val="clear" w:color="auto" w:fill="FFFFFF"/>
        </w:rPr>
        <w:t>其中：财政拨款收入1599.53万元，占100.0%；事业收入0.00万元，占0.0%；经营收入0.00万元，占0.0%；其他收入0.00万元，占0.0%。此外，使用非财政拨款结余（含专用结余）0.00万元，年初结转和结余478.56万元。</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8"/>
          <w:rFonts w:hint="default" w:ascii="Times New Roman" w:hAnsi="Times New Roman" w:eastAsia="方正仿宋_GBK" w:cs="Times New Roman"/>
          <w:color w:val="auto"/>
          <w:sz w:val="32"/>
          <w:szCs w:val="32"/>
          <w:highlight w:val="none"/>
          <w:shd w:val="clear" w:color="auto" w:fill="FFFFFF"/>
          <w:lang w:val="en-US" w:eastAsia="zh-CN"/>
        </w:rPr>
        <w:t>2</w:t>
      </w:r>
      <w:r>
        <w:rPr>
          <w:rStyle w:val="8"/>
          <w:rFonts w:hint="default" w:ascii="Times New Roman" w:hAnsi="Times New Roman" w:eastAsia="方正仿宋_GBK" w:cs="Times New Roman"/>
          <w:color w:val="auto"/>
          <w:sz w:val="32"/>
          <w:szCs w:val="32"/>
          <w:highlight w:val="none"/>
          <w:shd w:val="clear" w:color="auto" w:fill="FFFFFF"/>
        </w:rPr>
        <w:t>.支出情况。</w:t>
      </w:r>
      <w:r>
        <w:rPr>
          <w:rFonts w:hint="default" w:ascii="Times New Roman" w:hAnsi="Times New Roman" w:eastAsia="方正仿宋_GBK" w:cs="Times New Roman"/>
          <w:color w:val="auto"/>
          <w:sz w:val="32"/>
          <w:szCs w:val="32"/>
          <w:highlight w:val="none"/>
          <w:shd w:val="clear" w:color="auto" w:fill="FFFFFF"/>
        </w:rPr>
        <w:t>2024年度支出合计1996.30万元，与2023年度相比，增加218.66万元，增长12.3%，主要原因是</w:t>
      </w:r>
      <w:r>
        <w:rPr>
          <w:rFonts w:hint="default" w:ascii="Times New Roman" w:hAnsi="Times New Roman" w:eastAsia="方正仿宋_GBK" w:cs="Times New Roman"/>
          <w:color w:val="auto"/>
          <w:sz w:val="32"/>
          <w:szCs w:val="32"/>
          <w:highlight w:val="none"/>
          <w:shd w:val="clear" w:color="auto" w:fill="FFFFFF"/>
          <w:lang w:val="en-US" w:eastAsia="zh-CN"/>
        </w:rPr>
        <w:t>年初结转和结余资金实现支付。</w:t>
      </w:r>
      <w:r>
        <w:rPr>
          <w:rFonts w:hint="default" w:ascii="Times New Roman" w:hAnsi="Times New Roman" w:eastAsia="方正仿宋_GBK" w:cs="Times New Roman"/>
          <w:color w:val="auto"/>
          <w:sz w:val="32"/>
          <w:szCs w:val="32"/>
          <w:highlight w:val="none"/>
          <w:shd w:val="clear" w:color="auto" w:fill="FFFFFF"/>
        </w:rPr>
        <w:t>其中：基本支出660.17万元，占33.1%；项目支出1336.13万元，占66.9%；经营支出</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万元，占0.0%。此外，结余分配0.00万元。</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lang w:eastAsia="zh-CN"/>
        </w:rPr>
      </w:pPr>
      <w:r>
        <w:rPr>
          <w:rStyle w:val="8"/>
          <w:rFonts w:hint="default" w:ascii="Times New Roman" w:hAnsi="Times New Roman" w:eastAsia="方正仿宋_GBK" w:cs="Times New Roman"/>
          <w:color w:val="auto"/>
          <w:sz w:val="32"/>
          <w:szCs w:val="32"/>
          <w:highlight w:val="none"/>
          <w:shd w:val="clear" w:color="auto" w:fill="FFFFFF"/>
          <w:lang w:val="en-US" w:eastAsia="zh-CN"/>
        </w:rPr>
        <w:t>3</w:t>
      </w:r>
      <w:r>
        <w:rPr>
          <w:rStyle w:val="8"/>
          <w:rFonts w:hint="default" w:ascii="Times New Roman" w:hAnsi="Times New Roman" w:eastAsia="方正仿宋_GBK" w:cs="Times New Roman"/>
          <w:color w:val="auto"/>
          <w:sz w:val="32"/>
          <w:szCs w:val="32"/>
          <w:highlight w:val="none"/>
          <w:shd w:val="clear" w:color="auto" w:fill="FFFFFF"/>
        </w:rPr>
        <w:t>.结转结余情况。</w:t>
      </w:r>
      <w:r>
        <w:rPr>
          <w:rFonts w:hint="default" w:ascii="Times New Roman" w:hAnsi="Times New Roman" w:eastAsia="方正仿宋_GBK" w:cs="Times New Roman"/>
          <w:color w:val="auto"/>
          <w:sz w:val="32"/>
          <w:szCs w:val="32"/>
          <w:highlight w:val="none"/>
          <w:shd w:val="clear" w:color="auto" w:fill="FFFFFF"/>
        </w:rPr>
        <w:t>2024年度年末结转和结余81.79万元，与2023年度相比，减少307.12万元，下降79.0%，主要原因是年初结转和结余</w:t>
      </w:r>
      <w:r>
        <w:rPr>
          <w:rFonts w:hint="default" w:ascii="Times New Roman" w:hAnsi="Times New Roman" w:eastAsia="方正仿宋_GBK" w:cs="Times New Roman"/>
          <w:color w:val="auto"/>
          <w:sz w:val="32"/>
          <w:szCs w:val="32"/>
          <w:highlight w:val="none"/>
          <w:shd w:val="clear" w:color="auto" w:fill="FFFFFF"/>
          <w:lang w:eastAsia="zh-CN"/>
        </w:rPr>
        <w:t>资金实现支付。</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方正楷体_GBK" w:cs="Times New Roman"/>
          <w:color w:val="auto"/>
          <w:sz w:val="32"/>
          <w:szCs w:val="24"/>
          <w:highlight w:val="none"/>
          <w:lang w:val="en-US" w:eastAsia="zh-CN" w:bidi="ar-SA"/>
        </w:rPr>
      </w:pPr>
      <w:r>
        <w:rPr>
          <w:rFonts w:hint="default" w:ascii="Times New Roman" w:hAnsi="Times New Roman" w:eastAsia="方正楷体_GBK" w:cs="Times New Roman"/>
          <w:color w:val="auto"/>
          <w:sz w:val="32"/>
          <w:szCs w:val="24"/>
          <w:highlight w:val="none"/>
          <w:lang w:val="en-US" w:eastAsia="zh-CN" w:bidi="ar-SA"/>
        </w:rPr>
        <w:t>（二）财政拨款收入支出决算总体情况说明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2024年度财政拨款收、支总计均为1702.71万元。与2023年</w:t>
      </w:r>
      <w:r>
        <w:rPr>
          <w:rFonts w:hint="default" w:ascii="Times New Roman" w:hAnsi="Times New Roman" w:eastAsia="方正仿宋_GBK" w:cs="Times New Roman"/>
          <w:color w:val="auto"/>
          <w:sz w:val="32"/>
          <w:szCs w:val="32"/>
          <w:highlight w:val="none"/>
          <w:shd w:val="clear" w:color="auto" w:fill="FFFFFF"/>
          <w:lang w:eastAsia="zh-CN"/>
        </w:rPr>
        <w:t>度</w:t>
      </w:r>
      <w:r>
        <w:rPr>
          <w:rFonts w:hint="default" w:ascii="Times New Roman" w:hAnsi="Times New Roman" w:eastAsia="方正仿宋_GBK" w:cs="Times New Roman"/>
          <w:color w:val="auto"/>
          <w:sz w:val="32"/>
          <w:szCs w:val="32"/>
          <w:highlight w:val="none"/>
          <w:shd w:val="clear" w:color="auto" w:fill="FFFFFF"/>
        </w:rPr>
        <w:t>相比，财政拨款收、支总计各增加311.29万元，增长22.4%。主要原因是年中追加了项目预算和人员工资待遇调整预算。</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Fonts w:hint="default" w:ascii="Times New Roman" w:hAnsi="Times New Roman" w:eastAsia="方正楷体_GBK" w:cs="Times New Roman"/>
          <w:color w:val="auto"/>
          <w:sz w:val="32"/>
          <w:szCs w:val="24"/>
          <w:highlight w:val="none"/>
          <w:lang w:val="en-US" w:eastAsia="zh-CN" w:bidi="ar-SA"/>
        </w:rPr>
        <w:t>（三）一般公共预算财政拨款收入支出决算情况说明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仿宋_GBK" w:cs="Times New Roman"/>
          <w:color w:val="auto"/>
          <w:sz w:val="32"/>
          <w:szCs w:val="32"/>
          <w:highlight w:val="none"/>
          <w:shd w:val="clear" w:color="auto" w:fill="FFFFFF"/>
        </w:rPr>
        <w:t>1.收入情况。</w:t>
      </w:r>
      <w:r>
        <w:rPr>
          <w:rFonts w:hint="default" w:ascii="Times New Roman" w:hAnsi="Times New Roman" w:eastAsia="方正仿宋_GBK" w:cs="Times New Roman"/>
          <w:color w:val="auto"/>
          <w:sz w:val="32"/>
          <w:szCs w:val="32"/>
          <w:highlight w:val="none"/>
          <w:shd w:val="clear" w:color="auto" w:fill="FFFFFF"/>
        </w:rPr>
        <w:t>2024年度一般公共预算财政拨款收入1533.26万元，与2023年度相比，增加311.39万元，增长25.5%。主要原因是年中追加了项目预算和人员工资待遇调整预算。较年初预算数增加910.34万元，增长146.1%。主要原因是年中追加了项目预算和人员工资待遇调整预算。此外，年初财政拨款结转和结余103.19万元。</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8"/>
          <w:rFonts w:hint="default" w:ascii="Times New Roman" w:hAnsi="Times New Roman" w:eastAsia="方正仿宋_GBK" w:cs="Times New Roman"/>
          <w:color w:val="auto"/>
          <w:sz w:val="32"/>
          <w:szCs w:val="32"/>
          <w:highlight w:val="none"/>
          <w:shd w:val="clear" w:color="auto" w:fill="FFFFFF"/>
        </w:rPr>
        <w:t>2.支出情况。</w:t>
      </w:r>
      <w:r>
        <w:rPr>
          <w:rFonts w:hint="default" w:ascii="Times New Roman" w:hAnsi="Times New Roman" w:eastAsia="方正仿宋_GBK" w:cs="Times New Roman"/>
          <w:color w:val="auto"/>
          <w:sz w:val="32"/>
          <w:szCs w:val="32"/>
          <w:highlight w:val="none"/>
          <w:shd w:val="clear" w:color="auto" w:fill="FFFFFF"/>
        </w:rPr>
        <w:t>2024年度一般公共预算财政拨款支出1581.48万元，与2023年度相比，增加293.25万元，增长22.8%。主要原因是年中追加了项目</w:t>
      </w:r>
      <w:r>
        <w:rPr>
          <w:rFonts w:hint="default" w:ascii="Times New Roman" w:hAnsi="Times New Roman" w:eastAsia="方正仿宋_GBK" w:cs="Times New Roman"/>
          <w:color w:val="auto"/>
          <w:sz w:val="32"/>
          <w:szCs w:val="32"/>
          <w:highlight w:val="none"/>
          <w:shd w:val="clear" w:color="auto" w:fill="FFFFFF"/>
          <w:lang w:val="en-US" w:eastAsia="zh-CN"/>
        </w:rPr>
        <w:t>支出</w:t>
      </w:r>
      <w:r>
        <w:rPr>
          <w:rFonts w:hint="default" w:ascii="Times New Roman" w:hAnsi="Times New Roman" w:eastAsia="方正仿宋_GBK" w:cs="Times New Roman"/>
          <w:color w:val="auto"/>
          <w:sz w:val="32"/>
          <w:szCs w:val="32"/>
          <w:highlight w:val="none"/>
          <w:shd w:val="clear" w:color="auto" w:fill="FFFFFF"/>
        </w:rPr>
        <w:t>和人员工资待遇调整</w:t>
      </w:r>
      <w:r>
        <w:rPr>
          <w:rFonts w:hint="default" w:ascii="Times New Roman" w:hAnsi="Times New Roman" w:eastAsia="方正仿宋_GBK" w:cs="Times New Roman"/>
          <w:color w:val="auto"/>
          <w:sz w:val="32"/>
          <w:szCs w:val="32"/>
          <w:highlight w:val="none"/>
          <w:shd w:val="clear" w:color="auto" w:fill="FFFFFF"/>
          <w:lang w:val="en-US" w:eastAsia="zh-CN"/>
        </w:rPr>
        <w:t>支出</w:t>
      </w:r>
      <w:r>
        <w:rPr>
          <w:rFonts w:hint="default" w:ascii="Times New Roman" w:hAnsi="Times New Roman" w:eastAsia="方正仿宋_GBK" w:cs="Times New Roman"/>
          <w:color w:val="auto"/>
          <w:sz w:val="32"/>
          <w:szCs w:val="32"/>
          <w:highlight w:val="none"/>
          <w:shd w:val="clear" w:color="auto" w:fill="FFFFFF"/>
        </w:rPr>
        <w:t>。较年初预算数增加958.56万元，增长153.9%。主要原因是年中追加了项目</w:t>
      </w:r>
      <w:r>
        <w:rPr>
          <w:rFonts w:hint="default" w:ascii="Times New Roman" w:hAnsi="Times New Roman" w:eastAsia="方正仿宋_GBK" w:cs="Times New Roman"/>
          <w:color w:val="auto"/>
          <w:sz w:val="32"/>
          <w:szCs w:val="32"/>
          <w:highlight w:val="none"/>
          <w:shd w:val="clear" w:color="auto" w:fill="FFFFFF"/>
          <w:lang w:val="en-US" w:eastAsia="zh-CN"/>
        </w:rPr>
        <w:t>支出</w:t>
      </w:r>
      <w:r>
        <w:rPr>
          <w:rFonts w:hint="default" w:ascii="Times New Roman" w:hAnsi="Times New Roman" w:eastAsia="方正仿宋_GBK" w:cs="Times New Roman"/>
          <w:color w:val="auto"/>
          <w:sz w:val="32"/>
          <w:szCs w:val="32"/>
          <w:highlight w:val="none"/>
          <w:shd w:val="clear" w:color="auto" w:fill="FFFFFF"/>
        </w:rPr>
        <w:t>和人员工资待遇调整</w:t>
      </w:r>
      <w:r>
        <w:rPr>
          <w:rFonts w:hint="default" w:ascii="Times New Roman" w:hAnsi="Times New Roman" w:eastAsia="方正仿宋_GBK" w:cs="Times New Roman"/>
          <w:color w:val="auto"/>
          <w:sz w:val="32"/>
          <w:szCs w:val="32"/>
          <w:highlight w:val="none"/>
          <w:shd w:val="clear" w:color="auto" w:fill="FFFFFF"/>
          <w:lang w:val="en-US" w:eastAsia="zh-CN"/>
        </w:rPr>
        <w:t>支出</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一般公共预算财政拨款支出主要</w:t>
      </w:r>
      <w:r>
        <w:rPr>
          <w:rFonts w:hint="default" w:ascii="Times New Roman" w:hAnsi="Times New Roman" w:eastAsia="方正仿宋_GBK" w:cs="Times New Roman"/>
          <w:color w:val="auto"/>
          <w:sz w:val="32"/>
          <w:szCs w:val="32"/>
          <w:highlight w:val="none"/>
          <w:shd w:val="clear" w:color="auto" w:fill="FFFFFF"/>
          <w:lang w:eastAsia="zh-CN"/>
        </w:rPr>
        <w:t>用途如下</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numPr>
          <w:ilvl w:val="0"/>
          <w:numId w:val="1"/>
        </w:numP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一般公共服务支出32.22万元，占2.0%，较年初预算数增加29.89万元，增长1282.8%，主要原因是机构改革将招商统筹职责划转到我单位，招商引资工作经费</w:t>
      </w:r>
      <w:r>
        <w:rPr>
          <w:rFonts w:hint="default" w:ascii="Times New Roman" w:hAnsi="Times New Roman" w:eastAsia="方正仿宋_GBK" w:cs="Times New Roman"/>
          <w:color w:val="auto"/>
          <w:sz w:val="32"/>
          <w:szCs w:val="32"/>
          <w:highlight w:val="none"/>
          <w:shd w:val="clear" w:color="auto" w:fill="FFFFFF"/>
          <w:lang w:eastAsia="zh-CN"/>
        </w:rPr>
        <w:t>支出</w:t>
      </w:r>
      <w:r>
        <w:rPr>
          <w:rFonts w:hint="default" w:ascii="Times New Roman" w:hAnsi="Times New Roman" w:eastAsia="方正仿宋_GBK" w:cs="Times New Roman"/>
          <w:color w:val="auto"/>
          <w:sz w:val="32"/>
          <w:szCs w:val="32"/>
          <w:highlight w:val="none"/>
          <w:shd w:val="clear" w:color="auto" w:fill="FFFFFF"/>
        </w:rPr>
        <w:t>增加。</w:t>
      </w:r>
    </w:p>
    <w:p>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2</w:t>
      </w:r>
      <w:r>
        <w:rPr>
          <w:rFonts w:hint="default" w:ascii="Times New Roman" w:hAnsi="Times New Roman" w:eastAsia="方正仿宋_GBK" w:cs="Times New Roman"/>
          <w:color w:val="auto"/>
          <w:sz w:val="32"/>
          <w:szCs w:val="32"/>
          <w:highlight w:val="none"/>
          <w:shd w:val="clear" w:color="auto" w:fill="FFFFFF"/>
        </w:rPr>
        <w:t>）科学技术支出262.88万元，占16.6%，较年初预算数增加262.88万元，增长100.0%，主要原因是年中追加了市级引导区县科技发展专项、“三区”科技人才支持计划专项、工业企业升规补助等项目支出。</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shd w:val="clear" w:color="auto" w:fill="FFFFFF"/>
        </w:rPr>
        <w:t>）社会保障</w:t>
      </w:r>
      <w:r>
        <w:rPr>
          <w:rFonts w:hint="default" w:ascii="Times New Roman" w:hAnsi="Times New Roman" w:eastAsia="方正仿宋_GBK" w:cs="Times New Roman"/>
          <w:color w:val="auto"/>
          <w:sz w:val="32"/>
          <w:szCs w:val="32"/>
          <w:highlight w:val="none"/>
          <w:shd w:val="clear" w:color="auto" w:fill="FFFFFF"/>
          <w:lang w:eastAsia="zh-CN"/>
        </w:rPr>
        <w:t>和</w:t>
      </w:r>
      <w:r>
        <w:rPr>
          <w:rFonts w:hint="default" w:ascii="Times New Roman" w:hAnsi="Times New Roman" w:eastAsia="方正仿宋_GBK" w:cs="Times New Roman"/>
          <w:color w:val="auto"/>
          <w:sz w:val="32"/>
          <w:szCs w:val="32"/>
          <w:highlight w:val="none"/>
          <w:shd w:val="clear" w:color="auto" w:fill="FFFFFF"/>
        </w:rPr>
        <w:t>就业支出146.76万元，占9.3%，较年初预算数增加10.11万元，增长7.4%，主要原因是主要原因是</w:t>
      </w:r>
      <w:r>
        <w:rPr>
          <w:rFonts w:hint="default" w:ascii="Times New Roman" w:hAnsi="Times New Roman" w:eastAsia="方正仿宋_GBK" w:cs="Times New Roman"/>
          <w:color w:val="auto"/>
          <w:sz w:val="32"/>
          <w:szCs w:val="32"/>
          <w:highlight w:val="none"/>
          <w:shd w:val="clear" w:color="auto" w:fill="FFFFFF"/>
          <w:lang w:eastAsia="zh-CN"/>
        </w:rPr>
        <w:t>人员变动，调整预算增加相应支出。</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）卫生健康支出28.53万元，占1.8%，较年初预算数增加0.48万元，增长1.7%，主要原因是主要原因是</w:t>
      </w:r>
      <w:r>
        <w:rPr>
          <w:rFonts w:hint="default" w:ascii="Times New Roman" w:hAnsi="Times New Roman" w:eastAsia="方正仿宋_GBK" w:cs="Times New Roman"/>
          <w:color w:val="auto"/>
          <w:sz w:val="32"/>
          <w:szCs w:val="32"/>
          <w:highlight w:val="none"/>
          <w:shd w:val="clear" w:color="auto" w:fill="FFFFFF"/>
          <w:lang w:eastAsia="zh-CN"/>
        </w:rPr>
        <w:t>人员变动，调整预算增加相应支出。</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5</w:t>
      </w:r>
      <w:r>
        <w:rPr>
          <w:rFonts w:hint="default" w:ascii="Times New Roman" w:hAnsi="Times New Roman" w:eastAsia="方正仿宋_GBK" w:cs="Times New Roman"/>
          <w:color w:val="auto"/>
          <w:sz w:val="32"/>
          <w:szCs w:val="32"/>
          <w:highlight w:val="none"/>
          <w:shd w:val="clear" w:color="auto" w:fill="FFFFFF"/>
        </w:rPr>
        <w:t>）农林水支出491.85万元，占31.1%，较年初预算数增加491.85万元，增长100.0%，主要原因是年中追加了城口老腊肉数字赋能建设、三品功能食品研究、川贝母产业研究、曲茎石斛产业研究等项目支出。</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6</w:t>
      </w:r>
      <w:r>
        <w:rPr>
          <w:rFonts w:hint="default" w:ascii="Times New Roman" w:hAnsi="Times New Roman" w:eastAsia="方正仿宋_GBK" w:cs="Times New Roman"/>
          <w:color w:val="auto"/>
          <w:sz w:val="32"/>
          <w:szCs w:val="32"/>
          <w:highlight w:val="none"/>
          <w:shd w:val="clear" w:color="auto" w:fill="FFFFFF"/>
        </w:rPr>
        <w:t>）资源勘探信息等支出585.02万元，占37.0%，较年初预算数增加163.69万元，增长38.9%，主要原因是</w:t>
      </w:r>
      <w:r>
        <w:rPr>
          <w:rFonts w:hint="default" w:ascii="Times New Roman" w:hAnsi="Times New Roman" w:eastAsia="方正仿宋_GBK" w:cs="Times New Roman"/>
          <w:color w:val="auto"/>
          <w:sz w:val="32"/>
          <w:szCs w:val="32"/>
          <w:highlight w:val="none"/>
          <w:shd w:val="clear" w:color="auto" w:fill="FFFFFF"/>
          <w:lang w:eastAsia="zh-CN"/>
        </w:rPr>
        <w:t>人员变动，调整预算增加相应支出；同时年中追加了市工业和信息化专项资金、中小微企业发展专项等项目支出。</w:t>
      </w:r>
    </w:p>
    <w:p>
      <w:pPr>
        <w:keepNext w:val="0"/>
        <w:keepLines w:val="0"/>
        <w:pageBreakBefore w:val="0"/>
        <w:kinsoku/>
        <w:wordWrap/>
        <w:overflowPunct/>
        <w:topLinePunct w:val="0"/>
        <w:autoSpaceDN/>
        <w:bidi w:val="0"/>
        <w:adjustRightInd/>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7</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rPr>
        <w:t>住房保障支出</w:t>
      </w:r>
      <w:r>
        <w:rPr>
          <w:rFonts w:hint="default" w:ascii="Times New Roman" w:hAnsi="Times New Roman" w:eastAsia="方正仿宋_GBK" w:cs="Times New Roman"/>
          <w:color w:val="auto"/>
          <w:sz w:val="32"/>
          <w:szCs w:val="32"/>
          <w:highlight w:val="none"/>
          <w:shd w:val="clear" w:color="auto" w:fill="FFFFFF"/>
        </w:rPr>
        <w:t>34.24万元，占2.2%，较年初预算数减少0.33万元，下降1.0%，主要原因是年中进行支出调剂，相应支出较年初减少。</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Style w:val="8"/>
          <w:rFonts w:hint="default" w:ascii="Times New Roman" w:hAnsi="Times New Roman" w:eastAsia="方正仿宋_GBK" w:cs="Times New Roman"/>
          <w:color w:val="auto"/>
          <w:sz w:val="32"/>
          <w:szCs w:val="32"/>
          <w:highlight w:val="none"/>
          <w:shd w:val="clear" w:color="auto" w:fill="FFFFFF"/>
        </w:rPr>
        <w:t>3.结转结余情况。</w:t>
      </w:r>
      <w:r>
        <w:rPr>
          <w:rFonts w:hint="default" w:ascii="Times New Roman" w:hAnsi="Times New Roman" w:eastAsia="方正仿宋_GBK" w:cs="Times New Roman"/>
          <w:color w:val="auto"/>
          <w:sz w:val="32"/>
          <w:szCs w:val="32"/>
          <w:highlight w:val="none"/>
          <w:shd w:val="clear" w:color="auto" w:fill="FFFFFF"/>
        </w:rPr>
        <w:t>2024年度年末一般公共预算财政拨款结转和结余54.97万元，与2023年度相比，减少48.22万元，下降46.7%，主要原因是年初结转和结余</w:t>
      </w:r>
      <w:r>
        <w:rPr>
          <w:rFonts w:hint="default" w:ascii="Times New Roman" w:hAnsi="Times New Roman" w:eastAsia="方正仿宋_GBK" w:cs="Times New Roman"/>
          <w:color w:val="auto"/>
          <w:sz w:val="32"/>
          <w:szCs w:val="32"/>
          <w:highlight w:val="none"/>
          <w:shd w:val="clear" w:color="auto" w:fill="FFFFFF"/>
          <w:lang w:eastAsia="zh-CN"/>
        </w:rPr>
        <w:t>资金实现支付。</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方正楷体_GBK" w:cs="Times New Roman"/>
          <w:color w:val="auto"/>
          <w:sz w:val="32"/>
          <w:szCs w:val="24"/>
          <w:highlight w:val="none"/>
          <w:lang w:val="en-US" w:eastAsia="zh-CN" w:bidi="ar-SA"/>
        </w:rPr>
      </w:pPr>
      <w:r>
        <w:rPr>
          <w:rFonts w:hint="default" w:ascii="Times New Roman" w:hAnsi="Times New Roman" w:eastAsia="方正楷体_GBK" w:cs="Times New Roman"/>
          <w:color w:val="auto"/>
          <w:sz w:val="32"/>
          <w:szCs w:val="24"/>
          <w:highlight w:val="none"/>
          <w:lang w:val="en-US" w:eastAsia="zh-CN" w:bidi="ar-SA"/>
        </w:rPr>
        <w:t>（四）一般公共预算财政拨款基本支出决算情况说明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2024年度一般公共财政拨款基本支出630.77万元。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其中：</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人员经费587.02万元，与2023年度相比，减少41.35万元，下降6.6%，主要原因是</w:t>
      </w:r>
      <w:r>
        <w:rPr>
          <w:rFonts w:hint="default" w:ascii="Times New Roman" w:hAnsi="Times New Roman" w:eastAsia="方正仿宋_GBK" w:cs="Times New Roman"/>
          <w:color w:val="auto"/>
          <w:sz w:val="32"/>
          <w:szCs w:val="32"/>
          <w:highlight w:val="none"/>
          <w:shd w:val="clear" w:color="auto" w:fill="FFFFFF"/>
          <w:lang w:val="en-US" w:eastAsia="zh-CN"/>
        </w:rPr>
        <w:t>本年无死亡抚恤金等支出</w:t>
      </w:r>
      <w:r>
        <w:rPr>
          <w:rFonts w:hint="default" w:ascii="Times New Roman" w:hAnsi="Times New Roman" w:eastAsia="方正仿宋_GBK" w:cs="Times New Roman"/>
          <w:color w:val="auto"/>
          <w:sz w:val="32"/>
          <w:szCs w:val="32"/>
          <w:highlight w:val="none"/>
          <w:shd w:val="clear" w:color="auto" w:fill="FFFFFF"/>
        </w:rPr>
        <w:t>。人员经费用途主要包括基本工资、津贴补贴、奖金、绩效工资、社会保障缴费、住房公积金等。</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公用经费43.75万元，与2023年度相比，减少5.30万元，下降10.8%，主要原因是年中进行支出调剂，相应支出较年初减少。公用经费用途主要包括办公费、印刷费、水费、电费、邮电费、差旅费、公务接待费、委托业务费、工会经费、 公务用车运行维护费等。</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方正楷体_GBK" w:cs="Times New Roman"/>
          <w:color w:val="auto"/>
          <w:sz w:val="32"/>
          <w:szCs w:val="24"/>
          <w:highlight w:val="none"/>
          <w:lang w:val="en-US" w:eastAsia="zh-CN" w:bidi="ar-SA"/>
        </w:rPr>
      </w:pPr>
      <w:r>
        <w:rPr>
          <w:rFonts w:hint="default" w:ascii="Times New Roman" w:hAnsi="Times New Roman" w:eastAsia="方正楷体_GBK" w:cs="Times New Roman"/>
          <w:color w:val="auto"/>
          <w:sz w:val="32"/>
          <w:szCs w:val="24"/>
          <w:highlight w:val="none"/>
          <w:lang w:val="en-US" w:eastAsia="zh-CN" w:bidi="ar-SA"/>
        </w:rPr>
        <w:t>（五）政府性基金预算收支决算情况说明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政府性基金预算财政拨款年初结转结余0.00万元，年末结转结余0.00万元。本年收入66.27万元，与2023年度相比，增加66.27万元，增长100.0%，主要原因是年中追加了城口县特色产业园片区燃气管道更新改造项目预算。本年支出66.27万元，与2023年度相比，增加66.27万元，增长100.0%，主要原因是年中追加了城口县特色产业园片区燃气管道更新改造项目支出。</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方正楷体_GBK" w:cs="Times New Roman"/>
          <w:color w:val="auto"/>
          <w:sz w:val="32"/>
          <w:szCs w:val="24"/>
          <w:highlight w:val="none"/>
          <w:lang w:val="en-US" w:eastAsia="zh-CN" w:bidi="ar-SA"/>
        </w:rPr>
      </w:pPr>
      <w:r>
        <w:rPr>
          <w:rFonts w:hint="default" w:ascii="Times New Roman" w:hAnsi="Times New Roman" w:eastAsia="方正楷体_GBK" w:cs="Times New Roman"/>
          <w:color w:val="auto"/>
          <w:sz w:val="32"/>
          <w:szCs w:val="24"/>
          <w:highlight w:val="none"/>
          <w:lang w:val="en-US" w:eastAsia="zh-CN" w:bidi="ar-SA"/>
        </w:rPr>
        <w:t>（六）国有资本经营预算财政拨款支出决算情况说明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本部门2024年度无国有资本经营预算财政拨款支出。</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三、财政拨款“三公”经费情况说明</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方正楷体_GBK" w:cs="Times New Roman"/>
          <w:color w:val="auto"/>
          <w:sz w:val="32"/>
          <w:szCs w:val="24"/>
          <w:highlight w:val="none"/>
          <w:lang w:val="en-US" w:eastAsia="zh-CN" w:bidi="ar-SA"/>
        </w:rPr>
      </w:pPr>
      <w:r>
        <w:rPr>
          <w:rFonts w:hint="default" w:ascii="Times New Roman" w:hAnsi="Times New Roman" w:eastAsia="方正楷体_GBK" w:cs="Times New Roman"/>
          <w:color w:val="auto"/>
          <w:sz w:val="32"/>
          <w:szCs w:val="24"/>
          <w:highlight w:val="none"/>
          <w:lang w:val="en-US" w:eastAsia="zh-CN" w:bidi="ar-SA"/>
        </w:rPr>
        <w:t>（一）“三公”经费支出总体情况说明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2024年度“三公”经费支出共计12.64万元，较年初预算数增加4.44万元，增长54.2%，主要原因是机构改革将招商统筹职责划转到我单位，招商出行和招商接待</w:t>
      </w:r>
      <w:r>
        <w:rPr>
          <w:rFonts w:hint="default" w:ascii="Times New Roman" w:hAnsi="Times New Roman" w:eastAsia="方正仿宋_GBK" w:cs="Times New Roman"/>
          <w:color w:val="auto"/>
          <w:sz w:val="32"/>
          <w:szCs w:val="32"/>
          <w:highlight w:val="none"/>
          <w:shd w:val="clear" w:color="auto" w:fill="FFFFFF"/>
          <w:lang w:val="en-US" w:eastAsia="zh-CN"/>
        </w:rPr>
        <w:t>支出增加</w:t>
      </w:r>
      <w:r>
        <w:rPr>
          <w:rFonts w:hint="default" w:ascii="Times New Roman" w:hAnsi="Times New Roman" w:eastAsia="方正仿宋_GBK" w:cs="Times New Roman"/>
          <w:color w:val="auto"/>
          <w:sz w:val="32"/>
          <w:szCs w:val="32"/>
          <w:highlight w:val="none"/>
          <w:shd w:val="clear" w:color="auto" w:fill="FFFFFF"/>
        </w:rPr>
        <w:t>。较上年支出数减少43.88万元，下降77.6%，主要原因是本年</w:t>
      </w:r>
      <w:r>
        <w:rPr>
          <w:rFonts w:hint="default" w:ascii="Times New Roman" w:hAnsi="Times New Roman" w:eastAsia="方正仿宋_GBK" w:cs="Times New Roman"/>
          <w:color w:val="auto"/>
          <w:sz w:val="32"/>
          <w:szCs w:val="32"/>
          <w:highlight w:val="none"/>
          <w:shd w:val="clear" w:color="auto" w:fill="FFFFFF"/>
          <w:lang w:eastAsia="zh-CN"/>
        </w:rPr>
        <w:t>使用非财政拨款安排的资金</w:t>
      </w:r>
      <w:r>
        <w:rPr>
          <w:rFonts w:hint="default" w:ascii="Times New Roman" w:hAnsi="Times New Roman" w:eastAsia="方正仿宋_GBK" w:cs="Times New Roman"/>
          <w:color w:val="auto"/>
          <w:sz w:val="32"/>
          <w:szCs w:val="32"/>
          <w:highlight w:val="none"/>
          <w:shd w:val="clear" w:color="auto" w:fill="FFFFFF"/>
        </w:rPr>
        <w:t>支付</w:t>
      </w:r>
      <w:r>
        <w:rPr>
          <w:rFonts w:hint="default" w:ascii="Times New Roman" w:hAnsi="Times New Roman" w:eastAsia="方正仿宋_GBK" w:cs="Times New Roman"/>
          <w:color w:val="auto"/>
          <w:sz w:val="32"/>
          <w:szCs w:val="32"/>
          <w:highlight w:val="none"/>
          <w:shd w:val="clear" w:color="auto" w:fill="FFFFFF"/>
          <w:lang w:eastAsia="zh-CN"/>
        </w:rPr>
        <w:t>部分</w:t>
      </w:r>
      <w:r>
        <w:rPr>
          <w:rFonts w:hint="default" w:ascii="Times New Roman" w:hAnsi="Times New Roman" w:eastAsia="方正仿宋_GBK" w:cs="Times New Roman"/>
          <w:color w:val="auto"/>
          <w:sz w:val="32"/>
          <w:szCs w:val="32"/>
          <w:highlight w:val="none"/>
          <w:shd w:val="clear" w:color="auto" w:fill="FFFFFF"/>
        </w:rPr>
        <w:t>“三公”经费。</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方正楷体_GBK" w:cs="Times New Roman"/>
          <w:color w:val="auto"/>
          <w:sz w:val="32"/>
          <w:szCs w:val="24"/>
          <w:highlight w:val="none"/>
          <w:lang w:val="en-US" w:eastAsia="zh-CN" w:bidi="ar-SA"/>
        </w:rPr>
      </w:pPr>
      <w:r>
        <w:rPr>
          <w:rFonts w:hint="default" w:ascii="Times New Roman" w:hAnsi="Times New Roman" w:eastAsia="方正楷体_GBK" w:cs="Times New Roman"/>
          <w:color w:val="auto"/>
          <w:sz w:val="32"/>
          <w:szCs w:val="24"/>
          <w:highlight w:val="none"/>
          <w:lang w:val="en-US" w:eastAsia="zh-CN" w:bidi="ar-SA"/>
        </w:rPr>
        <w:t>（二）“三公”经费分项支出情况</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2024年度本部门因公出国（境）费用0.00万元</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费用支出较年初预算数无增减。较上年支出数无增减。</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车购置费0.00万元，费用支出较年初预算数无增减。较上年支出数减少24.50万元，下降100.0%，主要原因是</w:t>
      </w:r>
      <w:r>
        <w:rPr>
          <w:rFonts w:hint="default" w:ascii="Times New Roman" w:hAnsi="Times New Roman" w:eastAsia="方正仿宋_GBK" w:cs="Times New Roman"/>
          <w:color w:val="auto"/>
          <w:sz w:val="32"/>
          <w:szCs w:val="32"/>
          <w:highlight w:val="none"/>
          <w:shd w:val="clear" w:color="auto" w:fill="FFFFFF"/>
          <w:lang w:eastAsia="zh-CN"/>
        </w:rPr>
        <w:t>本年车辆实有数达到编制数，无需购置</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公务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车运行维护费4.98万元，主要用于市内因公出行、各类会议、考察调研、检查等工作所需车辆的燃料费、维修费、过桥过路费、保险费等。费用支出较年初预算数减少2.52万元，下降33.6%，主要原因是本年</w:t>
      </w:r>
      <w:r>
        <w:rPr>
          <w:rFonts w:hint="default" w:ascii="Times New Roman" w:hAnsi="Times New Roman" w:eastAsia="方正仿宋_GBK" w:cs="Times New Roman"/>
          <w:color w:val="auto"/>
          <w:sz w:val="32"/>
          <w:szCs w:val="32"/>
          <w:highlight w:val="none"/>
          <w:shd w:val="clear" w:color="auto" w:fill="FFFFFF"/>
          <w:lang w:eastAsia="zh-CN"/>
        </w:rPr>
        <w:t>使用非财政拨款安排的资金</w:t>
      </w:r>
      <w:r>
        <w:rPr>
          <w:rFonts w:hint="default" w:ascii="Times New Roman" w:hAnsi="Times New Roman" w:eastAsia="方正仿宋_GBK" w:cs="Times New Roman"/>
          <w:color w:val="auto"/>
          <w:sz w:val="32"/>
          <w:szCs w:val="32"/>
          <w:highlight w:val="none"/>
          <w:shd w:val="clear" w:color="auto" w:fill="FFFFFF"/>
        </w:rPr>
        <w:t>支付</w:t>
      </w:r>
      <w:r>
        <w:rPr>
          <w:rFonts w:hint="default" w:ascii="Times New Roman" w:hAnsi="Times New Roman" w:eastAsia="方正仿宋_GBK" w:cs="Times New Roman"/>
          <w:color w:val="auto"/>
          <w:sz w:val="32"/>
          <w:szCs w:val="32"/>
          <w:highlight w:val="none"/>
          <w:shd w:val="clear" w:color="auto" w:fill="FFFFFF"/>
          <w:lang w:eastAsia="zh-CN"/>
        </w:rPr>
        <w:t>部分</w:t>
      </w:r>
      <w:r>
        <w:rPr>
          <w:rFonts w:hint="default" w:ascii="Times New Roman" w:hAnsi="Times New Roman" w:eastAsia="方正仿宋_GBK" w:cs="Times New Roman"/>
          <w:color w:val="auto"/>
          <w:sz w:val="32"/>
          <w:szCs w:val="32"/>
          <w:highlight w:val="none"/>
          <w:shd w:val="clear" w:color="auto" w:fill="FFFFFF"/>
        </w:rPr>
        <w:t>公务用车运行维护费。较上年支出数减少10.04万元，下降66.8%，主要原因是本年</w:t>
      </w:r>
      <w:r>
        <w:rPr>
          <w:rFonts w:hint="default" w:ascii="Times New Roman" w:hAnsi="Times New Roman" w:eastAsia="方正仿宋_GBK" w:cs="Times New Roman"/>
          <w:color w:val="auto"/>
          <w:sz w:val="32"/>
          <w:szCs w:val="32"/>
          <w:highlight w:val="none"/>
          <w:shd w:val="clear" w:color="auto" w:fill="FFFFFF"/>
          <w:lang w:eastAsia="zh-CN"/>
        </w:rPr>
        <w:t>使用非财政拨款安排的资金</w:t>
      </w:r>
      <w:r>
        <w:rPr>
          <w:rFonts w:hint="default" w:ascii="Times New Roman" w:hAnsi="Times New Roman" w:eastAsia="方正仿宋_GBK" w:cs="Times New Roman"/>
          <w:color w:val="auto"/>
          <w:sz w:val="32"/>
          <w:szCs w:val="32"/>
          <w:highlight w:val="none"/>
          <w:shd w:val="clear" w:color="auto" w:fill="FFFFFF"/>
        </w:rPr>
        <w:t>支付</w:t>
      </w:r>
      <w:r>
        <w:rPr>
          <w:rFonts w:hint="default" w:ascii="Times New Roman" w:hAnsi="Times New Roman" w:eastAsia="方正仿宋_GBK" w:cs="Times New Roman"/>
          <w:color w:val="auto"/>
          <w:sz w:val="32"/>
          <w:szCs w:val="32"/>
          <w:highlight w:val="none"/>
          <w:shd w:val="clear" w:color="auto" w:fill="FFFFFF"/>
          <w:lang w:eastAsia="zh-CN"/>
        </w:rPr>
        <w:t>部分</w:t>
      </w:r>
      <w:r>
        <w:rPr>
          <w:rFonts w:hint="default" w:ascii="Times New Roman" w:hAnsi="Times New Roman" w:eastAsia="方正仿宋_GBK" w:cs="Times New Roman"/>
          <w:color w:val="auto"/>
          <w:sz w:val="32"/>
          <w:szCs w:val="32"/>
          <w:highlight w:val="none"/>
          <w:shd w:val="clear" w:color="auto" w:fill="FFFFFF"/>
        </w:rPr>
        <w:t>公务用车运行维护费。</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公务接待费7.66万元，主要用于接待接待招商引资考察来访客商及符合接待规定的市级和各区县相关单位。费用支出较年初预算数增加6.96万元，增长994.3%，主要原因是机构改革将招商统筹职责划转到我单位，招商接待支出增加。较上年支出数减少9.33万元，下降54.9%，主要原因是本年</w:t>
      </w:r>
      <w:r>
        <w:rPr>
          <w:rFonts w:hint="default" w:ascii="Times New Roman" w:hAnsi="Times New Roman" w:eastAsia="方正仿宋_GBK" w:cs="Times New Roman"/>
          <w:color w:val="auto"/>
          <w:sz w:val="32"/>
          <w:szCs w:val="32"/>
          <w:highlight w:val="none"/>
          <w:shd w:val="clear" w:color="auto" w:fill="FFFFFF"/>
          <w:lang w:eastAsia="zh-CN"/>
        </w:rPr>
        <w:t>使用非财政拨款安排的资金</w:t>
      </w:r>
      <w:r>
        <w:rPr>
          <w:rFonts w:hint="default" w:ascii="Times New Roman" w:hAnsi="Times New Roman" w:eastAsia="方正仿宋_GBK" w:cs="Times New Roman"/>
          <w:color w:val="auto"/>
          <w:sz w:val="32"/>
          <w:szCs w:val="32"/>
          <w:highlight w:val="none"/>
          <w:shd w:val="clear" w:color="auto" w:fill="FFFFFF"/>
        </w:rPr>
        <w:t>支付</w:t>
      </w:r>
      <w:r>
        <w:rPr>
          <w:rFonts w:hint="default" w:ascii="Times New Roman" w:hAnsi="Times New Roman" w:eastAsia="方正仿宋_GBK" w:cs="Times New Roman"/>
          <w:color w:val="auto"/>
          <w:sz w:val="32"/>
          <w:szCs w:val="32"/>
          <w:highlight w:val="none"/>
          <w:shd w:val="clear" w:color="auto" w:fill="FFFFFF"/>
          <w:lang w:eastAsia="zh-CN"/>
        </w:rPr>
        <w:t>部分公务接待费。</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方正楷体_GBK" w:cs="Times New Roman"/>
          <w:color w:val="auto"/>
          <w:sz w:val="32"/>
          <w:szCs w:val="24"/>
          <w:highlight w:val="none"/>
          <w:lang w:val="en-US" w:eastAsia="zh-CN" w:bidi="ar-SA"/>
        </w:rPr>
      </w:pPr>
      <w:r>
        <w:rPr>
          <w:rFonts w:hint="default" w:ascii="Times New Roman" w:hAnsi="Times New Roman" w:eastAsia="方正楷体_GBK" w:cs="Times New Roman"/>
          <w:color w:val="auto"/>
          <w:sz w:val="32"/>
          <w:szCs w:val="24"/>
          <w:highlight w:val="none"/>
          <w:lang w:val="en-US" w:eastAsia="zh-CN" w:bidi="ar-SA"/>
        </w:rPr>
        <w:t>（三）“三公”经费实物量情况</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本部门因公出国（境）共计0个团组，0人；公务用车购置0辆，公务车保有量为3辆；国内公务接待56批次388人，其中：国内外事接待0批次，0人；国（境）外公务接待0批次，0人。2024年本部门人均接待费197.40元，车均购置费0万元，车均维护费1.66万元。</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color w:val="auto"/>
          <w:sz w:val="32"/>
          <w:szCs w:val="24"/>
          <w:highlight w:val="none"/>
          <w:lang w:val="en-US" w:eastAsia="zh-CN" w:bidi="ar-SA"/>
        </w:rPr>
      </w:pPr>
      <w:r>
        <w:rPr>
          <w:rFonts w:hint="default" w:ascii="Times New Roman" w:hAnsi="Times New Roman" w:eastAsia="方正楷体_GBK" w:cs="Times New Roman"/>
          <w:color w:val="auto"/>
          <w:sz w:val="32"/>
          <w:szCs w:val="24"/>
          <w:highlight w:val="none"/>
          <w:lang w:val="en-US" w:eastAsia="zh-CN" w:bidi="ar-SA"/>
        </w:rPr>
        <w:t>（一）财政拨款会议费、培训费和差旅费情况说明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本年度会议费支出1.16万元，与2023年度相比，减少0.92万元，下降44.2%，主要原因是</w:t>
      </w:r>
      <w:r>
        <w:rPr>
          <w:rFonts w:hint="default" w:ascii="Times New Roman" w:hAnsi="Times New Roman" w:eastAsia="方正仿宋_GBK" w:cs="Times New Roman"/>
          <w:color w:val="auto"/>
          <w:sz w:val="32"/>
          <w:szCs w:val="32"/>
          <w:highlight w:val="none"/>
          <w:shd w:val="clear" w:color="auto" w:fill="FFFFFF"/>
          <w:lang w:eastAsia="zh-CN"/>
        </w:rPr>
        <w:t>本年度会议支出减少</w:t>
      </w:r>
      <w:r>
        <w:rPr>
          <w:rFonts w:hint="default" w:ascii="Times New Roman" w:hAnsi="Times New Roman" w:eastAsia="方正仿宋_GBK" w:cs="Times New Roman"/>
          <w:color w:val="auto"/>
          <w:sz w:val="32"/>
          <w:szCs w:val="32"/>
          <w:highlight w:val="none"/>
          <w:shd w:val="clear" w:color="auto" w:fill="FFFFFF"/>
        </w:rPr>
        <w:t>。本年度培训费支出0.10万元，与2023年度相比，减少5.59万元，下降98.2%，主要原因是</w:t>
      </w:r>
      <w:r>
        <w:rPr>
          <w:rFonts w:hint="default" w:ascii="Times New Roman" w:hAnsi="Times New Roman" w:eastAsia="方正仿宋_GBK" w:cs="Times New Roman"/>
          <w:color w:val="auto"/>
          <w:sz w:val="32"/>
          <w:szCs w:val="32"/>
          <w:highlight w:val="none"/>
          <w:shd w:val="clear" w:color="auto" w:fill="FFFFFF"/>
          <w:lang w:val="en-US" w:eastAsia="zh-CN"/>
        </w:rPr>
        <w:t>本年度培训费支出减少</w:t>
      </w:r>
      <w:r>
        <w:rPr>
          <w:rFonts w:hint="default" w:ascii="Times New Roman" w:hAnsi="Times New Roman" w:eastAsia="方正仿宋_GBK" w:cs="Times New Roman"/>
          <w:color w:val="auto"/>
          <w:sz w:val="32"/>
          <w:szCs w:val="32"/>
          <w:highlight w:val="none"/>
          <w:shd w:val="clear" w:color="auto" w:fill="FFFFFF"/>
        </w:rPr>
        <w:t>。本年度差旅费支出37.85</w:t>
      </w:r>
      <w:r>
        <w:rPr>
          <w:rFonts w:hint="default" w:ascii="Times New Roman" w:hAnsi="Times New Roman" w:eastAsia="方正仿宋_GBK" w:cs="Times New Roman"/>
          <w:color w:val="auto"/>
          <w:sz w:val="32"/>
          <w:szCs w:val="32"/>
          <w:highlight w:val="none"/>
        </w:rPr>
        <w:t>万元，</w:t>
      </w:r>
      <w:r>
        <w:rPr>
          <w:rFonts w:hint="default" w:ascii="Times New Roman" w:hAnsi="Times New Roman" w:eastAsia="方正仿宋_GBK" w:cs="Times New Roman"/>
          <w:color w:val="auto"/>
          <w:sz w:val="32"/>
          <w:szCs w:val="32"/>
          <w:highlight w:val="none"/>
          <w:shd w:val="clear" w:color="auto" w:fill="FFFFFF"/>
        </w:rPr>
        <w:t>与2023年度相比，增加1.78万元，增长4.9%，主要原因是机构改革将招商统筹职责划转到我单位，</w:t>
      </w:r>
      <w:r>
        <w:rPr>
          <w:rFonts w:hint="default" w:ascii="Times New Roman" w:hAnsi="Times New Roman" w:eastAsia="方正仿宋_GBK" w:cs="Times New Roman"/>
          <w:color w:val="auto"/>
          <w:sz w:val="32"/>
          <w:szCs w:val="32"/>
          <w:highlight w:val="none"/>
          <w:shd w:val="clear" w:color="auto" w:fill="FFFFFF"/>
          <w:lang w:eastAsia="zh-CN"/>
        </w:rPr>
        <w:t>外出</w:t>
      </w:r>
      <w:r>
        <w:rPr>
          <w:rFonts w:hint="default" w:ascii="Times New Roman" w:hAnsi="Times New Roman" w:eastAsia="方正仿宋_GBK" w:cs="Times New Roman"/>
          <w:color w:val="auto"/>
          <w:sz w:val="32"/>
          <w:szCs w:val="32"/>
          <w:highlight w:val="none"/>
          <w:shd w:val="clear" w:color="auto" w:fill="FFFFFF"/>
        </w:rPr>
        <w:t>招商</w:t>
      </w:r>
      <w:r>
        <w:rPr>
          <w:rFonts w:hint="default" w:ascii="Times New Roman" w:hAnsi="Times New Roman" w:eastAsia="方正仿宋_GBK" w:cs="Times New Roman"/>
          <w:color w:val="auto"/>
          <w:sz w:val="32"/>
          <w:szCs w:val="32"/>
          <w:highlight w:val="none"/>
          <w:shd w:val="clear" w:color="auto" w:fill="FFFFFF"/>
          <w:lang w:eastAsia="zh-CN"/>
        </w:rPr>
        <w:t>次数较多，差旅费增加</w:t>
      </w:r>
      <w:r>
        <w:rPr>
          <w:rFonts w:hint="default" w:ascii="Times New Roman" w:hAnsi="Times New Roman" w:eastAsia="方正仿宋_GBK" w:cs="Times New Roman"/>
          <w:color w:val="auto"/>
          <w:sz w:val="32"/>
          <w:szCs w:val="32"/>
          <w:highlight w:val="none"/>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方正楷体_GBK" w:cs="Times New Roman"/>
          <w:color w:val="auto"/>
          <w:sz w:val="32"/>
          <w:szCs w:val="24"/>
          <w:highlight w:val="none"/>
          <w:lang w:val="en-US" w:eastAsia="zh-CN" w:bidi="ar-SA"/>
        </w:rPr>
      </w:pPr>
      <w:r>
        <w:rPr>
          <w:rFonts w:hint="default" w:ascii="Times New Roman" w:hAnsi="Times New Roman" w:eastAsia="方正楷体_GBK" w:cs="Times New Roman"/>
          <w:color w:val="auto"/>
          <w:sz w:val="32"/>
          <w:szCs w:val="24"/>
          <w:highlight w:val="none"/>
          <w:lang w:val="en-US" w:eastAsia="zh-CN" w:bidi="ar-SA"/>
        </w:rPr>
        <w:t>（二）机关运行经费情况说明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2024年度本部门机关运行经费支出40.89万元，机关运行经费主要用于开支办公费、印刷费、水费、电费、邮电费、差旅费、公务接待费、委托业务费、工会经费、 公务用车运行维护费等。机关运行经费较上年支出数减少8.16万元，下降16.6%，主要原因是本年度下属事业单位独立核算，按照部门决算列报口径，事业单位</w:t>
      </w:r>
      <w:r>
        <w:rPr>
          <w:rFonts w:hint="default" w:ascii="Times New Roman" w:hAnsi="Times New Roman" w:eastAsia="方正仿宋_GBK" w:cs="Times New Roman"/>
          <w:color w:val="auto"/>
          <w:sz w:val="32"/>
          <w:szCs w:val="32"/>
          <w:highlight w:val="none"/>
          <w:shd w:val="clear" w:color="auto" w:fill="FFFFFF"/>
          <w:lang w:val="en-US" w:eastAsia="zh-CN"/>
        </w:rPr>
        <w:t>的公用经费</w:t>
      </w:r>
      <w:r>
        <w:rPr>
          <w:rFonts w:hint="default" w:ascii="Times New Roman" w:hAnsi="Times New Roman" w:eastAsia="方正仿宋_GBK" w:cs="Times New Roman"/>
          <w:color w:val="auto"/>
          <w:sz w:val="32"/>
          <w:szCs w:val="32"/>
          <w:highlight w:val="none"/>
          <w:shd w:val="clear" w:color="auto" w:fill="FFFFFF"/>
        </w:rPr>
        <w:t>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Fonts w:hint="default" w:ascii="Times New Roman" w:hAnsi="Times New Roman" w:eastAsia="方正楷体_GBK" w:cs="Times New Roman"/>
          <w:color w:val="auto"/>
          <w:sz w:val="32"/>
          <w:szCs w:val="24"/>
          <w:highlight w:val="none"/>
          <w:lang w:val="en-US" w:eastAsia="zh-CN" w:bidi="ar-SA"/>
        </w:rPr>
        <w:t>（三）国有资产占用情况说明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截至2024年12月31日，本部门共有车辆3辆，其中，副部（省）级及以上领导用车0辆、主要负责人用车0辆、机要通信用车0辆、应急保障用车3辆、执法执勤用车0辆，特种专业技术用车0辆，离退休干部用车0辆。单价100万元（含）以上专用设备0台（套）。</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Fonts w:hint="default" w:ascii="Times New Roman" w:hAnsi="Times New Roman" w:eastAsia="方正楷体_GBK" w:cs="Times New Roman"/>
          <w:color w:val="auto"/>
          <w:sz w:val="32"/>
          <w:szCs w:val="24"/>
          <w:highlight w:val="none"/>
          <w:lang w:val="en-US" w:eastAsia="zh-CN" w:bidi="ar-SA"/>
        </w:rPr>
        <w:t>（四）政府采购支出情况说明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2024年度本部门政府采购支出总额511.14万元，其中：政府采购货物支出15.57万元、政府采购工程支出0.00万元、政府采购服务支出495.57万元。授予中小企业合同金额461.73</w:t>
      </w:r>
      <w:r>
        <w:rPr>
          <w:rFonts w:hint="default" w:ascii="Times New Roman" w:hAnsi="Times New Roman" w:eastAsia="方正仿宋_GBK" w:cs="Times New Roman"/>
          <w:color w:val="auto"/>
          <w:sz w:val="32"/>
          <w:szCs w:val="32"/>
          <w:highlight w:val="none"/>
        </w:rPr>
        <w:t>万</w:t>
      </w:r>
      <w:r>
        <w:rPr>
          <w:rFonts w:hint="default" w:ascii="Times New Roman" w:hAnsi="Times New Roman" w:eastAsia="方正仿宋_GBK" w:cs="Times New Roman"/>
          <w:color w:val="auto"/>
          <w:sz w:val="32"/>
          <w:szCs w:val="32"/>
          <w:highlight w:val="none"/>
          <w:shd w:val="clear" w:color="auto" w:fill="FFFFFF"/>
        </w:rPr>
        <w:t>元，占政府采购支出总额的90.3%，其中：授予小微企业合同金额461.73万元，占政府采购支出总额的90.3 %。主要用于采购购</w:t>
      </w:r>
      <w:r>
        <w:rPr>
          <w:rFonts w:hint="default" w:ascii="Times New Roman" w:hAnsi="Times New Roman" w:eastAsia="方正仿宋_GBK" w:cs="Times New Roman"/>
          <w:color w:val="auto"/>
          <w:sz w:val="32"/>
          <w:szCs w:val="32"/>
          <w:highlight w:val="none"/>
          <w:shd w:val="clear" w:color="auto" w:fill="FFFFFF"/>
          <w:lang w:eastAsia="zh-CN"/>
        </w:rPr>
        <w:t>复印纸、复印机、计算机等货物；重庆市城口县钡新材料产业高质量发展研究论证报告、城口老腊肉区域品牌打造与营销等服务</w:t>
      </w:r>
      <w:r>
        <w:rPr>
          <w:rFonts w:hint="default" w:ascii="Times New Roman" w:hAnsi="Times New Roman" w:eastAsia="方正仿宋_GBK" w:cs="Times New Roman"/>
          <w:color w:val="auto"/>
          <w:sz w:val="32"/>
          <w:szCs w:val="32"/>
          <w:highlight w:val="none"/>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color w:val="auto"/>
          <w:sz w:val="32"/>
          <w:szCs w:val="24"/>
          <w:highlight w:val="none"/>
          <w:lang w:val="en-US" w:eastAsia="zh-CN" w:bidi="ar-SA"/>
        </w:rPr>
      </w:pPr>
      <w:r>
        <w:rPr>
          <w:rFonts w:hint="default" w:ascii="Times New Roman" w:hAnsi="Times New Roman" w:eastAsia="方正楷体_GBK" w:cs="Times New Roman"/>
          <w:color w:val="auto"/>
          <w:sz w:val="32"/>
          <w:szCs w:val="24"/>
          <w:highlight w:val="none"/>
          <w:lang w:val="en-US" w:eastAsia="zh-CN" w:bidi="ar-SA"/>
        </w:rPr>
        <w:t>（一）单位自评情况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shd w:val="clear" w:fill="FFFFFF"/>
          <w:lang w:eastAsia="zh-CN"/>
        </w:rPr>
      </w:pPr>
      <w:r>
        <w:rPr>
          <w:rFonts w:hint="default" w:ascii="Times New Roman" w:hAnsi="Times New Roman" w:eastAsia="方正仿宋_GBK" w:cs="Times New Roman"/>
          <w:color w:val="auto"/>
          <w:kern w:val="0"/>
          <w:sz w:val="32"/>
          <w:szCs w:val="32"/>
          <w:highlight w:val="none"/>
          <w:shd w:val="clear" w:fill="FFFFFF"/>
        </w:rPr>
        <w:t>根据预算绩效管理要求，我单位对部门整体和</w:t>
      </w:r>
      <w:r>
        <w:rPr>
          <w:rFonts w:hint="default" w:ascii="Times New Roman" w:hAnsi="Times New Roman" w:eastAsia="方正仿宋_GBK" w:cs="Times New Roman"/>
          <w:color w:val="auto"/>
          <w:kern w:val="0"/>
          <w:sz w:val="32"/>
          <w:szCs w:val="32"/>
          <w:highlight w:val="none"/>
          <w:shd w:val="clear" w:fill="FFFFFF"/>
          <w:lang w:val="en-US" w:eastAsia="zh-CN"/>
        </w:rPr>
        <w:t>16</w:t>
      </w:r>
      <w:r>
        <w:rPr>
          <w:rFonts w:hint="default" w:ascii="Times New Roman" w:hAnsi="Times New Roman" w:eastAsia="方正仿宋_GBK" w:cs="Times New Roman"/>
          <w:color w:val="auto"/>
          <w:kern w:val="0"/>
          <w:sz w:val="32"/>
          <w:szCs w:val="32"/>
          <w:highlight w:val="none"/>
          <w:shd w:val="clear" w:fill="FFFFFF"/>
        </w:rPr>
        <w:t>个项目开展了绩效自评，涉及财政拨款项目支出资金</w:t>
      </w:r>
      <w:r>
        <w:rPr>
          <w:rFonts w:hint="default" w:ascii="Times New Roman" w:hAnsi="Times New Roman" w:eastAsia="方正仿宋_GBK" w:cs="Times New Roman"/>
          <w:color w:val="auto"/>
          <w:kern w:val="0"/>
          <w:sz w:val="32"/>
          <w:szCs w:val="32"/>
          <w:highlight w:val="none"/>
          <w:shd w:val="clear" w:fill="FFFFFF"/>
          <w:lang w:val="en-US" w:eastAsia="zh-CN"/>
        </w:rPr>
        <w:t>1016.98</w:t>
      </w:r>
      <w:r>
        <w:rPr>
          <w:rFonts w:hint="default" w:ascii="Times New Roman" w:hAnsi="Times New Roman" w:eastAsia="方正仿宋_GBK" w:cs="Times New Roman"/>
          <w:color w:val="auto"/>
          <w:kern w:val="0"/>
          <w:sz w:val="32"/>
          <w:szCs w:val="32"/>
          <w:highlight w:val="none"/>
          <w:shd w:val="clear" w:fill="FFFFFF"/>
        </w:rPr>
        <w:t>万元</w:t>
      </w:r>
      <w:r>
        <w:rPr>
          <w:rFonts w:hint="default" w:ascii="Times New Roman" w:hAnsi="Times New Roman" w:eastAsia="方正仿宋_GBK" w:cs="Times New Roman"/>
          <w:color w:val="auto"/>
          <w:kern w:val="0"/>
          <w:sz w:val="32"/>
          <w:szCs w:val="32"/>
          <w:highlight w:val="none"/>
          <w:shd w:val="clear" w:fill="FFFFFF"/>
          <w:lang w:eastAsia="zh-CN"/>
        </w:rPr>
        <w:t>。</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shd w:val="clear" w:fill="FFFFFF"/>
          <w:lang w:eastAsia="zh-CN"/>
        </w:rPr>
      </w:pPr>
      <w:r>
        <w:rPr>
          <w:rFonts w:hint="default" w:ascii="Times New Roman" w:hAnsi="Times New Roman" w:eastAsia="方正仿宋_GBK" w:cs="Times New Roman"/>
          <w:color w:val="auto"/>
          <w:kern w:val="0"/>
          <w:sz w:val="32"/>
          <w:szCs w:val="32"/>
          <w:highlight w:val="none"/>
          <w:shd w:val="clear" w:fill="FFFFFF"/>
        </w:rPr>
        <w:t>部门整体绩效自评表、项目支出绩效自评表祥见附</w:t>
      </w:r>
      <w:r>
        <w:rPr>
          <w:rFonts w:hint="default" w:ascii="Times New Roman" w:hAnsi="Times New Roman" w:eastAsia="方正仿宋_GBK" w:cs="Times New Roman"/>
          <w:color w:val="auto"/>
          <w:kern w:val="0"/>
          <w:sz w:val="32"/>
          <w:szCs w:val="32"/>
          <w:highlight w:val="none"/>
          <w:shd w:val="clear" w:fill="FFFFFF"/>
          <w:lang w:eastAsia="zh-CN"/>
        </w:rPr>
        <w:t>件。</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color w:val="auto"/>
          <w:sz w:val="32"/>
          <w:szCs w:val="24"/>
          <w:highlight w:val="none"/>
          <w:lang w:val="en-US" w:eastAsia="zh-CN" w:bidi="ar-SA"/>
        </w:rPr>
      </w:pPr>
      <w:r>
        <w:rPr>
          <w:rFonts w:hint="default" w:ascii="Times New Roman" w:hAnsi="Times New Roman" w:eastAsia="方正楷体_GBK" w:cs="Times New Roman"/>
          <w:color w:val="auto"/>
          <w:sz w:val="32"/>
          <w:szCs w:val="24"/>
          <w:highlight w:val="none"/>
          <w:lang w:val="en-US" w:eastAsia="zh-CN" w:bidi="ar-SA"/>
        </w:rPr>
        <w:t>（二）部门绩效评价情况</w:t>
      </w:r>
    </w:p>
    <w:p>
      <w:pPr>
        <w:pStyle w:val="16"/>
        <w:keepNext w:val="0"/>
        <w:keepLines w:val="0"/>
        <w:pageBreakBefore w:val="0"/>
        <w:widowControl/>
        <w:kinsoku/>
        <w:wordWrap/>
        <w:overflowPunct/>
        <w:topLinePunct w:val="0"/>
        <w:autoSpaceDE w:val="0"/>
        <w:autoSpaceDN/>
        <w:bidi w:val="0"/>
        <w:adjustRightInd/>
        <w:snapToGrid/>
        <w:spacing w:after="0" w:afterAutospacing="0" w:line="579" w:lineRule="exact"/>
        <w:ind w:left="0" w:firstLine="640" w:firstLineChars="200"/>
        <w:jc w:val="both"/>
        <w:textAlignment w:val="auto"/>
        <w:rPr>
          <w:rFonts w:hint="default" w:ascii="Times New Roman" w:hAnsi="Times New Roman" w:eastAsia="方正仿宋_GBK" w:cs="Times New Roman"/>
          <w:color w:val="auto"/>
          <w:kern w:val="0"/>
          <w:sz w:val="32"/>
          <w:szCs w:val="32"/>
          <w:highlight w:val="none"/>
          <w:shd w:val="clear" w:fill="FFFFFF"/>
        </w:rPr>
      </w:pPr>
      <w:r>
        <w:rPr>
          <w:rFonts w:hint="default" w:ascii="Times New Roman" w:hAnsi="Times New Roman" w:eastAsia="方正仿宋_GBK" w:cs="Times New Roman"/>
          <w:color w:val="auto"/>
          <w:kern w:val="0"/>
          <w:sz w:val="32"/>
          <w:szCs w:val="32"/>
          <w:highlight w:val="none"/>
          <w:shd w:val="clear" w:fill="FFFFFF"/>
        </w:rPr>
        <w:t>我单位对工业企业租购柴发补贴开展了绩效评价，涉及财政拨款项目资金</w:t>
      </w:r>
      <w:r>
        <w:rPr>
          <w:rFonts w:hint="default" w:ascii="Times New Roman" w:hAnsi="Times New Roman" w:eastAsia="方正仿宋_GBK" w:cs="Times New Roman"/>
          <w:color w:val="auto"/>
          <w:kern w:val="0"/>
          <w:sz w:val="32"/>
          <w:szCs w:val="32"/>
          <w:highlight w:val="none"/>
          <w:shd w:val="clear" w:fill="FFFFFF"/>
          <w:lang w:val="en-US" w:eastAsia="zh-CN"/>
        </w:rPr>
        <w:t>5.34</w:t>
      </w:r>
      <w:r>
        <w:rPr>
          <w:rFonts w:hint="default" w:ascii="Times New Roman" w:hAnsi="Times New Roman" w:eastAsia="方正仿宋_GBK" w:cs="Times New Roman"/>
          <w:color w:val="auto"/>
          <w:kern w:val="0"/>
          <w:sz w:val="32"/>
          <w:szCs w:val="32"/>
          <w:highlight w:val="none"/>
          <w:shd w:val="clear" w:fill="FFFFFF"/>
        </w:rPr>
        <w:t>万元，评价得分</w:t>
      </w:r>
      <w:r>
        <w:rPr>
          <w:rFonts w:hint="default" w:ascii="Times New Roman" w:hAnsi="Times New Roman" w:eastAsia="方正仿宋_GBK" w:cs="Times New Roman"/>
          <w:color w:val="auto"/>
          <w:kern w:val="0"/>
          <w:sz w:val="32"/>
          <w:szCs w:val="32"/>
          <w:highlight w:val="none"/>
          <w:shd w:val="clear" w:fill="FFFFFF"/>
          <w:lang w:val="en-US" w:eastAsia="zh-CN"/>
        </w:rPr>
        <w:t>100</w:t>
      </w:r>
      <w:r>
        <w:rPr>
          <w:rFonts w:hint="default" w:ascii="Times New Roman" w:hAnsi="Times New Roman" w:eastAsia="方正仿宋_GBK" w:cs="Times New Roman"/>
          <w:color w:val="auto"/>
          <w:kern w:val="0"/>
          <w:sz w:val="32"/>
          <w:szCs w:val="32"/>
          <w:highlight w:val="none"/>
          <w:shd w:val="clear" w:fill="FFFFFF"/>
        </w:rPr>
        <w:t>分，评价等次为</w:t>
      </w:r>
      <w:r>
        <w:rPr>
          <w:rFonts w:hint="default" w:ascii="Times New Roman" w:hAnsi="Times New Roman" w:eastAsia="方正仿宋_GBK" w:cs="Times New Roman"/>
          <w:color w:val="auto"/>
          <w:kern w:val="0"/>
          <w:sz w:val="32"/>
          <w:szCs w:val="32"/>
          <w:highlight w:val="none"/>
          <w:shd w:val="clear" w:fill="FFFFFF"/>
          <w:lang w:eastAsia="zh-CN"/>
        </w:rPr>
        <w:t>良好</w:t>
      </w:r>
      <w:r>
        <w:rPr>
          <w:rFonts w:hint="default" w:ascii="Times New Roman" w:hAnsi="Times New Roman" w:eastAsia="方正仿宋_GBK" w:cs="Times New Roman"/>
          <w:color w:val="auto"/>
          <w:kern w:val="0"/>
          <w:sz w:val="32"/>
          <w:szCs w:val="32"/>
          <w:highlight w:val="none"/>
          <w:shd w:val="clear" w:fill="FFFFFF"/>
        </w:rPr>
        <w:t>，绩效评价</w:t>
      </w:r>
      <w:r>
        <w:rPr>
          <w:rFonts w:hint="default" w:ascii="Times New Roman" w:hAnsi="Times New Roman" w:eastAsia="方正仿宋_GBK" w:cs="Times New Roman"/>
          <w:color w:val="auto"/>
          <w:kern w:val="0"/>
          <w:sz w:val="32"/>
          <w:szCs w:val="32"/>
          <w:highlight w:val="none"/>
          <w:shd w:val="clear" w:fill="FFFFFF"/>
          <w:lang w:eastAsia="zh-CN"/>
        </w:rPr>
        <w:t>未</w:t>
      </w:r>
      <w:r>
        <w:rPr>
          <w:rFonts w:hint="default" w:ascii="Times New Roman" w:hAnsi="Times New Roman" w:eastAsia="方正仿宋_GBK" w:cs="Times New Roman"/>
          <w:color w:val="auto"/>
          <w:kern w:val="0"/>
          <w:sz w:val="32"/>
          <w:szCs w:val="32"/>
          <w:highlight w:val="none"/>
          <w:shd w:val="clear" w:fill="FFFFFF"/>
        </w:rPr>
        <w:t>发现</w:t>
      </w:r>
      <w:r>
        <w:rPr>
          <w:rFonts w:hint="default" w:ascii="Times New Roman" w:hAnsi="Times New Roman" w:eastAsia="方正仿宋_GBK" w:cs="Times New Roman"/>
          <w:color w:val="auto"/>
          <w:kern w:val="0"/>
          <w:sz w:val="32"/>
          <w:szCs w:val="32"/>
          <w:highlight w:val="none"/>
          <w:shd w:val="clear" w:fill="FFFFFF"/>
          <w:lang w:eastAsia="zh-CN"/>
        </w:rPr>
        <w:t>问题</w:t>
      </w:r>
      <w:r>
        <w:rPr>
          <w:rFonts w:hint="default" w:ascii="Times New Roman" w:hAnsi="Times New Roman" w:eastAsia="方正仿宋_GBK" w:cs="Times New Roman"/>
          <w:color w:val="auto"/>
          <w:kern w:val="0"/>
          <w:sz w:val="32"/>
          <w:szCs w:val="32"/>
          <w:highlight w:val="none"/>
          <w:shd w:val="clear" w:fill="FFFFFF"/>
        </w:rPr>
        <w:t>；</w:t>
      </w:r>
      <w:r>
        <w:rPr>
          <w:rFonts w:hint="default" w:ascii="Times New Roman" w:hAnsi="Times New Roman" w:eastAsia="方正仿宋_GBK" w:cs="Times New Roman"/>
          <w:color w:val="auto"/>
          <w:kern w:val="0"/>
          <w:sz w:val="32"/>
          <w:szCs w:val="32"/>
          <w:highlight w:val="none"/>
          <w:shd w:val="clear" w:fill="FFFFFF"/>
          <w:lang w:eastAsia="zh-CN"/>
        </w:rPr>
        <w:t>对城口老腊肉数字赋能建设项目</w:t>
      </w:r>
      <w:r>
        <w:rPr>
          <w:rFonts w:hint="default" w:ascii="Times New Roman" w:hAnsi="Times New Roman" w:eastAsia="方正仿宋_GBK" w:cs="Times New Roman"/>
          <w:color w:val="auto"/>
          <w:kern w:val="0"/>
          <w:sz w:val="32"/>
          <w:szCs w:val="32"/>
          <w:highlight w:val="none"/>
          <w:shd w:val="clear" w:fill="FFFFFF"/>
        </w:rPr>
        <w:t>开展了绩效评价，涉及财政拨款项目资金</w:t>
      </w:r>
      <w:r>
        <w:rPr>
          <w:rFonts w:hint="default" w:ascii="Times New Roman" w:hAnsi="Times New Roman" w:eastAsia="方正仿宋_GBK" w:cs="Times New Roman"/>
          <w:color w:val="auto"/>
          <w:kern w:val="0"/>
          <w:sz w:val="32"/>
          <w:szCs w:val="32"/>
          <w:highlight w:val="none"/>
          <w:shd w:val="clear" w:fill="FFFFFF"/>
          <w:lang w:val="en-US" w:eastAsia="zh-CN"/>
        </w:rPr>
        <w:t>300</w:t>
      </w:r>
      <w:r>
        <w:rPr>
          <w:rFonts w:hint="default" w:ascii="Times New Roman" w:hAnsi="Times New Roman" w:eastAsia="方正仿宋_GBK" w:cs="Times New Roman"/>
          <w:color w:val="auto"/>
          <w:kern w:val="0"/>
          <w:sz w:val="32"/>
          <w:szCs w:val="32"/>
          <w:highlight w:val="none"/>
          <w:shd w:val="clear" w:fill="FFFFFF"/>
        </w:rPr>
        <w:t>万元，评价得分</w:t>
      </w:r>
      <w:r>
        <w:rPr>
          <w:rFonts w:hint="default" w:ascii="Times New Roman" w:hAnsi="Times New Roman" w:eastAsia="方正仿宋_GBK" w:cs="Times New Roman"/>
          <w:color w:val="auto"/>
          <w:kern w:val="0"/>
          <w:sz w:val="32"/>
          <w:szCs w:val="32"/>
          <w:highlight w:val="none"/>
          <w:shd w:val="clear" w:fill="FFFFFF"/>
          <w:lang w:val="en-US" w:eastAsia="zh-CN"/>
        </w:rPr>
        <w:t>100</w:t>
      </w:r>
      <w:r>
        <w:rPr>
          <w:rFonts w:hint="default" w:ascii="Times New Roman" w:hAnsi="Times New Roman" w:eastAsia="方正仿宋_GBK" w:cs="Times New Roman"/>
          <w:color w:val="auto"/>
          <w:kern w:val="0"/>
          <w:sz w:val="32"/>
          <w:szCs w:val="32"/>
          <w:highlight w:val="none"/>
          <w:shd w:val="clear" w:fill="FFFFFF"/>
        </w:rPr>
        <w:t>分，评价等次为</w:t>
      </w:r>
      <w:r>
        <w:rPr>
          <w:rFonts w:hint="default" w:ascii="Times New Roman" w:hAnsi="Times New Roman" w:eastAsia="方正仿宋_GBK" w:cs="Times New Roman"/>
          <w:color w:val="auto"/>
          <w:kern w:val="0"/>
          <w:sz w:val="32"/>
          <w:szCs w:val="32"/>
          <w:highlight w:val="none"/>
          <w:shd w:val="clear" w:fill="FFFFFF"/>
          <w:lang w:eastAsia="zh-CN"/>
        </w:rPr>
        <w:t>良好</w:t>
      </w:r>
      <w:r>
        <w:rPr>
          <w:rFonts w:hint="default" w:ascii="Times New Roman" w:hAnsi="Times New Roman" w:eastAsia="方正仿宋_GBK" w:cs="Times New Roman"/>
          <w:color w:val="auto"/>
          <w:kern w:val="0"/>
          <w:sz w:val="32"/>
          <w:szCs w:val="32"/>
          <w:highlight w:val="none"/>
          <w:shd w:val="clear" w:fill="FFFFFF"/>
        </w:rPr>
        <w:t>，绩效评价</w:t>
      </w:r>
      <w:r>
        <w:rPr>
          <w:rFonts w:hint="default" w:ascii="Times New Roman" w:hAnsi="Times New Roman" w:eastAsia="方正仿宋_GBK" w:cs="Times New Roman"/>
          <w:color w:val="auto"/>
          <w:kern w:val="0"/>
          <w:sz w:val="32"/>
          <w:szCs w:val="32"/>
          <w:highlight w:val="none"/>
          <w:shd w:val="clear" w:fill="FFFFFF"/>
          <w:lang w:eastAsia="zh-CN"/>
        </w:rPr>
        <w:t>未</w:t>
      </w:r>
      <w:r>
        <w:rPr>
          <w:rFonts w:hint="default" w:ascii="Times New Roman" w:hAnsi="Times New Roman" w:eastAsia="方正仿宋_GBK" w:cs="Times New Roman"/>
          <w:color w:val="auto"/>
          <w:kern w:val="0"/>
          <w:sz w:val="32"/>
          <w:szCs w:val="32"/>
          <w:highlight w:val="none"/>
          <w:shd w:val="clear" w:fill="FFFFFF"/>
        </w:rPr>
        <w:t>发现</w:t>
      </w:r>
      <w:r>
        <w:rPr>
          <w:rFonts w:hint="default" w:ascii="Times New Roman" w:hAnsi="Times New Roman" w:eastAsia="方正仿宋_GBK" w:cs="Times New Roman"/>
          <w:color w:val="auto"/>
          <w:kern w:val="0"/>
          <w:sz w:val="32"/>
          <w:szCs w:val="32"/>
          <w:highlight w:val="none"/>
          <w:shd w:val="clear" w:fill="FFFFFF"/>
          <w:lang w:eastAsia="zh-CN"/>
        </w:rPr>
        <w:t>问题</w:t>
      </w:r>
      <w:r>
        <w:rPr>
          <w:rFonts w:hint="default" w:ascii="Times New Roman" w:hAnsi="Times New Roman" w:eastAsia="方正仿宋_GBK" w:cs="Times New Roman"/>
          <w:color w:val="auto"/>
          <w:kern w:val="0"/>
          <w:sz w:val="32"/>
          <w:szCs w:val="32"/>
          <w:highlight w:val="none"/>
          <w:shd w:val="clear" w:fill="FFFFFF"/>
        </w:rPr>
        <w:t>；</w:t>
      </w:r>
      <w:r>
        <w:rPr>
          <w:rFonts w:hint="default" w:ascii="Times New Roman" w:hAnsi="Times New Roman" w:eastAsia="方正仿宋_GBK" w:cs="Times New Roman"/>
          <w:color w:val="auto"/>
          <w:kern w:val="0"/>
          <w:sz w:val="32"/>
          <w:szCs w:val="32"/>
          <w:highlight w:val="none"/>
          <w:shd w:val="clear" w:fill="FFFFFF"/>
          <w:lang w:eastAsia="zh-CN"/>
        </w:rPr>
        <w:t>对2024年第二批市工业和信息化专项资金</w:t>
      </w:r>
      <w:r>
        <w:rPr>
          <w:rFonts w:hint="default" w:ascii="Times New Roman" w:hAnsi="Times New Roman" w:eastAsia="方正仿宋_GBK" w:cs="Times New Roman"/>
          <w:color w:val="auto"/>
          <w:kern w:val="0"/>
          <w:sz w:val="32"/>
          <w:szCs w:val="32"/>
          <w:highlight w:val="none"/>
          <w:shd w:val="clear" w:fill="FFFFFF"/>
        </w:rPr>
        <w:t>开展了绩效评价，涉及财政拨款项目资金</w:t>
      </w:r>
      <w:r>
        <w:rPr>
          <w:rFonts w:hint="default" w:ascii="Times New Roman" w:hAnsi="Times New Roman" w:eastAsia="方正仿宋_GBK" w:cs="Times New Roman"/>
          <w:color w:val="auto"/>
          <w:kern w:val="0"/>
          <w:sz w:val="32"/>
          <w:szCs w:val="32"/>
          <w:highlight w:val="none"/>
          <w:shd w:val="clear" w:fill="FFFFFF"/>
          <w:lang w:val="en-US" w:eastAsia="zh-CN"/>
        </w:rPr>
        <w:t>24.9</w:t>
      </w:r>
      <w:r>
        <w:rPr>
          <w:rFonts w:hint="default" w:ascii="Times New Roman" w:hAnsi="Times New Roman" w:eastAsia="方正仿宋_GBK" w:cs="Times New Roman"/>
          <w:color w:val="auto"/>
          <w:kern w:val="0"/>
          <w:sz w:val="32"/>
          <w:szCs w:val="32"/>
          <w:highlight w:val="none"/>
          <w:shd w:val="clear" w:fill="FFFFFF"/>
        </w:rPr>
        <w:t>万元，评价得分</w:t>
      </w:r>
      <w:r>
        <w:rPr>
          <w:rFonts w:hint="default" w:ascii="Times New Roman" w:hAnsi="Times New Roman" w:eastAsia="方正仿宋_GBK" w:cs="Times New Roman"/>
          <w:color w:val="auto"/>
          <w:kern w:val="0"/>
          <w:sz w:val="32"/>
          <w:szCs w:val="32"/>
          <w:highlight w:val="none"/>
          <w:shd w:val="clear" w:fill="FFFFFF"/>
          <w:lang w:val="en-US" w:eastAsia="zh-CN"/>
        </w:rPr>
        <w:t>100</w:t>
      </w:r>
      <w:r>
        <w:rPr>
          <w:rFonts w:hint="default" w:ascii="Times New Roman" w:hAnsi="Times New Roman" w:eastAsia="方正仿宋_GBK" w:cs="Times New Roman"/>
          <w:color w:val="auto"/>
          <w:kern w:val="0"/>
          <w:sz w:val="32"/>
          <w:szCs w:val="32"/>
          <w:highlight w:val="none"/>
          <w:shd w:val="clear" w:fill="FFFFFF"/>
        </w:rPr>
        <w:t>分，评价等次为</w:t>
      </w:r>
      <w:r>
        <w:rPr>
          <w:rFonts w:hint="default" w:ascii="Times New Roman" w:hAnsi="Times New Roman" w:eastAsia="方正仿宋_GBK" w:cs="Times New Roman"/>
          <w:color w:val="auto"/>
          <w:kern w:val="0"/>
          <w:sz w:val="32"/>
          <w:szCs w:val="32"/>
          <w:highlight w:val="none"/>
          <w:shd w:val="clear" w:fill="FFFFFF"/>
          <w:lang w:eastAsia="zh-CN"/>
        </w:rPr>
        <w:t>良好</w:t>
      </w:r>
      <w:r>
        <w:rPr>
          <w:rFonts w:hint="default" w:ascii="Times New Roman" w:hAnsi="Times New Roman" w:eastAsia="方正仿宋_GBK" w:cs="Times New Roman"/>
          <w:color w:val="auto"/>
          <w:kern w:val="0"/>
          <w:sz w:val="32"/>
          <w:szCs w:val="32"/>
          <w:highlight w:val="none"/>
          <w:shd w:val="clear" w:fill="FFFFFF"/>
        </w:rPr>
        <w:t>，绩效评价</w:t>
      </w:r>
      <w:r>
        <w:rPr>
          <w:rFonts w:hint="default" w:ascii="Times New Roman" w:hAnsi="Times New Roman" w:eastAsia="方正仿宋_GBK" w:cs="Times New Roman"/>
          <w:color w:val="auto"/>
          <w:kern w:val="0"/>
          <w:sz w:val="32"/>
          <w:szCs w:val="32"/>
          <w:highlight w:val="none"/>
          <w:shd w:val="clear" w:fill="FFFFFF"/>
          <w:lang w:eastAsia="zh-CN"/>
        </w:rPr>
        <w:t>未</w:t>
      </w:r>
      <w:r>
        <w:rPr>
          <w:rFonts w:hint="default" w:ascii="Times New Roman" w:hAnsi="Times New Roman" w:eastAsia="方正仿宋_GBK" w:cs="Times New Roman"/>
          <w:color w:val="auto"/>
          <w:kern w:val="0"/>
          <w:sz w:val="32"/>
          <w:szCs w:val="32"/>
          <w:highlight w:val="none"/>
          <w:shd w:val="clear" w:fill="FFFFFF"/>
        </w:rPr>
        <w:t>发现</w:t>
      </w:r>
      <w:r>
        <w:rPr>
          <w:rFonts w:hint="default" w:ascii="Times New Roman" w:hAnsi="Times New Roman" w:eastAsia="方正仿宋_GBK" w:cs="Times New Roman"/>
          <w:color w:val="auto"/>
          <w:kern w:val="0"/>
          <w:sz w:val="32"/>
          <w:szCs w:val="32"/>
          <w:highlight w:val="none"/>
          <w:shd w:val="clear" w:fill="FFFFFF"/>
          <w:lang w:eastAsia="zh-CN"/>
        </w:rPr>
        <w:t>问题</w:t>
      </w:r>
      <w:r>
        <w:rPr>
          <w:rFonts w:hint="default" w:ascii="Times New Roman" w:hAnsi="Times New Roman" w:eastAsia="方正仿宋_GBK" w:cs="Times New Roman"/>
          <w:color w:val="auto"/>
          <w:kern w:val="0"/>
          <w:sz w:val="32"/>
          <w:szCs w:val="32"/>
          <w:highlight w:val="none"/>
          <w:shd w:val="clear" w:fill="FFFFFF"/>
        </w:rPr>
        <w:t>；</w:t>
      </w:r>
      <w:r>
        <w:rPr>
          <w:rFonts w:hint="default" w:ascii="Times New Roman" w:hAnsi="Times New Roman" w:eastAsia="方正仿宋_GBK" w:cs="Times New Roman"/>
          <w:color w:val="auto"/>
          <w:kern w:val="0"/>
          <w:sz w:val="32"/>
          <w:szCs w:val="32"/>
          <w:highlight w:val="none"/>
          <w:shd w:val="clear" w:fill="FFFFFF"/>
          <w:lang w:eastAsia="zh-CN"/>
        </w:rPr>
        <w:t>对2023年“三区”科技人才支持计划专项</w:t>
      </w:r>
      <w:r>
        <w:rPr>
          <w:rFonts w:hint="default" w:ascii="Times New Roman" w:hAnsi="Times New Roman" w:eastAsia="方正仿宋_GBK" w:cs="Times New Roman"/>
          <w:color w:val="auto"/>
          <w:kern w:val="0"/>
          <w:sz w:val="32"/>
          <w:szCs w:val="32"/>
          <w:highlight w:val="none"/>
          <w:shd w:val="clear" w:fill="FFFFFF"/>
        </w:rPr>
        <w:t>开展了绩效评价，涉及财政拨款项目资金</w:t>
      </w:r>
      <w:r>
        <w:rPr>
          <w:rFonts w:hint="default" w:ascii="Times New Roman" w:hAnsi="Times New Roman" w:eastAsia="方正仿宋_GBK" w:cs="Times New Roman"/>
          <w:color w:val="auto"/>
          <w:kern w:val="0"/>
          <w:sz w:val="32"/>
          <w:szCs w:val="32"/>
          <w:highlight w:val="none"/>
          <w:shd w:val="clear" w:fill="FFFFFF"/>
          <w:lang w:val="en-US" w:eastAsia="zh-CN"/>
        </w:rPr>
        <w:t>40</w:t>
      </w:r>
      <w:r>
        <w:rPr>
          <w:rFonts w:hint="default" w:ascii="Times New Roman" w:hAnsi="Times New Roman" w:eastAsia="方正仿宋_GBK" w:cs="Times New Roman"/>
          <w:color w:val="auto"/>
          <w:kern w:val="0"/>
          <w:sz w:val="32"/>
          <w:szCs w:val="32"/>
          <w:highlight w:val="none"/>
          <w:shd w:val="clear" w:fill="FFFFFF"/>
        </w:rPr>
        <w:t>万元，评价得分</w:t>
      </w:r>
      <w:r>
        <w:rPr>
          <w:rFonts w:hint="default" w:ascii="Times New Roman" w:hAnsi="Times New Roman" w:eastAsia="方正仿宋_GBK" w:cs="Times New Roman"/>
          <w:color w:val="auto"/>
          <w:kern w:val="0"/>
          <w:sz w:val="32"/>
          <w:szCs w:val="32"/>
          <w:highlight w:val="none"/>
          <w:shd w:val="clear" w:fill="FFFFFF"/>
          <w:lang w:val="en-US" w:eastAsia="zh-CN"/>
        </w:rPr>
        <w:t>100</w:t>
      </w:r>
      <w:r>
        <w:rPr>
          <w:rFonts w:hint="default" w:ascii="Times New Roman" w:hAnsi="Times New Roman" w:eastAsia="方正仿宋_GBK" w:cs="Times New Roman"/>
          <w:color w:val="auto"/>
          <w:kern w:val="0"/>
          <w:sz w:val="32"/>
          <w:szCs w:val="32"/>
          <w:highlight w:val="none"/>
          <w:shd w:val="clear" w:fill="FFFFFF"/>
        </w:rPr>
        <w:t>分，评价等次为</w:t>
      </w:r>
      <w:r>
        <w:rPr>
          <w:rFonts w:hint="default" w:ascii="Times New Roman" w:hAnsi="Times New Roman" w:eastAsia="方正仿宋_GBK" w:cs="Times New Roman"/>
          <w:color w:val="auto"/>
          <w:kern w:val="0"/>
          <w:sz w:val="32"/>
          <w:szCs w:val="32"/>
          <w:highlight w:val="none"/>
          <w:shd w:val="clear" w:fill="FFFFFF"/>
          <w:lang w:eastAsia="zh-CN"/>
        </w:rPr>
        <w:t>良好</w:t>
      </w:r>
      <w:r>
        <w:rPr>
          <w:rFonts w:hint="default" w:ascii="Times New Roman" w:hAnsi="Times New Roman" w:eastAsia="方正仿宋_GBK" w:cs="Times New Roman"/>
          <w:color w:val="auto"/>
          <w:kern w:val="0"/>
          <w:sz w:val="32"/>
          <w:szCs w:val="32"/>
          <w:highlight w:val="none"/>
          <w:shd w:val="clear" w:fill="FFFFFF"/>
        </w:rPr>
        <w:t>，绩效评价</w:t>
      </w:r>
      <w:r>
        <w:rPr>
          <w:rFonts w:hint="default" w:ascii="Times New Roman" w:hAnsi="Times New Roman" w:eastAsia="方正仿宋_GBK" w:cs="Times New Roman"/>
          <w:color w:val="auto"/>
          <w:kern w:val="0"/>
          <w:sz w:val="32"/>
          <w:szCs w:val="32"/>
          <w:highlight w:val="none"/>
          <w:shd w:val="clear" w:fill="FFFFFF"/>
          <w:lang w:eastAsia="zh-CN"/>
        </w:rPr>
        <w:t>未</w:t>
      </w:r>
      <w:r>
        <w:rPr>
          <w:rFonts w:hint="default" w:ascii="Times New Roman" w:hAnsi="Times New Roman" w:eastAsia="方正仿宋_GBK" w:cs="Times New Roman"/>
          <w:color w:val="auto"/>
          <w:kern w:val="0"/>
          <w:sz w:val="32"/>
          <w:szCs w:val="32"/>
          <w:highlight w:val="none"/>
          <w:shd w:val="clear" w:fill="FFFFFF"/>
        </w:rPr>
        <w:t>发现</w:t>
      </w:r>
      <w:r>
        <w:rPr>
          <w:rFonts w:hint="default" w:ascii="Times New Roman" w:hAnsi="Times New Roman" w:eastAsia="方正仿宋_GBK" w:cs="Times New Roman"/>
          <w:color w:val="auto"/>
          <w:kern w:val="0"/>
          <w:sz w:val="32"/>
          <w:szCs w:val="32"/>
          <w:highlight w:val="none"/>
          <w:shd w:val="clear" w:fill="FFFFFF"/>
          <w:lang w:eastAsia="zh-CN"/>
        </w:rPr>
        <w:t>问题</w:t>
      </w:r>
      <w:r>
        <w:rPr>
          <w:rFonts w:hint="default" w:ascii="Times New Roman" w:hAnsi="Times New Roman" w:eastAsia="方正仿宋_GBK" w:cs="Times New Roman"/>
          <w:color w:val="auto"/>
          <w:kern w:val="0"/>
          <w:sz w:val="32"/>
          <w:szCs w:val="32"/>
          <w:highlight w:val="none"/>
          <w:shd w:val="clear" w:fill="FFFFFF"/>
        </w:rPr>
        <w:t>；</w:t>
      </w:r>
      <w:r>
        <w:rPr>
          <w:rFonts w:hint="default" w:ascii="Times New Roman" w:hAnsi="Times New Roman" w:eastAsia="方正仿宋_GBK" w:cs="Times New Roman"/>
          <w:color w:val="auto"/>
          <w:kern w:val="0"/>
          <w:sz w:val="32"/>
          <w:szCs w:val="32"/>
          <w:highlight w:val="none"/>
          <w:shd w:val="clear" w:fill="FFFFFF"/>
          <w:lang w:eastAsia="zh-CN"/>
        </w:rPr>
        <w:t>对2024年原乡企非在编人员医疗补助</w:t>
      </w:r>
      <w:r>
        <w:rPr>
          <w:rFonts w:hint="default" w:ascii="Times New Roman" w:hAnsi="Times New Roman" w:eastAsia="方正仿宋_GBK" w:cs="Times New Roman"/>
          <w:color w:val="auto"/>
          <w:kern w:val="0"/>
          <w:sz w:val="32"/>
          <w:szCs w:val="32"/>
          <w:highlight w:val="none"/>
          <w:shd w:val="clear" w:fill="FFFFFF"/>
        </w:rPr>
        <w:t>开展了绩效评价，涉及财政拨款项目资金</w:t>
      </w:r>
      <w:r>
        <w:rPr>
          <w:rFonts w:hint="default" w:ascii="Times New Roman" w:hAnsi="Times New Roman" w:eastAsia="方正仿宋_GBK" w:cs="Times New Roman"/>
          <w:color w:val="auto"/>
          <w:kern w:val="0"/>
          <w:sz w:val="32"/>
          <w:szCs w:val="32"/>
          <w:highlight w:val="none"/>
          <w:shd w:val="clear" w:fill="FFFFFF"/>
          <w:lang w:val="en-US" w:eastAsia="zh-CN"/>
        </w:rPr>
        <w:t>7.8</w:t>
      </w:r>
      <w:r>
        <w:rPr>
          <w:rFonts w:hint="default" w:ascii="Times New Roman" w:hAnsi="Times New Roman" w:eastAsia="方正仿宋_GBK" w:cs="Times New Roman"/>
          <w:color w:val="auto"/>
          <w:kern w:val="0"/>
          <w:sz w:val="32"/>
          <w:szCs w:val="32"/>
          <w:highlight w:val="none"/>
          <w:shd w:val="clear" w:fill="FFFFFF"/>
        </w:rPr>
        <w:t>万元，评价得分</w:t>
      </w:r>
      <w:r>
        <w:rPr>
          <w:rFonts w:hint="default" w:ascii="Times New Roman" w:hAnsi="Times New Roman" w:eastAsia="方正仿宋_GBK" w:cs="Times New Roman"/>
          <w:color w:val="auto"/>
          <w:kern w:val="0"/>
          <w:sz w:val="32"/>
          <w:szCs w:val="32"/>
          <w:highlight w:val="none"/>
          <w:shd w:val="clear" w:fill="FFFFFF"/>
          <w:lang w:val="en-US" w:eastAsia="zh-CN"/>
        </w:rPr>
        <w:t>100</w:t>
      </w:r>
      <w:r>
        <w:rPr>
          <w:rFonts w:hint="default" w:ascii="Times New Roman" w:hAnsi="Times New Roman" w:eastAsia="方正仿宋_GBK" w:cs="Times New Roman"/>
          <w:color w:val="auto"/>
          <w:kern w:val="0"/>
          <w:sz w:val="32"/>
          <w:szCs w:val="32"/>
          <w:highlight w:val="none"/>
          <w:shd w:val="clear" w:fill="FFFFFF"/>
        </w:rPr>
        <w:t>分，评价等次为</w:t>
      </w:r>
      <w:r>
        <w:rPr>
          <w:rFonts w:hint="default" w:ascii="Times New Roman" w:hAnsi="Times New Roman" w:eastAsia="方正仿宋_GBK" w:cs="Times New Roman"/>
          <w:color w:val="auto"/>
          <w:kern w:val="0"/>
          <w:sz w:val="32"/>
          <w:szCs w:val="32"/>
          <w:highlight w:val="none"/>
          <w:shd w:val="clear" w:fill="FFFFFF"/>
          <w:lang w:eastAsia="zh-CN"/>
        </w:rPr>
        <w:t>良好</w:t>
      </w:r>
      <w:r>
        <w:rPr>
          <w:rFonts w:hint="default" w:ascii="Times New Roman" w:hAnsi="Times New Roman" w:eastAsia="方正仿宋_GBK" w:cs="Times New Roman"/>
          <w:color w:val="auto"/>
          <w:kern w:val="0"/>
          <w:sz w:val="32"/>
          <w:szCs w:val="32"/>
          <w:highlight w:val="none"/>
          <w:shd w:val="clear" w:fill="FFFFFF"/>
        </w:rPr>
        <w:t>，绩效评价</w:t>
      </w:r>
      <w:r>
        <w:rPr>
          <w:rFonts w:hint="default" w:ascii="Times New Roman" w:hAnsi="Times New Roman" w:eastAsia="方正仿宋_GBK" w:cs="Times New Roman"/>
          <w:color w:val="auto"/>
          <w:kern w:val="0"/>
          <w:sz w:val="32"/>
          <w:szCs w:val="32"/>
          <w:highlight w:val="none"/>
          <w:shd w:val="clear" w:fill="FFFFFF"/>
          <w:lang w:eastAsia="zh-CN"/>
        </w:rPr>
        <w:t>未</w:t>
      </w:r>
      <w:r>
        <w:rPr>
          <w:rFonts w:hint="default" w:ascii="Times New Roman" w:hAnsi="Times New Roman" w:eastAsia="方正仿宋_GBK" w:cs="Times New Roman"/>
          <w:color w:val="auto"/>
          <w:kern w:val="0"/>
          <w:sz w:val="32"/>
          <w:szCs w:val="32"/>
          <w:highlight w:val="none"/>
          <w:shd w:val="clear" w:fill="FFFFFF"/>
        </w:rPr>
        <w:t>发现</w:t>
      </w:r>
      <w:r>
        <w:rPr>
          <w:rFonts w:hint="default" w:ascii="Times New Roman" w:hAnsi="Times New Roman" w:eastAsia="方正仿宋_GBK" w:cs="Times New Roman"/>
          <w:color w:val="auto"/>
          <w:kern w:val="0"/>
          <w:sz w:val="32"/>
          <w:szCs w:val="32"/>
          <w:highlight w:val="none"/>
          <w:shd w:val="clear" w:fill="FFFFFF"/>
          <w:lang w:eastAsia="zh-CN"/>
        </w:rPr>
        <w:t>问题</w:t>
      </w:r>
      <w:r>
        <w:rPr>
          <w:rFonts w:hint="default" w:ascii="Times New Roman" w:hAnsi="Times New Roman" w:eastAsia="方正仿宋_GBK" w:cs="Times New Roman"/>
          <w:color w:val="auto"/>
          <w:kern w:val="0"/>
          <w:sz w:val="32"/>
          <w:szCs w:val="32"/>
          <w:highlight w:val="none"/>
          <w:shd w:val="clear" w:fill="FFFFFF"/>
        </w:rPr>
        <w:t>；</w:t>
      </w:r>
      <w:r>
        <w:rPr>
          <w:rFonts w:hint="default" w:ascii="Times New Roman" w:hAnsi="Times New Roman" w:eastAsia="方正仿宋_GBK" w:cs="Times New Roman"/>
          <w:color w:val="auto"/>
          <w:kern w:val="0"/>
          <w:sz w:val="32"/>
          <w:szCs w:val="32"/>
          <w:highlight w:val="none"/>
          <w:shd w:val="clear" w:fill="FFFFFF"/>
          <w:lang w:eastAsia="zh-CN"/>
        </w:rPr>
        <w:t>对</w:t>
      </w:r>
      <w:r>
        <w:rPr>
          <w:rFonts w:hint="default" w:ascii="Times New Roman" w:hAnsi="Times New Roman" w:eastAsia="方正仿宋_GBK" w:cs="Times New Roman"/>
          <w:color w:val="auto"/>
          <w:kern w:val="0"/>
          <w:sz w:val="32"/>
          <w:szCs w:val="32"/>
          <w:highlight w:val="none"/>
          <w:shd w:val="clear" w:fill="FFFFFF"/>
        </w:rPr>
        <w:t>第二批2024年驻外招商工作经费开展了绩效评价，涉及财政拨款项目资金</w:t>
      </w:r>
      <w:r>
        <w:rPr>
          <w:rFonts w:hint="default" w:ascii="Times New Roman" w:hAnsi="Times New Roman" w:eastAsia="方正仿宋_GBK" w:cs="Times New Roman"/>
          <w:color w:val="auto"/>
          <w:kern w:val="0"/>
          <w:sz w:val="32"/>
          <w:szCs w:val="32"/>
          <w:highlight w:val="none"/>
          <w:shd w:val="clear" w:fill="FFFFFF"/>
          <w:lang w:val="en-US" w:eastAsia="zh-CN"/>
        </w:rPr>
        <w:t>30</w:t>
      </w:r>
      <w:r>
        <w:rPr>
          <w:rFonts w:hint="default" w:ascii="Times New Roman" w:hAnsi="Times New Roman" w:eastAsia="方正仿宋_GBK" w:cs="Times New Roman"/>
          <w:color w:val="auto"/>
          <w:kern w:val="0"/>
          <w:sz w:val="32"/>
          <w:szCs w:val="32"/>
          <w:highlight w:val="none"/>
          <w:shd w:val="clear" w:fill="FFFFFF"/>
        </w:rPr>
        <w:t>万元，评价得分</w:t>
      </w:r>
      <w:r>
        <w:rPr>
          <w:rFonts w:hint="default" w:ascii="Times New Roman" w:hAnsi="Times New Roman" w:eastAsia="方正仿宋_GBK" w:cs="Times New Roman"/>
          <w:color w:val="auto"/>
          <w:kern w:val="0"/>
          <w:sz w:val="32"/>
          <w:szCs w:val="32"/>
          <w:highlight w:val="none"/>
          <w:shd w:val="clear" w:fill="FFFFFF"/>
          <w:lang w:val="en-US" w:eastAsia="zh-CN"/>
        </w:rPr>
        <w:t>100</w:t>
      </w:r>
      <w:r>
        <w:rPr>
          <w:rFonts w:hint="default" w:ascii="Times New Roman" w:hAnsi="Times New Roman" w:eastAsia="方正仿宋_GBK" w:cs="Times New Roman"/>
          <w:color w:val="auto"/>
          <w:kern w:val="0"/>
          <w:sz w:val="32"/>
          <w:szCs w:val="32"/>
          <w:highlight w:val="none"/>
          <w:shd w:val="clear" w:fill="FFFFFF"/>
        </w:rPr>
        <w:t>分，评价等次为</w:t>
      </w:r>
      <w:r>
        <w:rPr>
          <w:rFonts w:hint="default" w:ascii="Times New Roman" w:hAnsi="Times New Roman" w:eastAsia="方正仿宋_GBK" w:cs="Times New Roman"/>
          <w:color w:val="auto"/>
          <w:kern w:val="0"/>
          <w:sz w:val="32"/>
          <w:szCs w:val="32"/>
          <w:highlight w:val="none"/>
          <w:shd w:val="clear" w:fill="FFFFFF"/>
          <w:lang w:eastAsia="zh-CN"/>
        </w:rPr>
        <w:t>良好</w:t>
      </w:r>
      <w:r>
        <w:rPr>
          <w:rFonts w:hint="default" w:ascii="Times New Roman" w:hAnsi="Times New Roman" w:eastAsia="方正仿宋_GBK" w:cs="Times New Roman"/>
          <w:color w:val="auto"/>
          <w:kern w:val="0"/>
          <w:sz w:val="32"/>
          <w:szCs w:val="32"/>
          <w:highlight w:val="none"/>
          <w:shd w:val="clear" w:fill="FFFFFF"/>
        </w:rPr>
        <w:t>，绩效评价</w:t>
      </w:r>
      <w:r>
        <w:rPr>
          <w:rFonts w:hint="default" w:ascii="Times New Roman" w:hAnsi="Times New Roman" w:eastAsia="方正仿宋_GBK" w:cs="Times New Roman"/>
          <w:color w:val="auto"/>
          <w:kern w:val="0"/>
          <w:sz w:val="32"/>
          <w:szCs w:val="32"/>
          <w:highlight w:val="none"/>
          <w:shd w:val="clear" w:fill="FFFFFF"/>
          <w:lang w:eastAsia="zh-CN"/>
        </w:rPr>
        <w:t>未</w:t>
      </w:r>
      <w:r>
        <w:rPr>
          <w:rFonts w:hint="default" w:ascii="Times New Roman" w:hAnsi="Times New Roman" w:eastAsia="方正仿宋_GBK" w:cs="Times New Roman"/>
          <w:color w:val="auto"/>
          <w:kern w:val="0"/>
          <w:sz w:val="32"/>
          <w:szCs w:val="32"/>
          <w:highlight w:val="none"/>
          <w:shd w:val="clear" w:fill="FFFFFF"/>
        </w:rPr>
        <w:t>发现</w:t>
      </w:r>
      <w:r>
        <w:rPr>
          <w:rFonts w:hint="default" w:ascii="Times New Roman" w:hAnsi="Times New Roman" w:eastAsia="方正仿宋_GBK" w:cs="Times New Roman"/>
          <w:color w:val="auto"/>
          <w:kern w:val="0"/>
          <w:sz w:val="32"/>
          <w:szCs w:val="32"/>
          <w:highlight w:val="none"/>
          <w:shd w:val="clear" w:fill="FFFFFF"/>
          <w:lang w:eastAsia="zh-CN"/>
        </w:rPr>
        <w:t>问题</w:t>
      </w:r>
      <w:r>
        <w:rPr>
          <w:rFonts w:hint="default" w:ascii="Times New Roman" w:hAnsi="Times New Roman" w:eastAsia="方正仿宋_GBK" w:cs="Times New Roman"/>
          <w:color w:val="auto"/>
          <w:kern w:val="0"/>
          <w:sz w:val="32"/>
          <w:szCs w:val="32"/>
          <w:highlight w:val="none"/>
          <w:shd w:val="clear" w:fill="FFFFFF"/>
        </w:rPr>
        <w:t>；对企业升规补助开展了绩效评价，涉及财政拨款项目资金</w:t>
      </w:r>
      <w:r>
        <w:rPr>
          <w:rFonts w:hint="default" w:ascii="Times New Roman" w:hAnsi="Times New Roman" w:eastAsia="方正仿宋_GBK" w:cs="Times New Roman"/>
          <w:color w:val="auto"/>
          <w:kern w:val="0"/>
          <w:sz w:val="32"/>
          <w:szCs w:val="32"/>
          <w:highlight w:val="none"/>
          <w:shd w:val="clear" w:fill="FFFFFF"/>
          <w:lang w:val="en-US" w:eastAsia="zh-CN"/>
        </w:rPr>
        <w:t>55</w:t>
      </w:r>
      <w:r>
        <w:rPr>
          <w:rFonts w:hint="default" w:ascii="Times New Roman" w:hAnsi="Times New Roman" w:eastAsia="方正仿宋_GBK" w:cs="Times New Roman"/>
          <w:color w:val="auto"/>
          <w:kern w:val="0"/>
          <w:sz w:val="32"/>
          <w:szCs w:val="32"/>
          <w:highlight w:val="none"/>
          <w:shd w:val="clear" w:fill="FFFFFF"/>
        </w:rPr>
        <w:t>万元，评价得分</w:t>
      </w:r>
      <w:r>
        <w:rPr>
          <w:rFonts w:hint="default" w:ascii="Times New Roman" w:hAnsi="Times New Roman" w:eastAsia="方正仿宋_GBK" w:cs="Times New Roman"/>
          <w:color w:val="auto"/>
          <w:kern w:val="0"/>
          <w:sz w:val="32"/>
          <w:szCs w:val="32"/>
          <w:highlight w:val="none"/>
          <w:shd w:val="clear" w:fill="FFFFFF"/>
          <w:lang w:val="en-US" w:eastAsia="zh-CN"/>
        </w:rPr>
        <w:t>98.91</w:t>
      </w:r>
      <w:r>
        <w:rPr>
          <w:rFonts w:hint="default" w:ascii="Times New Roman" w:hAnsi="Times New Roman" w:eastAsia="方正仿宋_GBK" w:cs="Times New Roman"/>
          <w:color w:val="auto"/>
          <w:kern w:val="0"/>
          <w:sz w:val="32"/>
          <w:szCs w:val="32"/>
          <w:highlight w:val="none"/>
          <w:shd w:val="clear" w:fill="FFFFFF"/>
        </w:rPr>
        <w:t>分，评价等次为</w:t>
      </w:r>
      <w:r>
        <w:rPr>
          <w:rFonts w:hint="default" w:ascii="Times New Roman" w:hAnsi="Times New Roman" w:eastAsia="方正仿宋_GBK" w:cs="Times New Roman"/>
          <w:color w:val="auto"/>
          <w:kern w:val="0"/>
          <w:sz w:val="32"/>
          <w:szCs w:val="32"/>
          <w:highlight w:val="none"/>
          <w:shd w:val="clear" w:fill="FFFFFF"/>
          <w:lang w:eastAsia="zh-CN"/>
        </w:rPr>
        <w:t>良好</w:t>
      </w:r>
      <w:r>
        <w:rPr>
          <w:rFonts w:hint="default" w:ascii="Times New Roman" w:hAnsi="Times New Roman" w:eastAsia="方正仿宋_GBK" w:cs="Times New Roman"/>
          <w:color w:val="auto"/>
          <w:kern w:val="0"/>
          <w:sz w:val="32"/>
          <w:szCs w:val="32"/>
          <w:highlight w:val="none"/>
          <w:shd w:val="clear" w:fill="FFFFFF"/>
        </w:rPr>
        <w:t>，绩效评价发现了</w:t>
      </w:r>
      <w:r>
        <w:rPr>
          <w:rFonts w:hint="default" w:ascii="Times New Roman" w:hAnsi="Times New Roman" w:eastAsia="方正仿宋_GBK" w:cs="Times New Roman"/>
          <w:color w:val="auto"/>
          <w:kern w:val="0"/>
          <w:sz w:val="32"/>
          <w:szCs w:val="32"/>
          <w:highlight w:val="none"/>
          <w:shd w:val="clear" w:fill="FFFFFF"/>
          <w:lang w:eastAsia="zh-CN"/>
        </w:rPr>
        <w:t>预算执行率未达到</w:t>
      </w:r>
      <w:r>
        <w:rPr>
          <w:rFonts w:hint="default" w:ascii="Times New Roman" w:hAnsi="Times New Roman" w:eastAsia="方正仿宋_GBK" w:cs="Times New Roman"/>
          <w:color w:val="auto"/>
          <w:kern w:val="0"/>
          <w:sz w:val="32"/>
          <w:szCs w:val="32"/>
          <w:highlight w:val="none"/>
          <w:shd w:val="clear" w:fill="FFFFFF"/>
          <w:lang w:val="en-US" w:eastAsia="zh-CN"/>
        </w:rPr>
        <w:t>100%的</w:t>
      </w:r>
      <w:r>
        <w:rPr>
          <w:rFonts w:hint="default" w:ascii="Times New Roman" w:hAnsi="Times New Roman" w:eastAsia="方正仿宋_GBK" w:cs="Times New Roman"/>
          <w:color w:val="auto"/>
          <w:kern w:val="0"/>
          <w:sz w:val="32"/>
          <w:szCs w:val="32"/>
          <w:highlight w:val="none"/>
          <w:shd w:val="clear" w:fill="FFFFFF"/>
        </w:rPr>
        <w:t>问题，下一步</w:t>
      </w:r>
      <w:r>
        <w:rPr>
          <w:rFonts w:hint="default" w:ascii="Times New Roman" w:hAnsi="Times New Roman" w:eastAsia="方正仿宋_GBK" w:cs="Times New Roman"/>
          <w:color w:val="auto"/>
          <w:kern w:val="0"/>
          <w:sz w:val="32"/>
          <w:szCs w:val="32"/>
          <w:highlight w:val="none"/>
          <w:shd w:val="clear" w:fill="FFFFFF"/>
          <w:lang w:eastAsia="zh-CN"/>
        </w:rPr>
        <w:t>加快项目实施进度，提高预算执行率</w:t>
      </w:r>
      <w:r>
        <w:rPr>
          <w:rFonts w:hint="default" w:ascii="Times New Roman" w:hAnsi="Times New Roman" w:eastAsia="方正仿宋_GBK" w:cs="Times New Roman"/>
          <w:color w:val="auto"/>
          <w:kern w:val="0"/>
          <w:sz w:val="32"/>
          <w:szCs w:val="32"/>
          <w:highlight w:val="none"/>
          <w:shd w:val="clear" w:fill="FFFFFF"/>
        </w:rPr>
        <w:t>。</w:t>
      </w:r>
    </w:p>
    <w:p>
      <w:pPr>
        <w:pStyle w:val="16"/>
        <w:keepNext w:val="0"/>
        <w:keepLines w:val="0"/>
        <w:pageBreakBefore w:val="0"/>
        <w:widowControl/>
        <w:kinsoku/>
        <w:wordWrap/>
        <w:overflowPunct/>
        <w:topLinePunct w:val="0"/>
        <w:autoSpaceDE w:val="0"/>
        <w:autoSpaceDN/>
        <w:bidi w:val="0"/>
        <w:adjustRightInd/>
        <w:snapToGrid/>
        <w:spacing w:after="0" w:afterAutospacing="0" w:line="579" w:lineRule="exact"/>
        <w:ind w:left="0" w:firstLine="640" w:firstLineChars="200"/>
        <w:jc w:val="both"/>
        <w:textAlignment w:val="auto"/>
        <w:rPr>
          <w:rFonts w:hint="default" w:ascii="Times New Roman" w:hAnsi="Times New Roman" w:eastAsia="方正楷体_GBK" w:cs="Times New Roman"/>
          <w:color w:val="auto"/>
          <w:kern w:val="0"/>
          <w:sz w:val="32"/>
          <w:szCs w:val="24"/>
          <w:highlight w:val="none"/>
          <w:lang w:val="en-US" w:eastAsia="zh-CN" w:bidi="ar-SA"/>
        </w:rPr>
      </w:pPr>
      <w:r>
        <w:rPr>
          <w:rFonts w:hint="default" w:ascii="Times New Roman" w:hAnsi="Times New Roman" w:eastAsia="方正楷体_GBK" w:cs="Times New Roman"/>
          <w:color w:val="auto"/>
          <w:kern w:val="0"/>
          <w:sz w:val="32"/>
          <w:szCs w:val="24"/>
          <w:highlight w:val="none"/>
          <w:lang w:val="en-US" w:eastAsia="zh-CN" w:bidi="ar-SA"/>
        </w:rPr>
        <w:t>（三）财政绩效评价情况</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shd w:val="clear" w:fill="FFFFFF"/>
        </w:rPr>
      </w:pPr>
      <w:r>
        <w:rPr>
          <w:rFonts w:hint="default" w:ascii="Times New Roman" w:hAnsi="Times New Roman" w:eastAsia="方正仿宋_GBK" w:cs="Times New Roman"/>
          <w:color w:val="auto"/>
          <w:kern w:val="0"/>
          <w:sz w:val="32"/>
          <w:szCs w:val="32"/>
          <w:highlight w:val="none"/>
          <w:shd w:val="clear" w:fill="FFFFFF"/>
        </w:rPr>
        <w:t>市财政局未委托第三方对我单位开展绩效评价。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（一）财政拨款收入：</w:t>
      </w:r>
      <w:r>
        <w:rPr>
          <w:rFonts w:hint="default" w:ascii="Times New Roman" w:hAnsi="Times New Roman" w:eastAsia="方正仿宋_GBK" w:cs="Times New Roman"/>
          <w:color w:val="auto"/>
          <w:kern w:val="0"/>
          <w:sz w:val="32"/>
          <w:szCs w:val="32"/>
          <w:highlight w:val="none"/>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（二）事业收入：</w:t>
      </w:r>
      <w:r>
        <w:rPr>
          <w:rFonts w:hint="default" w:ascii="Times New Roman" w:hAnsi="Times New Roman" w:eastAsia="方正仿宋_GBK" w:cs="Times New Roman"/>
          <w:color w:val="auto"/>
          <w:kern w:val="0"/>
          <w:sz w:val="32"/>
          <w:szCs w:val="32"/>
          <w:highlight w:val="none"/>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（三）经营收入：</w:t>
      </w:r>
      <w:r>
        <w:rPr>
          <w:rFonts w:hint="default" w:ascii="Times New Roman" w:hAnsi="Times New Roman" w:eastAsia="方正仿宋_GBK" w:cs="Times New Roman"/>
          <w:color w:val="auto"/>
          <w:kern w:val="0"/>
          <w:sz w:val="32"/>
          <w:szCs w:val="32"/>
          <w:highlight w:val="none"/>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（四）其他收入：</w:t>
      </w:r>
      <w:r>
        <w:rPr>
          <w:rFonts w:hint="default" w:ascii="Times New Roman" w:hAnsi="Times New Roman" w:eastAsia="方正仿宋_GBK" w:cs="Times New Roman"/>
          <w:color w:val="auto"/>
          <w:kern w:val="0"/>
          <w:sz w:val="32"/>
          <w:szCs w:val="32"/>
          <w:highlight w:val="none"/>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（五）使用非财政拨款结余（含专用结余）：</w:t>
      </w:r>
      <w:r>
        <w:rPr>
          <w:rFonts w:hint="default" w:ascii="Times New Roman" w:hAnsi="Times New Roman" w:eastAsia="方正仿宋_GBK" w:cs="Times New Roman"/>
          <w:color w:val="auto"/>
          <w:kern w:val="0"/>
          <w:sz w:val="32"/>
          <w:szCs w:val="32"/>
          <w:highlight w:val="none"/>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（六）年初结转和结余：</w:t>
      </w:r>
      <w:r>
        <w:rPr>
          <w:rFonts w:hint="default" w:ascii="Times New Roman" w:hAnsi="Times New Roman" w:eastAsia="方正仿宋_GBK" w:cs="Times New Roman"/>
          <w:color w:val="auto"/>
          <w:kern w:val="0"/>
          <w:sz w:val="32"/>
          <w:szCs w:val="32"/>
          <w:highlight w:val="none"/>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（七）结余分配：</w:t>
      </w:r>
      <w:r>
        <w:rPr>
          <w:rFonts w:hint="default" w:ascii="Times New Roman" w:hAnsi="Times New Roman" w:eastAsia="方正仿宋_GBK" w:cs="Times New Roman"/>
          <w:color w:val="auto"/>
          <w:kern w:val="0"/>
          <w:sz w:val="32"/>
          <w:szCs w:val="32"/>
          <w:highlight w:val="none"/>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（八）年末结转和结余：</w:t>
      </w:r>
      <w:r>
        <w:rPr>
          <w:rFonts w:hint="default" w:ascii="Times New Roman" w:hAnsi="Times New Roman" w:eastAsia="方正仿宋_GBK" w:cs="Times New Roman"/>
          <w:color w:val="auto"/>
          <w:kern w:val="0"/>
          <w:sz w:val="32"/>
          <w:szCs w:val="32"/>
          <w:highlight w:val="none"/>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（九）基本支出：</w:t>
      </w:r>
      <w:r>
        <w:rPr>
          <w:rFonts w:hint="default" w:ascii="Times New Roman" w:hAnsi="Times New Roman" w:eastAsia="方正仿宋_GBK" w:cs="Times New Roman"/>
          <w:color w:val="auto"/>
          <w:kern w:val="0"/>
          <w:sz w:val="32"/>
          <w:szCs w:val="32"/>
          <w:highlight w:val="none"/>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（十）项目支出：</w:t>
      </w:r>
      <w:r>
        <w:rPr>
          <w:rFonts w:hint="default" w:ascii="Times New Roman" w:hAnsi="Times New Roman" w:eastAsia="方正仿宋_GBK" w:cs="Times New Roman"/>
          <w:color w:val="auto"/>
          <w:kern w:val="0"/>
          <w:sz w:val="32"/>
          <w:szCs w:val="32"/>
          <w:highlight w:val="none"/>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（十一）经营支出：</w:t>
      </w:r>
      <w:r>
        <w:rPr>
          <w:rFonts w:hint="default" w:ascii="Times New Roman" w:hAnsi="Times New Roman" w:eastAsia="方正仿宋_GBK" w:cs="Times New Roman"/>
          <w:color w:val="auto"/>
          <w:kern w:val="0"/>
          <w:sz w:val="32"/>
          <w:szCs w:val="32"/>
          <w:highlight w:val="none"/>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（十二）“三公”经费：</w:t>
      </w:r>
      <w:r>
        <w:rPr>
          <w:rFonts w:hint="default" w:ascii="Times New Roman" w:hAnsi="Times New Roman" w:eastAsia="方正仿宋_GBK" w:cs="Times New Roman"/>
          <w:color w:val="auto"/>
          <w:kern w:val="0"/>
          <w:sz w:val="32"/>
          <w:szCs w:val="32"/>
          <w:highlight w:val="none"/>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（十三）机关运行经费：</w:t>
      </w:r>
      <w:r>
        <w:rPr>
          <w:rFonts w:hint="default" w:ascii="Times New Roman" w:hAnsi="Times New Roman" w:eastAsia="方正仿宋_GBK" w:cs="Times New Roman"/>
          <w:color w:val="auto"/>
          <w:kern w:val="0"/>
          <w:sz w:val="32"/>
          <w:szCs w:val="32"/>
          <w:highlight w:val="none"/>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（十四）工资福利支出（支出经济分类科目类级）：</w:t>
      </w:r>
      <w:r>
        <w:rPr>
          <w:rFonts w:hint="default" w:ascii="Times New Roman" w:hAnsi="Times New Roman" w:eastAsia="方正仿宋_GBK" w:cs="Times New Roman"/>
          <w:color w:val="auto"/>
          <w:kern w:val="0"/>
          <w:sz w:val="32"/>
          <w:szCs w:val="32"/>
          <w:highlight w:val="none"/>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（十五）商品和服务支出（支出经济分类科目类级）：</w:t>
      </w:r>
      <w:r>
        <w:rPr>
          <w:rFonts w:hint="default" w:ascii="Times New Roman" w:hAnsi="Times New Roman" w:eastAsia="方正仿宋_GBK" w:cs="Times New Roman"/>
          <w:color w:val="auto"/>
          <w:kern w:val="0"/>
          <w:sz w:val="32"/>
          <w:szCs w:val="32"/>
          <w:highlight w:val="none"/>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（十六）对个人和家庭的补助（支出经济分类科目类级）：</w:t>
      </w:r>
      <w:r>
        <w:rPr>
          <w:rFonts w:hint="default" w:ascii="Times New Roman" w:hAnsi="Times New Roman" w:eastAsia="方正仿宋_GBK" w:cs="Times New Roman"/>
          <w:color w:val="auto"/>
          <w:kern w:val="0"/>
          <w:sz w:val="32"/>
          <w:szCs w:val="32"/>
          <w:highlight w:val="none"/>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（十七）其他资本性支出（支出经济分类科目类级）：</w:t>
      </w:r>
      <w:r>
        <w:rPr>
          <w:rFonts w:hint="default" w:ascii="Times New Roman" w:hAnsi="Times New Roman" w:eastAsia="方正仿宋_GBK" w:cs="Times New Roman"/>
          <w:color w:val="auto"/>
          <w:kern w:val="0"/>
          <w:sz w:val="32"/>
          <w:szCs w:val="32"/>
          <w:highlight w:val="none"/>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shd w:val="clear" w:fill="FFFFFF"/>
        </w:rPr>
        <w:t>本单位决算公开信息反馈和联系方式：</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shd w:val="clear" w:fill="FFFFFF"/>
          <w:lang w:eastAsia="zh-CN"/>
        </w:rPr>
        <w:t>郑艳玲</w:t>
      </w:r>
      <w:r>
        <w:rPr>
          <w:rFonts w:hint="default" w:ascii="Times New Roman" w:hAnsi="Times New Roman" w:eastAsia="方正仿宋_GBK" w:cs="Times New Roman"/>
          <w:color w:val="auto"/>
          <w:kern w:val="0"/>
          <w:sz w:val="32"/>
          <w:szCs w:val="32"/>
          <w:highlight w:val="none"/>
          <w:shd w:val="clear" w:fill="FFFFFF"/>
        </w:rPr>
        <w:t xml:space="preserve">   023-</w:t>
      </w:r>
      <w:r>
        <w:rPr>
          <w:rFonts w:hint="default" w:ascii="Times New Roman" w:hAnsi="Times New Roman" w:eastAsia="方正仿宋_GBK" w:cs="Times New Roman"/>
          <w:color w:val="auto"/>
          <w:kern w:val="0"/>
          <w:sz w:val="32"/>
          <w:szCs w:val="32"/>
          <w:highlight w:val="none"/>
          <w:shd w:val="clear" w:fill="FFFFFF"/>
          <w:lang w:val="en-US" w:eastAsia="zh-CN"/>
        </w:rPr>
        <w:t>59222380</w:t>
      </w:r>
    </w:p>
    <w:p>
      <w:pPr>
        <w:pStyle w:val="11"/>
        <w:keepNext w:val="0"/>
        <w:keepLines w:val="0"/>
        <w:pageBreakBefore w:val="0"/>
        <w:kinsoku/>
        <w:wordWrap/>
        <w:overflowPunct/>
        <w:topLinePunct w:val="0"/>
        <w:autoSpaceDE w:val="0"/>
        <w:autoSpaceDN/>
        <w:bidi w:val="0"/>
        <w:adjustRightInd/>
        <w:spacing w:line="579" w:lineRule="exact"/>
        <w:ind w:firstLine="643" w:firstLineChars="200"/>
        <w:jc w:val="both"/>
        <w:textAlignment w:val="auto"/>
        <w:rPr>
          <w:rStyle w:val="8"/>
          <w:rFonts w:hint="default" w:ascii="Times New Roman" w:hAnsi="Times New Roman" w:eastAsia="方正仿宋_GBK" w:cs="Times New Roman"/>
          <w:color w:val="auto"/>
          <w:sz w:val="32"/>
          <w:szCs w:val="32"/>
          <w:highlight w:val="none"/>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20"/>
                <w:szCs w:val="20"/>
                <w:highlight w:val="none"/>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s="Times New Roman"/>
                <w:color w:val="auto"/>
                <w:sz w:val="20"/>
                <w:szCs w:val="20"/>
                <w:highlight w:val="none"/>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20"/>
                <w:szCs w:val="20"/>
                <w:highlight w:val="none"/>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公开01表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2"/>
                <w:szCs w:val="22"/>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城口县经济和信息化委员会</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22"/>
                <w:szCs w:val="22"/>
                <w:highlight w:val="none"/>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1,533.26</w:t>
            </w: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32.22</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66.27</w:t>
            </w: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562.24</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146.76</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28.53</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66.27</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491.85</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634.21</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34.24</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1,599.53</w:t>
            </w: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1,996.30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478.56</w:t>
            </w: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81.79</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2,078.09</w:t>
            </w: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2,078.09</w:t>
            </w:r>
            <w:r>
              <w:rPr>
                <w:rFonts w:hint="default" w:ascii="Times New Roman" w:hAnsi="Times New Roman" w:cs="Times New Roman"/>
                <w:color w:val="auto"/>
                <w:sz w:val="20"/>
                <w:highlight w:val="none"/>
                <w:u w:color="auto"/>
              </w:rPr>
              <w:t xml:space="preserve"> </w:t>
            </w:r>
          </w:p>
        </w:tc>
      </w:tr>
    </w:tbl>
    <w:p>
      <w:pPr>
        <w:rPr>
          <w:rFonts w:hint="default" w:ascii="Times New Roman" w:hAnsi="Times New Roman" w:cs="Times New Roman"/>
          <w:color w:val="auto"/>
          <w:sz w:val="21"/>
          <w:szCs w:val="21"/>
          <w:highlight w:val="none"/>
        </w:rPr>
      </w:pPr>
    </w:p>
    <w:p>
      <w:pPr>
        <w:spacing w:line="240" w:lineRule="exact"/>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备注：1.本表反映部门本年度的总收支和年末结转结余情况。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tbl>
      <w:tblPr>
        <w:tblStyle w:val="9"/>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收入决算表</w:t>
            </w:r>
          </w:p>
        </w:tc>
      </w:tr>
      <w:tr>
        <w:tblPrEx>
          <w:tblLayout w:type="fixed"/>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城口县经济和信息化委员会</w:t>
            </w: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公开02表</w:t>
            </w:r>
          </w:p>
        </w:tc>
      </w:tr>
      <w:tr>
        <w:tblPrEx>
          <w:tblLayout w:type="fixed"/>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其他收入</w:t>
            </w:r>
          </w:p>
        </w:tc>
      </w:tr>
      <w:tr>
        <w:tblPrEx>
          <w:tblLayout w:type="fixed"/>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1,599.53</w:t>
            </w:r>
            <w:r>
              <w:rPr>
                <w:rFonts w:hint="default" w:ascii="Times New Roman" w:hAnsi="Times New Roman" w:cs="Times New Roman"/>
                <w:b/>
                <w:color w:val="auto"/>
                <w:sz w:val="20"/>
                <w:highlight w:val="none"/>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1,599.53</w:t>
            </w:r>
            <w:r>
              <w:rPr>
                <w:rFonts w:hint="default" w:ascii="Times New Roman" w:hAnsi="Times New Roman" w:cs="Times New Roman"/>
                <w:b/>
                <w:color w:val="auto"/>
                <w:sz w:val="20"/>
                <w:highlight w:val="none"/>
                <w:u w:color="auto"/>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32.22</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32.22</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商贸事务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30.00</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30.00</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2011308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招商引资</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30.00</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30.00</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20136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其他共产党事务支出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2.22</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2.22</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2013699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其他共产党事务支出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2.22</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2.22</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科学技术支出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223.14</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223.14</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20604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技术研究与开发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183.14</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183.14</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2060404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科技成果转化与扩散</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183.14</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183.14</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20607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科学技术普及</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40.00</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40.00</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2060799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其他科学技术普及支出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40.00</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40.00</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146.76</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146.76</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146.76</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146.76</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43.57</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43.57</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13.15</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13.15</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90.04</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90.04</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28.53</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28.53</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28.53</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28.53</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12.23</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12.23</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10.91</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10.91</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5.38</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5.38</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21298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超长期特别国债安排的支出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2129801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城乡社区公共设施</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66.27</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66.27</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491.85</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491.85</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21305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巩固脱贫攻坚成果衔接乡村振兴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491.85</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491.85</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2130505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生产发展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460.00</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460.00</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2130599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其他巩固脱贫攻坚成果衔接乡村振兴支出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31.85</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31.85</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资源勘探工业信息等支出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576.53</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576.53</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工业和信息产业监管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488.03</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488.03</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199.36</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199.36</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2150517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产业发展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24.90</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24.90</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219.67</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219.67</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其他工业和信息产业监管支出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44.10</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44.10</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支持中小企业发展和管理支出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88.50</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88.50</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中小企业发展专项</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88.50</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88.50</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34.24</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34.24</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34.24</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34.24</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34.24</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34.24</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bl>
    <w:p>
      <w:pPr>
        <w:ind w:left="600" w:hanging="600" w:hangingChars="300"/>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备注：1.本表反映部门本年度取得的各项收入情况。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br w:type="page"/>
      </w:r>
    </w:p>
    <w:tbl>
      <w:tblPr>
        <w:tblStyle w:val="9"/>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支出决算表</w:t>
            </w:r>
          </w:p>
        </w:tc>
      </w:tr>
      <w:tr>
        <w:tblPrEx>
          <w:tblLayout w:type="fixed"/>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 xml:space="preserve">城口县经济和信息化委员会 </w:t>
            </w: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公开03表</w:t>
            </w:r>
          </w:p>
        </w:tc>
      </w:tr>
      <w:tr>
        <w:tblPrEx>
          <w:tblLayout w:type="fixed"/>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对附属单位补助支出</w:t>
            </w:r>
          </w:p>
        </w:tc>
      </w:tr>
      <w:tr>
        <w:tblPrEx>
          <w:tblLayout w:type="fixed"/>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1,996.30</w:t>
            </w:r>
            <w:r>
              <w:rPr>
                <w:rFonts w:hint="default" w:ascii="Times New Roman" w:hAnsi="Times New Roman" w:cs="Times New Roman"/>
                <w:b/>
                <w:color w:val="auto"/>
                <w:sz w:val="20"/>
                <w:highlight w:val="none"/>
                <w:u w:color="auto"/>
              </w:rPr>
              <w:t xml:space="preserve"> </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660.17</w:t>
            </w:r>
            <w:r>
              <w:rPr>
                <w:rFonts w:hint="default" w:ascii="Times New Roman" w:hAnsi="Times New Roman" w:cs="Times New Roman"/>
                <w:b/>
                <w:color w:val="auto"/>
                <w:sz w:val="20"/>
                <w:highlight w:val="none"/>
                <w:u w:color="auto"/>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1,336.13</w:t>
            </w:r>
            <w:r>
              <w:rPr>
                <w:rFonts w:hint="default" w:ascii="Times New Roman" w:hAnsi="Times New Roman" w:cs="Times New Roman"/>
                <w:b/>
                <w:color w:val="auto"/>
                <w:sz w:val="20"/>
                <w:highlight w:val="none"/>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32.22</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2.22</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商贸事务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30.00</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2011308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招商引资</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30.00</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20136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其他共产党事务支出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2.22</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2.22</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2013699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其他共产党事务支出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2.22</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2.22</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科学技术支出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562.24</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562.24</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20604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技术研究与开发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522.24</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522.24</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2060404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科技成果转化与扩散</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522.24</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522.24</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20607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科学技术普及</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40.00</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40.00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2060799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其他科学技术普及支出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40.00</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40.00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146.76</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146.76</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146.76</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146.76</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43.57</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43.57</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13.15</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13.15</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90.04</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90.04</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28.53</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28.53</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28.53</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28.53</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12.23</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12.23</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10.91</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10.91</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5.38</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5.38</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城乡社区支出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21298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超长期特别国债安排的支出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2129801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城乡社区公共设施</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66.27</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66.27</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491.85</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491.85</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21305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巩固脱贫攻坚成果衔接乡村振兴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491.85</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491.85</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2130505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生产发展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460.00</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460.00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2130599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其他巩固脱贫攻坚成果衔接乡村振兴支出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31.85</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31.85</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资源勘探工业信息等支出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634.21</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448.43</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185.78</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工业和信息产业监管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545.71</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448.43</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97.28</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228.75</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228.75</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2150517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产业发展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24.90</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24.90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219.67</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219.67</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其他工业和信息产业监管支出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72.38</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72.38</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支持中小企业发展和管理支出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88.50</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88.50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中小企业发展专项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88.50</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88.50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34.24</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34.24</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34.24</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34.24</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34.24</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34.24</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bl>
    <w:p>
      <w:pP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备注：1.本表反映部门本年度各项支出情况。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p>
      <w:pPr>
        <w:rPr>
          <w:rFonts w:hint="default" w:ascii="Times New Roman" w:hAnsi="Times New Roman" w:cs="Times New Roman"/>
          <w:color w:val="auto"/>
          <w:sz w:val="21"/>
          <w:szCs w:val="21"/>
          <w:highlight w:val="none"/>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城口县经济和信息化委员会</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公开04表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1,533.26</w:t>
            </w: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32.22</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32.22</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66.27</w:t>
            </w: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262.88</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262.88</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146.76</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146.76</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28.53</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28.53</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66.27</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66.27</w:t>
            </w: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491.85</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491.85</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585.02</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585.02</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34.24</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34.24</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1,599.53</w:t>
            </w: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1,647.75</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1,581.48</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66.27</w:t>
            </w: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103.19</w:t>
            </w: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54.97</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54.97</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103.19</w:t>
            </w: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1,702.71</w:t>
            </w: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1,702.71</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1,636.45</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66.27</w:t>
            </w: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bl>
    <w:p>
      <w:pPr>
        <w:spacing w:line="240" w:lineRule="exact"/>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30"/>
        <w:gridCol w:w="4067"/>
        <w:gridCol w:w="3300"/>
        <w:gridCol w:w="3291"/>
        <w:gridCol w:w="3334"/>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一般公共预算财政拨款支出决算表</w:t>
            </w:r>
          </w:p>
        </w:tc>
      </w:tr>
      <w:tr>
        <w:tblPrEx>
          <w:tblLayout w:type="fixed"/>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城口县经济和信息化委员会</w:t>
            </w:r>
          </w:p>
        </w:tc>
        <w:tc>
          <w:tcPr>
            <w:tcW w:w="329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公开05表</w:t>
            </w:r>
          </w:p>
        </w:tc>
      </w:tr>
      <w:tr>
        <w:tblPrEx>
          <w:tblLayout w:type="fixed"/>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29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本年支出</w:t>
            </w:r>
          </w:p>
        </w:tc>
      </w:tr>
      <w:tr>
        <w:tblPrEx>
          <w:tblLayout w:type="fixed"/>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项目支出</w:t>
            </w:r>
          </w:p>
        </w:tc>
      </w:tr>
      <w:tr>
        <w:tblPrEx>
          <w:tblLayout w:type="fixed"/>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1,581.48</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630.77</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950.71</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一般公共服务支出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32.22</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2.22</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30.00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20113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商贸事务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30.00</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30.00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2011308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招商引资</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30.00</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30.00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20136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其他共产党事务支出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2.22</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2.22</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2013699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其他共产党事务支出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2.22</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2.22</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科学技术支出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262.88</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262.88</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20604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技术研究与开发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222.88</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222.88</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2060404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科技成果转化与扩散</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222.88</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222.88</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20607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科学技术普及</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40.00</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40.00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2060799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其他科学技术普及支出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40.00</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40.00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146.76</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146.76</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146.76</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146.76</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43.57</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43.57</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13.15</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13.15</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90.04</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90.04</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28.53</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28.53</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28.53</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28.53</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行政单位医疗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12.23</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12.23</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10.91</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10.91</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5.38</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5.38</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农林水支出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491.85</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491.85</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21305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巩固脱贫攻坚成果衔接乡村振兴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491.85</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491.85</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2130505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生产发展</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460.00</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460.00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2130599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其他巩固脱贫攻坚成果衔接乡村振兴支出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31.85</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31.85</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资源勘探工业信息等支出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585.02</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419.03</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165.99</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工业和信息产业监管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496.52</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419.03</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77.49</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行政运行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199.36</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199.36</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2150517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产业发展</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24.90</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24.90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2150550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219.67</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219.67</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其他工业和信息产业监管支出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52.59</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52.59</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支持中小企业发展和管理支出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88.50</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88.50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2150805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中小企业发展专项</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88.50</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88.50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34.24</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34.24</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34.24</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34.24</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2210201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34.24</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34.24</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bl>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0"/>
          <w:szCs w:val="20"/>
          <w:highlight w:val="none"/>
        </w:rPr>
        <w:t>备注：1.本表反映部门本年度一般公共预算财政拨款支出情况。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ind w:firstLine="630" w:firstLineChars="3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tbl>
      <w:tblPr>
        <w:tblStyle w:val="9"/>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城口县经济和信息化委员会</w:t>
            </w:r>
          </w:p>
        </w:tc>
        <w:tc>
          <w:tcPr>
            <w:tcW w:w="1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85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345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公开06表</w:t>
            </w:r>
          </w:p>
        </w:tc>
      </w:tr>
      <w:tr>
        <w:tblPrEx>
          <w:tblLayout w:type="fixed"/>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1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85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345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公用经费</w:t>
            </w:r>
          </w:p>
        </w:tc>
      </w:tr>
      <w:tr>
        <w:tblPrEx>
          <w:tblLayout w:type="fixed"/>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金额</w:t>
            </w:r>
          </w:p>
        </w:tc>
      </w:tr>
      <w:tr>
        <w:tblPrEx>
          <w:tblLayout w:type="fixed"/>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484.37</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43.54</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0.22</w:t>
            </w: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119.32</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2.36</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89.98</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1.03</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0.22</w:t>
            </w: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14.70</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0.48</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129.93</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0.01</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43.57</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0.07</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13.15</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5.88</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23.14</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4.90</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1.28</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34.24</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10.96</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102.65</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0.10</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0.75</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94.85</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7.80</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19.00</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0.93</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8.50</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0.65</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587.02</w:t>
            </w:r>
            <w:r>
              <w:rPr>
                <w:rFonts w:hint="default" w:ascii="Times New Roman" w:hAnsi="Times New Roman" w:cs="Times New Roman"/>
                <w:color w:val="auto"/>
                <w:sz w:val="18"/>
                <w:highlight w:val="none"/>
                <w:u w:color="auto"/>
              </w:rPr>
              <w:t xml:space="preserve"> </w:t>
            </w:r>
          </w:p>
        </w:tc>
        <w:tc>
          <w:tcPr>
            <w:tcW w:w="857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公用经费合计</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43.75</w:t>
            </w:r>
            <w:r>
              <w:rPr>
                <w:rFonts w:hint="default" w:ascii="Times New Roman" w:hAnsi="Times New Roman" w:cs="Times New Roman"/>
                <w:color w:val="auto"/>
                <w:sz w:val="18"/>
                <w:highlight w:val="none"/>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备注：1.本表反映部门本年度一般公共预算财政拨款基本支出明细情况。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城口县经济和信息化委员会</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公开07表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年末结转和结余</w:t>
            </w:r>
          </w:p>
        </w:tc>
      </w:tr>
      <w:tr>
        <w:tblPrEx>
          <w:tblLayout w:type="fixed"/>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21298</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超长期特别国债安排的支出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2129801</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城乡社区公共设施</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66.27</w:t>
            </w:r>
            <w:r>
              <w:rPr>
                <w:rFonts w:hint="default" w:ascii="Times New Roman" w:hAnsi="Times New Roman" w:cs="Times New Roman"/>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66.27</w:t>
            </w:r>
            <w:r>
              <w:rPr>
                <w:rFonts w:hint="default" w:ascii="Times New Roman" w:hAnsi="Times New Roman" w:cs="Times New Roman"/>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66.27</w:t>
            </w:r>
            <w:r>
              <w:rPr>
                <w:rFonts w:hint="default" w:ascii="Times New Roman" w:hAnsi="Times New Roman" w:cs="Times New Roman"/>
                <w:color w:val="auto"/>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bl>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0"/>
          <w:szCs w:val="20"/>
          <w:highlight w:val="none"/>
        </w:rPr>
        <w:t>备注：1.本表反映部门本年度政府性基金预算财政拨款收入支出及结转和结余情况。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城口县经济和信息化委员会</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公开08表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auto"/>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auto"/>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 xml:space="preserve">0.00 </w:t>
            </w:r>
          </w:p>
        </w:tc>
      </w:tr>
    </w:tbl>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0"/>
          <w:szCs w:val="20"/>
          <w:highlight w:val="none"/>
        </w:rPr>
        <w:t>备注：本表反映部门本年度国有资本经营预算财政拨款支出情况。本部门无国有资本经营收支，故本表无数据。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tbl>
      <w:tblPr>
        <w:tblStyle w:val="9"/>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auto"/>
                <w:kern w:val="2"/>
                <w:sz w:val="32"/>
                <w:szCs w:val="32"/>
                <w:highlight w:val="none"/>
              </w:rPr>
            </w:pPr>
            <w:r>
              <w:rPr>
                <w:rFonts w:hint="default" w:ascii="Times New Roman" w:hAnsi="Times New Roman" w:cs="Times New Roman"/>
                <w:b/>
                <w:color w:val="auto"/>
                <w:kern w:val="2"/>
                <w:sz w:val="32"/>
                <w:szCs w:val="32"/>
                <w:highlight w:val="none"/>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auto"/>
                <w:kern w:val="2"/>
                <w:sz w:val="20"/>
                <w:szCs w:val="20"/>
                <w:highlight w:val="none"/>
              </w:rPr>
            </w:pPr>
          </w:p>
        </w:tc>
        <w:tc>
          <w:tcPr>
            <w:tcW w:w="2402" w:type="dxa"/>
            <w:shd w:val="clear" w:color="auto" w:fill="auto"/>
            <w:noWrap/>
            <w:tcMar>
              <w:top w:w="15" w:type="dxa"/>
              <w:left w:w="15" w:type="dxa"/>
              <w:right w:w="15" w:type="dxa"/>
            </w:tcMar>
            <w:vAlign w:val="bottom"/>
          </w:tcPr>
          <w:p>
            <w:pPr>
              <w:spacing w:line="280" w:lineRule="exact"/>
              <w:jc w:val="center"/>
              <w:rPr>
                <w:rFonts w:hint="default" w:ascii="Times New Roman" w:hAnsi="Times New Roman" w:cs="Times New Roman"/>
                <w:color w:val="auto"/>
                <w:kern w:val="2"/>
                <w:sz w:val="20"/>
                <w:szCs w:val="20"/>
                <w:highlight w:val="none"/>
              </w:rPr>
            </w:pPr>
          </w:p>
        </w:tc>
        <w:tc>
          <w:tcPr>
            <w:tcW w:w="2360" w:type="dxa"/>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auto"/>
                <w:kern w:val="2"/>
                <w:sz w:val="20"/>
                <w:szCs w:val="20"/>
                <w:highlight w:val="none"/>
              </w:rPr>
            </w:pPr>
          </w:p>
        </w:tc>
        <w:tc>
          <w:tcPr>
            <w:tcW w:w="3726"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auto"/>
                <w:kern w:val="2"/>
                <w:sz w:val="20"/>
                <w:szCs w:val="20"/>
                <w:highlight w:val="none"/>
              </w:rPr>
            </w:pPr>
          </w:p>
        </w:tc>
        <w:tc>
          <w:tcPr>
            <w:tcW w:w="2480" w:type="dxa"/>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auto"/>
                <w:kern w:val="2"/>
                <w:sz w:val="20"/>
                <w:szCs w:val="20"/>
                <w:highlight w:val="none"/>
              </w:rPr>
            </w:pPr>
            <w:r>
              <w:rPr>
                <w:rFonts w:hint="default" w:ascii="Times New Roman" w:hAnsi="Times New Roman" w:cs="Times New Roman"/>
                <w:color w:val="auto"/>
                <w:kern w:val="2"/>
                <w:sz w:val="20"/>
                <w:szCs w:val="20"/>
                <w:highlight w:val="none"/>
              </w:rPr>
              <w:t>公开09表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auto"/>
                <w:kern w:val="2"/>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kern w:val="2"/>
                <w:sz w:val="20"/>
                <w:szCs w:val="20"/>
                <w:highlight w:val="none"/>
              </w:rPr>
              <w:t>：</w:t>
            </w:r>
            <w:r>
              <w:rPr>
                <w:rFonts w:hint="default" w:ascii="Times New Roman" w:hAnsi="Times New Roman" w:cs="Times New Roman"/>
                <w:color w:val="auto"/>
                <w:sz w:val="20"/>
                <w:highlight w:val="none"/>
                <w:u w:color="auto"/>
              </w:rPr>
              <w:t>城口县经济和信息化委员会</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auto"/>
                <w:kern w:val="2"/>
                <w:sz w:val="20"/>
                <w:szCs w:val="20"/>
                <w:highlight w:val="none"/>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auto"/>
                <w:kern w:val="2"/>
                <w:sz w:val="20"/>
                <w:szCs w:val="20"/>
                <w:highlight w:val="none"/>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auto"/>
                <w:kern w:val="2"/>
                <w:sz w:val="20"/>
                <w:szCs w:val="20"/>
                <w:highlight w:val="none"/>
              </w:rPr>
            </w:pPr>
            <w:r>
              <w:rPr>
                <w:rFonts w:hint="default" w:ascii="Times New Roman" w:hAnsi="Times New Roman" w:cs="Times New Roman"/>
                <w:color w:val="auto"/>
                <w:kern w:val="2"/>
                <w:sz w:val="20"/>
                <w:szCs w:val="20"/>
                <w:highlight w:val="none"/>
              </w:rPr>
              <w:t>单位：万元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40.89</w:t>
            </w: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12.64</w:t>
            </w: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12.64</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40.89</w:t>
            </w: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4.98</w:t>
            </w: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4.98</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w:t>
            </w: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4.98</w:t>
            </w: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4.98</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7.66</w:t>
            </w: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7.66</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7.66</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w:t>
            </w: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3</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56</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511.14</w:t>
            </w: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15.57</w:t>
            </w: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388</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495.57</w:t>
            </w: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461.73</w:t>
            </w: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461.73</w:t>
            </w: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1.16</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auto"/>
                <w:kern w:val="2"/>
                <w:sz w:val="16"/>
                <w:szCs w:val="16"/>
                <w:highlight w:val="none"/>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auto"/>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0.10</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auto"/>
                <w:kern w:val="2"/>
                <w:sz w:val="16"/>
                <w:szCs w:val="16"/>
                <w:highlight w:val="none"/>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auto"/>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sz w:val="16"/>
                <w:szCs w:val="16"/>
                <w:highlight w:val="none"/>
              </w:rPr>
            </w:pPr>
            <w:r>
              <w:rPr>
                <w:rFonts w:hint="default" w:ascii="Times New Roman" w:hAnsi="Times New Roman" w:cs="Times New Roman"/>
                <w:b/>
                <w:bCs/>
                <w:color w:val="auto"/>
                <w:sz w:val="16"/>
                <w:szCs w:val="16"/>
                <w:highlight w:val="none"/>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37.85</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auto"/>
                <w:sz w:val="16"/>
                <w:szCs w:val="16"/>
                <w:highlight w:val="none"/>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auto"/>
                <w:sz w:val="16"/>
                <w:szCs w:val="16"/>
                <w:highlight w:val="none"/>
              </w:rPr>
            </w:pPr>
          </w:p>
        </w:tc>
      </w:tr>
    </w:tbl>
    <w:p>
      <w:pPr>
        <w:rPr>
          <w:rFonts w:hint="default" w:ascii="Times New Roman" w:hAnsi="Times New Roman" w:cs="Times New Roman"/>
          <w:color w:val="auto"/>
          <w:sz w:val="18"/>
          <w:szCs w:val="18"/>
          <w:highlight w:val="none"/>
        </w:rPr>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pPr>
      <w:r>
        <w:rPr>
          <w:rFonts w:hint="default" w:ascii="Times New Roman" w:hAnsi="Times New Roman" w:cs="Times New Roman"/>
          <w:color w:val="auto"/>
          <w:sz w:val="18"/>
          <w:szCs w:val="18"/>
          <w:highlight w:val="none"/>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color w:val="auto"/>
          <w:sz w:val="18"/>
          <w:szCs w:val="18"/>
          <w:highlight w:val="none"/>
        </w:rPr>
        <w:br w:type="textWrapping"/>
      </w:r>
      <w:r>
        <w:rPr>
          <w:rFonts w:hint="default" w:ascii="Times New Roman" w:hAnsi="Times New Roman" w:cs="Times New Roman"/>
          <w:color w:val="auto"/>
          <w:sz w:val="18"/>
          <w:szCs w:val="18"/>
          <w:highlight w:val="none"/>
        </w:rPr>
        <w:t xml:space="preserve">      2.本套报表金额单位转换时可能存在尾数误差。</w:t>
      </w:r>
      <w:r>
        <w:rPr>
          <w:rFonts w:hint="default" w:ascii="Times New Roman" w:hAnsi="Times New Roman" w:cs="Times New Roman"/>
          <w:color w:val="auto"/>
          <w:sz w:val="18"/>
          <w:szCs w:val="18"/>
          <w:highlight w:val="none"/>
        </w:rPr>
        <w:br w:type="textWrapping"/>
      </w:r>
    </w:p>
    <w:p>
      <w:pPr>
        <w:pStyle w:val="6"/>
        <w:spacing w:before="0" w:beforeAutospacing="0" w:after="0" w:afterAutospacing="0" w:line="596" w:lineRule="exact"/>
        <w:jc w:val="center"/>
        <w:rPr>
          <w:rFonts w:hint="default" w:ascii="Times New Roman" w:hAnsi="Times New Roman" w:eastAsia="方正小标宋_GBK" w:cs="Times New Roman"/>
          <w:b w:val="0"/>
          <w:bCs w:val="0"/>
          <w:color w:val="auto"/>
          <w:sz w:val="44"/>
          <w:szCs w:val="44"/>
          <w:highlight w:val="none"/>
        </w:rPr>
      </w:pPr>
      <w:r>
        <w:rPr>
          <w:rFonts w:hint="default" w:ascii="Times New Roman" w:hAnsi="Times New Roman" w:eastAsia="方正小标宋_GBK" w:cs="Times New Roman"/>
          <w:b w:val="0"/>
          <w:bCs w:val="0"/>
          <w:color w:val="auto"/>
          <w:sz w:val="44"/>
          <w:szCs w:val="44"/>
          <w:highlight w:val="none"/>
        </w:rPr>
        <w:t>城口县经济和信息化委员会（本级）</w:t>
      </w:r>
    </w:p>
    <w:p>
      <w:pPr>
        <w:pStyle w:val="6"/>
        <w:spacing w:before="0" w:beforeAutospacing="0" w:after="0" w:afterAutospacing="0" w:line="596" w:lineRule="exact"/>
        <w:jc w:val="center"/>
        <w:rPr>
          <w:rFonts w:hint="default" w:ascii="Times New Roman" w:hAnsi="Times New Roman" w:eastAsia="方正小标宋_GBK" w:cs="Times New Roman"/>
          <w:b w:val="0"/>
          <w:bCs w:val="0"/>
          <w:color w:val="auto"/>
          <w:sz w:val="44"/>
          <w:szCs w:val="44"/>
          <w:highlight w:val="none"/>
          <w:shd w:val="clear" w:color="auto" w:fill="FFFFFF"/>
        </w:rPr>
      </w:pPr>
      <w:r>
        <w:rPr>
          <w:rFonts w:hint="default" w:ascii="Times New Roman" w:hAnsi="Times New Roman" w:eastAsia="方正小标宋_GBK" w:cs="Times New Roman"/>
          <w:b w:val="0"/>
          <w:bCs w:val="0"/>
          <w:color w:val="auto"/>
          <w:sz w:val="44"/>
          <w:szCs w:val="44"/>
          <w:highlight w:val="none"/>
          <w:shd w:val="clear" w:color="auto" w:fill="FFFFFF"/>
        </w:rPr>
        <w:t>2024年度决算公开说明</w:t>
      </w:r>
    </w:p>
    <w:p>
      <w:pPr>
        <w:pStyle w:val="6"/>
        <w:spacing w:before="0" w:beforeAutospacing="0" w:after="0" w:afterAutospacing="0" w:line="596" w:lineRule="exact"/>
        <w:jc w:val="center"/>
        <w:rPr>
          <w:rFonts w:hint="default" w:ascii="Times New Roman" w:hAnsi="Times New Roman" w:eastAsia="方正小标宋_GBK" w:cs="Times New Roman"/>
          <w:b w:val="0"/>
          <w:bCs w:val="0"/>
          <w:color w:val="auto"/>
          <w:sz w:val="44"/>
          <w:szCs w:val="44"/>
          <w:highlight w:val="none"/>
          <w:shd w:val="clear" w:color="auto" w:fill="FFFFFF"/>
        </w:r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一、部门基本情况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color w:val="auto"/>
          <w:sz w:val="32"/>
          <w:highlight w:val="none"/>
        </w:rPr>
      </w:pPr>
      <w:r>
        <w:rPr>
          <w:rFonts w:hint="default" w:ascii="Times New Roman" w:hAnsi="Times New Roman" w:eastAsia="方正楷体_GBK" w:cs="Times New Roman"/>
          <w:color w:val="auto"/>
          <w:sz w:val="32"/>
          <w:highlight w:val="none"/>
        </w:rPr>
        <w:t>（一）职能职责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1.</w:t>
      </w:r>
      <w:r>
        <w:rPr>
          <w:rFonts w:hint="default" w:ascii="Times New Roman" w:hAnsi="Times New Roman" w:eastAsia="方正仿宋_GBK" w:cs="Times New Roman"/>
          <w:i w:val="0"/>
          <w:iCs w:val="0"/>
          <w:caps w:val="0"/>
          <w:color w:val="auto"/>
          <w:spacing w:val="0"/>
          <w:sz w:val="32"/>
          <w:szCs w:val="32"/>
          <w:highlight w:val="none"/>
          <w:shd w:val="clear" w:color="auto" w:fill="FFFFFF"/>
        </w:rPr>
        <w:t>贯彻执行国家和县政府关于工业、科技创新、中小微企业、信息化、电子信息、智能终端、通信产业、通讯管理、无线电、军民融合、天然气、液化石油气工作的法律、法规、规章和方针、政策；拟订工业、科技创新、中小微企业、信息化、电子信息、智能终端、通信产业、通讯管理、无线电、军民融合、天然气、液化石油气中长期发展规划和年度计划并组织实施，研究拟订地方性产业政策、支持政策并组织实施。拟订全县加油加气站和液化石油气行业发展规划并组织实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2.</w:t>
      </w:r>
      <w:r>
        <w:rPr>
          <w:rFonts w:hint="default" w:ascii="Times New Roman" w:hAnsi="Times New Roman" w:eastAsia="方正仿宋_GBK" w:cs="Times New Roman"/>
          <w:i w:val="0"/>
          <w:iCs w:val="0"/>
          <w:caps w:val="0"/>
          <w:color w:val="auto"/>
          <w:spacing w:val="0"/>
          <w:sz w:val="32"/>
          <w:szCs w:val="32"/>
          <w:highlight w:val="none"/>
          <w:shd w:val="clear" w:color="auto" w:fill="FFFFFF"/>
        </w:rPr>
        <w:t>负责提出本县工业、科技、信息化等相关产业建设投资（含技术改造）规模、方向和计划并组织实施。对重大技术改造项目实施监督管理。负责权限内本县工业、科技、信息化等相关产业企业投资项目核准和备案，负责相关财政专项资金的使用安排。指导有关工业结构调整、技术进步、技术改造，推进产业转型升级。研究工业和信息产业布局规划和结构调整的政策措施，统筹推进淘汰落后产能、化解过剩产能，推动产业转移、企业兼并重组等工作。推进生产性服务业发展，促进服务业与制造业融合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3.</w:t>
      </w:r>
      <w:r>
        <w:rPr>
          <w:rFonts w:hint="default" w:ascii="Times New Roman" w:hAnsi="Times New Roman" w:eastAsia="方正仿宋_GBK" w:cs="Times New Roman"/>
          <w:i w:val="0"/>
          <w:iCs w:val="0"/>
          <w:caps w:val="0"/>
          <w:color w:val="auto"/>
          <w:spacing w:val="0"/>
          <w:sz w:val="32"/>
          <w:szCs w:val="32"/>
          <w:highlight w:val="none"/>
          <w:shd w:val="clear" w:color="auto" w:fill="FFFFFF"/>
        </w:rPr>
        <w:t>依法承担本部门有关电力、天然气、液化石油气、工业投资（技术改造）、工业节能、无线电、民爆、监控化学品、盐业等审批职能，相应承担行政处罚及与之相关的行政检查、行政强制权。组织行政执法人员开展专业培训，向执法对象开展普法宣传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4.</w:t>
      </w:r>
      <w:r>
        <w:rPr>
          <w:rFonts w:hint="default" w:ascii="Times New Roman" w:hAnsi="Times New Roman" w:eastAsia="方正仿宋_GBK" w:cs="Times New Roman"/>
          <w:i w:val="0"/>
          <w:iCs w:val="0"/>
          <w:caps w:val="0"/>
          <w:color w:val="auto"/>
          <w:spacing w:val="0"/>
          <w:sz w:val="32"/>
          <w:szCs w:val="32"/>
          <w:highlight w:val="none"/>
          <w:shd w:val="clear" w:color="auto" w:fill="FFFFFF"/>
        </w:rPr>
        <w:t>负责招商统筹、工业、科技、信息产业行业、园区的招商引资工作和对外经济合作交流工作。负责指导企业开拓国内外市场，促进工业品的销售工作。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5.</w:t>
      </w:r>
      <w:r>
        <w:rPr>
          <w:rFonts w:hint="default" w:ascii="Times New Roman" w:hAnsi="Times New Roman" w:eastAsia="方正仿宋_GBK" w:cs="Times New Roman"/>
          <w:i w:val="0"/>
          <w:iCs w:val="0"/>
          <w:caps w:val="0"/>
          <w:color w:val="auto"/>
          <w:spacing w:val="0"/>
          <w:sz w:val="32"/>
          <w:szCs w:val="32"/>
          <w:highlight w:val="none"/>
          <w:shd w:val="clear" w:color="auto" w:fill="FFFFFF"/>
        </w:rPr>
        <w:t>指导推进工业园区的产业定位、招商引资、运行统计、发展评价和功能转型工作。协调工业园区有关优惠政策的落实。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6.</w:t>
      </w:r>
      <w:r>
        <w:rPr>
          <w:rFonts w:hint="default" w:ascii="Times New Roman" w:hAnsi="Times New Roman" w:eastAsia="方正仿宋_GBK" w:cs="Times New Roman"/>
          <w:i w:val="0"/>
          <w:iCs w:val="0"/>
          <w:caps w:val="0"/>
          <w:color w:val="auto"/>
          <w:spacing w:val="0"/>
          <w:sz w:val="32"/>
          <w:szCs w:val="32"/>
          <w:highlight w:val="none"/>
          <w:shd w:val="clear" w:color="auto" w:fill="FFFFFF"/>
        </w:rPr>
        <w:t>负责拟订工业及信息产业年度目标并实施，负责监测分析工业、生产性服务业、信息服务业运行工作；协调解决工业经济运行中的有关问题，并提出政策建议。定期检查经济运行实效并进行预测预警和信息发布。承担对重点行业、企业运行的评价和重点企业的培育工作。负责工业重点企业运行调度，引导大中小型企业协同发展。负责对工业经济运行要素的煤、电、工业用油、气、运和重要物资平衡调度，根据经济运行情况对现有资源实行优化配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7.</w:t>
      </w:r>
      <w:r>
        <w:rPr>
          <w:rFonts w:hint="default" w:ascii="Times New Roman" w:hAnsi="Times New Roman" w:eastAsia="方正仿宋_GBK" w:cs="Times New Roman"/>
          <w:i w:val="0"/>
          <w:iCs w:val="0"/>
          <w:caps w:val="0"/>
          <w:color w:val="auto"/>
          <w:spacing w:val="0"/>
          <w:sz w:val="32"/>
          <w:szCs w:val="32"/>
          <w:highlight w:val="none"/>
          <w:shd w:val="clear" w:color="auto" w:fill="FFFFFF"/>
        </w:rPr>
        <w:t>负责本县中小微型企业发展的宏观指导，拟订促进中小微企业发展和非国有经济发展的相关政策和措施，协调解决有关重大问题；负责中小微企业运行监测、预警分析及信息发布。负责中小微企业发展服务体系建设工作，组织推动服务机构为中小微企业发展提供服务。负责中小微企业创新创业工作。编制微型企业发展规划及创业投资计划，指导微型企业创业扶持工作，开展创业培训及微型企业孵化工作。组织实施本县各类所有制企业的企业负担监督管理工作，承担中小微企业维权投诉工作。指导企业加强管理，建立现代企业制度。指导企业质量品牌建设和标准化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8.</w:t>
      </w:r>
      <w:r>
        <w:rPr>
          <w:rFonts w:hint="default" w:ascii="Times New Roman" w:hAnsi="Times New Roman" w:eastAsia="方正仿宋_GBK" w:cs="Times New Roman"/>
          <w:i w:val="0"/>
          <w:iCs w:val="0"/>
          <w:caps w:val="0"/>
          <w:color w:val="auto"/>
          <w:spacing w:val="0"/>
          <w:sz w:val="32"/>
          <w:szCs w:val="32"/>
          <w:highlight w:val="none"/>
          <w:shd w:val="clear" w:color="auto" w:fill="FFFFFF"/>
        </w:rPr>
        <w:t>负责指导本县工业、科技和信息产业的融资工作，参与推动企业融资服务体系建设。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9.</w:t>
      </w:r>
      <w:r>
        <w:rPr>
          <w:rFonts w:hint="default" w:ascii="Times New Roman" w:hAnsi="Times New Roman" w:eastAsia="方正仿宋_GBK" w:cs="Times New Roman"/>
          <w:i w:val="0"/>
          <w:iCs w:val="0"/>
          <w:caps w:val="0"/>
          <w:color w:val="auto"/>
          <w:spacing w:val="0"/>
          <w:sz w:val="32"/>
          <w:szCs w:val="32"/>
          <w:highlight w:val="none"/>
          <w:shd w:val="clear" w:color="auto" w:fill="FFFFFF"/>
        </w:rPr>
        <w:t>负责轻工、纺织、食品等消费品工业和医药工业行业管理，贯彻落实国家有关产业政策。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10.</w:t>
      </w:r>
      <w:r>
        <w:rPr>
          <w:rFonts w:hint="default" w:ascii="Times New Roman" w:hAnsi="Times New Roman" w:eastAsia="方正仿宋_GBK" w:cs="Times New Roman"/>
          <w:i w:val="0"/>
          <w:iCs w:val="0"/>
          <w:caps w:val="0"/>
          <w:color w:val="auto"/>
          <w:spacing w:val="0"/>
          <w:sz w:val="32"/>
          <w:szCs w:val="32"/>
          <w:highlight w:val="none"/>
          <w:shd w:val="clear" w:color="auto" w:fill="FFFFFF"/>
        </w:rPr>
        <w:t>指导行业安全生产应急救援体系建设。指导安全生产应急救援预案编制和演练。指导相关行业加强安全生产管理，指导重点行业排查治理隐患，参与重特大安全生产事故的调查、处理。负责发布行业安全生产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11.</w:t>
      </w:r>
      <w:r>
        <w:rPr>
          <w:rFonts w:hint="default" w:ascii="Times New Roman" w:hAnsi="Times New Roman" w:eastAsia="方正仿宋_GBK" w:cs="Times New Roman"/>
          <w:i w:val="0"/>
          <w:iCs w:val="0"/>
          <w:caps w:val="0"/>
          <w:color w:val="auto"/>
          <w:spacing w:val="0"/>
          <w:sz w:val="32"/>
          <w:szCs w:val="32"/>
          <w:highlight w:val="none"/>
          <w:shd w:val="clear" w:color="auto" w:fill="FFFFFF"/>
        </w:rPr>
        <w:t>负责职责范围内核准或备案的工业企业技改项目的安全生产监督管理。综合指导工业园区安全生产工作。牵头推动安全产业发展。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12.</w:t>
      </w:r>
      <w:r>
        <w:rPr>
          <w:rFonts w:hint="default" w:ascii="Times New Roman" w:hAnsi="Times New Roman" w:eastAsia="方正仿宋_GBK" w:cs="Times New Roman"/>
          <w:i w:val="0"/>
          <w:iCs w:val="0"/>
          <w:caps w:val="0"/>
          <w:color w:val="auto"/>
          <w:spacing w:val="0"/>
          <w:sz w:val="32"/>
          <w:szCs w:val="32"/>
          <w:highlight w:val="none"/>
          <w:shd w:val="clear" w:color="auto" w:fill="FFFFFF"/>
        </w:rPr>
        <w:t>拟订并组织实施工业和信息产业的能源节约、资源综合利用、清洁生产、绿色发展促进政策；承担工业节能监察及重点用能企业节能监督管理；指导和推进工业和信息产业绿色制造体系建设。组织协调工业和信息产业绿色改造重大示范工程和新产品、新技术、新设备、新材料的推广应用。参与拟订相关污染控制政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13.</w:t>
      </w:r>
      <w:r>
        <w:rPr>
          <w:rFonts w:hint="default" w:ascii="Times New Roman" w:hAnsi="Times New Roman" w:eastAsia="方正仿宋_GBK" w:cs="Times New Roman"/>
          <w:i w:val="0"/>
          <w:iCs w:val="0"/>
          <w:caps w:val="0"/>
          <w:color w:val="auto"/>
          <w:spacing w:val="0"/>
          <w:sz w:val="32"/>
          <w:szCs w:val="32"/>
          <w:highlight w:val="none"/>
          <w:shd w:val="clear" w:color="auto" w:fill="FFFFFF"/>
        </w:rPr>
        <w:t>指导和督促工业园区落实环境保护监管责任。指导和督促工业园区以外的工业企业落实环境保护主体责任。指导督促工业园区（含工业集聚区）环境保护基础设施建设工作。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14.</w:t>
      </w:r>
      <w:r>
        <w:rPr>
          <w:rFonts w:hint="default" w:ascii="Times New Roman" w:hAnsi="Times New Roman" w:eastAsia="方正仿宋_GBK" w:cs="Times New Roman"/>
          <w:i w:val="0"/>
          <w:iCs w:val="0"/>
          <w:caps w:val="0"/>
          <w:color w:val="auto"/>
          <w:spacing w:val="0"/>
          <w:sz w:val="32"/>
          <w:szCs w:val="32"/>
          <w:highlight w:val="none"/>
          <w:shd w:val="clear" w:color="auto" w:fill="FFFFFF"/>
        </w:rPr>
        <w:t>统筹推进全县科技创新体系和科技体制改革，会同有关部门健全技术创新激励机制。牵头推进全县科技管理平台建设和科研项目资金协调、评估、监管机制。会同有关部门提出优化配置科技资源的政策措施建议，推动多元化科技投入体系建设和科技金融结合。拟订全县基础研究、科技基础设施建设、科技创新基地建设、高新技术产业发展、科技促进农业农村和社会发展的规划并组织实施；指导和推进产业技术创新体系建设和创新生态打造，指导企业技术创新；负责编制县级科技项目规划并监督实施，统筹协调关键共性技术、前沿引领技术、现代工程技术、颠覆性技术研发和创新，牵头组织实施重大技术攻关；牵头科技型企业培育工作，推进实施科技金融支持企业发展，负责科技统计、科技信息、企业研发费用加计扣除鉴定等工作，推动工业企业和中小企业组织创新能力建设；推动科研条件保障建设、科技资源开放共享；牵头建立统筹协调机制，会同县级行业主管部门制定产业科技创新规划、组织项目申报，共同开展产业科技创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15.</w:t>
      </w:r>
      <w:r>
        <w:rPr>
          <w:rFonts w:hint="default" w:ascii="Times New Roman" w:hAnsi="Times New Roman" w:eastAsia="方正仿宋_GBK" w:cs="Times New Roman"/>
          <w:i w:val="0"/>
          <w:iCs w:val="0"/>
          <w:caps w:val="0"/>
          <w:color w:val="auto"/>
          <w:spacing w:val="0"/>
          <w:sz w:val="32"/>
          <w:szCs w:val="32"/>
          <w:highlight w:val="none"/>
          <w:shd w:val="clear" w:color="auto" w:fill="FFFFFF"/>
        </w:rPr>
        <w:t>拟订科学普及、科学传播、科技对外交流与创新能力开放合作、科技人才队伍建设、引进国外智力规划并组织实施。牵头拟订全县技术转移体系建设、促进产学研结合和科技成果转移转化推广的相关政策并监督实施，组织实施产学研交流合作、科技对外交流与创新能力开放合作、重点科技成果转移转化应用示范工作；负责科技奖励、科技保密、技术市场、科技扶贫、科技成果评价等工作，负责科技监督评价体系建设和相关科技评估管理、科技宣传和科研机构管理服务工作。指导科技服务业、技术市场和科技中介组织发展，指导基层科技业务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16.</w:t>
      </w:r>
      <w:r>
        <w:rPr>
          <w:rFonts w:hint="default" w:ascii="Times New Roman" w:hAnsi="Times New Roman" w:eastAsia="方正仿宋_GBK" w:cs="Times New Roman"/>
          <w:i w:val="0"/>
          <w:iCs w:val="0"/>
          <w:caps w:val="0"/>
          <w:color w:val="auto"/>
          <w:spacing w:val="0"/>
          <w:sz w:val="32"/>
          <w:szCs w:val="32"/>
          <w:highlight w:val="none"/>
          <w:shd w:val="clear" w:color="auto" w:fill="FFFFFF"/>
        </w:rPr>
        <w:t>统筹推进信息化发展工作。研究拟订全县信息化政策措施，编制全县信息化发展规划和年度计划并组织实施，协调建设中的重大问题。承担智能制造发展推动工作，牵头智能产业培育，统筹推进传统产业智能化改造。负责推进全县信息化应用。负责全县软件和信息服务产业发展和行业管理。牵头协调电讯、广播电视网络和计算机网络融合工作。承担信息化国防动员职责，负责组织全县信息通信机构和重要通信设施为国防动员战备应急提供通信保障职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17.</w:t>
      </w:r>
      <w:r>
        <w:rPr>
          <w:rFonts w:hint="default" w:ascii="Times New Roman" w:hAnsi="Times New Roman" w:eastAsia="方正仿宋_GBK" w:cs="Times New Roman"/>
          <w:i w:val="0"/>
          <w:iCs w:val="0"/>
          <w:caps w:val="0"/>
          <w:color w:val="auto"/>
          <w:spacing w:val="0"/>
          <w:sz w:val="32"/>
          <w:szCs w:val="32"/>
          <w:highlight w:val="none"/>
          <w:shd w:val="clear" w:color="auto" w:fill="FFFFFF"/>
        </w:rPr>
        <w:t>负责信息基础设施建设的规划、协调和管理，组织指导相关部门制定通信管线、公共通信网、专用信息网的规划并承担相应的管理工作；协调电信市场涉及社会公共利益的重大事宜；负责跨行业、跨部门面向社会服务网络的互联互通；统筹规划公用通信网，推进电信普遍服务，保障重要通信。负责全县通讯（移动、电信、联通等）和广播电视网络的行政管理、行政执法及服务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18.</w:t>
      </w:r>
      <w:r>
        <w:rPr>
          <w:rFonts w:hint="default" w:ascii="Times New Roman" w:hAnsi="Times New Roman" w:eastAsia="方正仿宋_GBK" w:cs="Times New Roman"/>
          <w:i w:val="0"/>
          <w:iCs w:val="0"/>
          <w:caps w:val="0"/>
          <w:color w:val="auto"/>
          <w:spacing w:val="0"/>
          <w:sz w:val="32"/>
          <w:szCs w:val="32"/>
          <w:highlight w:val="none"/>
          <w:shd w:val="clear" w:color="auto" w:fill="FFFFFF"/>
        </w:rPr>
        <w:t>负责本县无线电频率资源规划管理。负责本县无线电管理，协调处理电磁干扰事宜，维护空中电波秩序。协调处理本县行政区域内军地间无线电管理相关事宜。负责无线电管理技术机构的业务指导和监督管理。负责本县无线电台（站）使用的管理。负责组织无线电技术基础设施的规划、建设和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19.</w:t>
      </w:r>
      <w:r>
        <w:rPr>
          <w:rFonts w:hint="default" w:ascii="Times New Roman" w:hAnsi="Times New Roman" w:eastAsia="方正仿宋_GBK" w:cs="Times New Roman"/>
          <w:i w:val="0"/>
          <w:iCs w:val="0"/>
          <w:caps w:val="0"/>
          <w:color w:val="auto"/>
          <w:spacing w:val="0"/>
          <w:sz w:val="32"/>
          <w:szCs w:val="32"/>
          <w:highlight w:val="none"/>
          <w:shd w:val="clear" w:color="auto" w:fill="FFFFFF"/>
        </w:rPr>
        <w:t>负责电力行业的行政管理、行政执法；承担电力日常运行调度管理和行业管理，牵头编制电力年度平衡计划并组织实施。负责大面积停电应急处置工作，监测调控电力运行。承担电力市场统计和信息发布。协调处理电力运行、电力供应与使用中的重大问题。指导节约用电和电力需求侧管理工作。统筹协调推进电动汽车充电基础设施建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20.</w:t>
      </w:r>
      <w:r>
        <w:rPr>
          <w:rFonts w:hint="default" w:ascii="Times New Roman" w:hAnsi="Times New Roman" w:eastAsia="方正仿宋_GBK" w:cs="Times New Roman"/>
          <w:i w:val="0"/>
          <w:iCs w:val="0"/>
          <w:caps w:val="0"/>
          <w:color w:val="auto"/>
          <w:spacing w:val="0"/>
          <w:sz w:val="32"/>
          <w:szCs w:val="32"/>
          <w:highlight w:val="none"/>
          <w:shd w:val="clear" w:color="auto" w:fill="FFFFFF"/>
        </w:rPr>
        <w:t>负责天然气行业的行政管理、行政执法；承担天然气日常运行调度管理和行业管理，承担城镇天然气经营、输配、安全生产监督管理，承担城市门站以内城镇天然气管道安全保护监督管理工作。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21.</w:t>
      </w:r>
      <w:r>
        <w:rPr>
          <w:rFonts w:hint="default" w:ascii="Times New Roman" w:hAnsi="Times New Roman" w:eastAsia="方正仿宋_GBK" w:cs="Times New Roman"/>
          <w:i w:val="0"/>
          <w:iCs w:val="0"/>
          <w:caps w:val="0"/>
          <w:color w:val="auto"/>
          <w:spacing w:val="0"/>
          <w:sz w:val="32"/>
          <w:szCs w:val="32"/>
          <w:highlight w:val="none"/>
          <w:shd w:val="clear" w:color="auto" w:fill="FFFFFF"/>
        </w:rPr>
        <w:t>承担全县民用爆破器材生产、储存的行业管理工作。负责对全县民用爆破器材生产、储存企事业单位的安全生产工作进行监督检查。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22.</w:t>
      </w:r>
      <w:r>
        <w:rPr>
          <w:rFonts w:hint="default" w:ascii="Times New Roman" w:hAnsi="Times New Roman" w:eastAsia="方正仿宋_GBK" w:cs="Times New Roman"/>
          <w:i w:val="0"/>
          <w:iCs w:val="0"/>
          <w:caps w:val="0"/>
          <w:color w:val="auto"/>
          <w:spacing w:val="0"/>
          <w:sz w:val="32"/>
          <w:szCs w:val="32"/>
          <w:highlight w:val="none"/>
          <w:shd w:val="clear" w:color="auto" w:fill="FFFFFF"/>
        </w:rPr>
        <w:t>承担压缩天然气、液化天然气、液化石油气、醇基燃料的行业管理和日常安全生产监督管理工作。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23.</w:t>
      </w:r>
      <w:r>
        <w:rPr>
          <w:rFonts w:hint="default" w:ascii="Times New Roman" w:hAnsi="Times New Roman" w:eastAsia="方正仿宋_GBK" w:cs="Times New Roman"/>
          <w:i w:val="0"/>
          <w:iCs w:val="0"/>
          <w:caps w:val="0"/>
          <w:color w:val="auto"/>
          <w:spacing w:val="0"/>
          <w:sz w:val="32"/>
          <w:szCs w:val="32"/>
          <w:highlight w:val="none"/>
          <w:shd w:val="clear" w:color="auto" w:fill="FFFFFF"/>
        </w:rPr>
        <w:t>承担本县食盐专营管理、储备盐管理和盐业行政执法工作。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24.</w:t>
      </w:r>
      <w:r>
        <w:rPr>
          <w:rFonts w:hint="default" w:ascii="Times New Roman" w:hAnsi="Times New Roman" w:eastAsia="方正仿宋_GBK" w:cs="Times New Roman"/>
          <w:i w:val="0"/>
          <w:iCs w:val="0"/>
          <w:caps w:val="0"/>
          <w:color w:val="auto"/>
          <w:spacing w:val="0"/>
          <w:sz w:val="32"/>
          <w:szCs w:val="32"/>
          <w:highlight w:val="none"/>
          <w:shd w:val="clear" w:color="auto" w:fill="FFFFFF"/>
        </w:rPr>
        <w:t>综合协调军民融合发展工作，协调推进全县军民融合发展重大项目（专项工程）和重要事项，承担全县军工固定资产投资项目、军工科研项目，以及军工关键设备设施、重点实验室监督管理相关工作。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25.</w:t>
      </w:r>
      <w:r>
        <w:rPr>
          <w:rFonts w:hint="default" w:ascii="Times New Roman" w:hAnsi="Times New Roman" w:eastAsia="方正仿宋_GBK" w:cs="Times New Roman"/>
          <w:i w:val="0"/>
          <w:iCs w:val="0"/>
          <w:caps w:val="0"/>
          <w:color w:val="auto"/>
          <w:spacing w:val="0"/>
          <w:sz w:val="32"/>
          <w:szCs w:val="32"/>
          <w:highlight w:val="none"/>
          <w:shd w:val="clear" w:color="auto" w:fill="FFFFFF"/>
        </w:rPr>
        <w:t>拟定工业、信息化、科技领域的人才建设规划和有关支持政策并组织实施；协同有关部门做好人才引进和人才培训工作；承担工业系统人才工作和相关专业技术职称评审工作，指导工业系统专业技术人员管理工作。管理服务科技专家及人才队伍，做好引进科技智力工作。负责工业企业培训体系的建设和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26.</w:t>
      </w:r>
      <w:r>
        <w:rPr>
          <w:rFonts w:hint="default" w:ascii="Times New Roman" w:hAnsi="Times New Roman" w:eastAsia="方正仿宋_GBK" w:cs="Times New Roman"/>
          <w:i w:val="0"/>
          <w:iCs w:val="0"/>
          <w:caps w:val="0"/>
          <w:color w:val="auto"/>
          <w:spacing w:val="0"/>
          <w:sz w:val="32"/>
          <w:szCs w:val="32"/>
          <w:highlight w:val="none"/>
          <w:shd w:val="clear" w:color="auto" w:fill="FFFFFF"/>
        </w:rPr>
        <w:t>完成县委、县政府交办的其他任务。</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color w:val="auto"/>
          <w:sz w:val="32"/>
          <w:highlight w:val="none"/>
          <w:lang w:val="en-US" w:eastAsia="zh-CN"/>
        </w:rPr>
      </w:pPr>
      <w:r>
        <w:rPr>
          <w:rFonts w:hint="default" w:ascii="Times New Roman" w:hAnsi="Times New Roman" w:eastAsia="方正楷体_GBK" w:cs="Times New Roman"/>
          <w:color w:val="auto"/>
          <w:sz w:val="32"/>
          <w:highlight w:val="none"/>
        </w:rPr>
        <w:t>（二）</w:t>
      </w:r>
      <w:r>
        <w:rPr>
          <w:rFonts w:hint="default" w:ascii="Times New Roman" w:hAnsi="Times New Roman" w:eastAsia="方正楷体_GBK" w:cs="Times New Roman"/>
          <w:color w:val="auto"/>
          <w:sz w:val="32"/>
          <w:highlight w:val="none"/>
          <w:lang w:eastAsia="zh-CN"/>
        </w:rPr>
        <w:t>机构设置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城口县经济和信息化委员会内设</w:t>
      </w:r>
      <w:r>
        <w:rPr>
          <w:rFonts w:hint="default"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rPr>
        <w:t>个机构处室，分别是办公室（</w:t>
      </w:r>
      <w:r>
        <w:rPr>
          <w:rFonts w:hint="default" w:ascii="Times New Roman" w:hAnsi="Times New Roman" w:eastAsia="方正仿宋_GBK" w:cs="Times New Roman"/>
          <w:color w:val="auto"/>
          <w:sz w:val="32"/>
          <w:szCs w:val="32"/>
          <w:highlight w:val="none"/>
          <w:lang w:eastAsia="zh-CN"/>
        </w:rPr>
        <w:t>党建办、财务室</w:t>
      </w:r>
      <w:r>
        <w:rPr>
          <w:rFonts w:hint="default" w:ascii="Times New Roman" w:hAnsi="Times New Roman" w:eastAsia="方正仿宋_GBK" w:cs="Times New Roman"/>
          <w:color w:val="auto"/>
          <w:sz w:val="32"/>
          <w:szCs w:val="32"/>
          <w:highlight w:val="none"/>
        </w:rPr>
        <w:t>）、规划与投资科（政务服务科）、工业经济运行与中小微企业发展科、科技创新与发展科、信息化管理科（</w:t>
      </w:r>
      <w:r>
        <w:rPr>
          <w:rFonts w:hint="default" w:ascii="Times New Roman" w:hAnsi="Times New Roman" w:eastAsia="方正仿宋_GBK" w:cs="Times New Roman"/>
          <w:color w:val="auto"/>
          <w:sz w:val="32"/>
          <w:szCs w:val="32"/>
          <w:highlight w:val="none"/>
          <w:lang w:eastAsia="zh-CN"/>
        </w:rPr>
        <w:t>无线电</w:t>
      </w:r>
      <w:r>
        <w:rPr>
          <w:rFonts w:hint="default" w:ascii="Times New Roman" w:hAnsi="Times New Roman" w:eastAsia="方正仿宋_GBK" w:cs="Times New Roman"/>
          <w:color w:val="auto"/>
          <w:sz w:val="32"/>
          <w:szCs w:val="32"/>
          <w:highlight w:val="none"/>
        </w:rPr>
        <w:t>管理办公室</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电力管理办公室）、工业安全监督管理和节能环保科（执法科）、招商投资科。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城口县经济和信息化委员会机关行政编制</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2名</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机关后勤服务人员事业编制1名</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领</w:t>
      </w:r>
      <w:r>
        <w:rPr>
          <w:rFonts w:hint="default" w:ascii="Times New Roman" w:hAnsi="Times New Roman" w:eastAsia="方正仿宋_GBK" w:cs="Times New Roman"/>
          <w:color w:val="auto"/>
          <w:sz w:val="32"/>
          <w:szCs w:val="32"/>
          <w:highlight w:val="none"/>
        </w:rPr>
        <w:t>导职数</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名</w:t>
      </w:r>
      <w:r>
        <w:rPr>
          <w:rFonts w:hint="default" w:ascii="Times New Roman" w:hAnsi="Times New Roman" w:eastAsia="方正仿宋_GBK"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下属</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个二级预算单位，分别是城口县工业安全和环保节能服务中心、城口县招商投资促进中心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挂城口县生产力促进中心牌子）</w:t>
      </w:r>
      <w:r>
        <w:rPr>
          <w:rFonts w:hint="default" w:ascii="Times New Roman" w:hAnsi="Times New Roman" w:eastAsia="方正仿宋_GBK" w:cs="Times New Roman"/>
          <w:color w:val="auto"/>
          <w:sz w:val="32"/>
          <w:szCs w:val="32"/>
          <w:highlight w:val="none"/>
        </w:rPr>
        <w:t>。县工业安全和环保节能服务中心事业编制1</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名，领导职数</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名；城口县招商投资促进中心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挂城口县生产力促进中心牌子）</w:t>
      </w:r>
      <w:r>
        <w:rPr>
          <w:rFonts w:hint="default" w:ascii="Times New Roman" w:hAnsi="Times New Roman" w:eastAsia="方正仿宋_GBK" w:cs="Times New Roman"/>
          <w:color w:val="auto"/>
          <w:sz w:val="32"/>
          <w:szCs w:val="32"/>
          <w:highlight w:val="none"/>
        </w:rPr>
        <w:t>事业编制</w:t>
      </w: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名</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领导职数</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名。</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黑体" w:cs="Times New Roman"/>
          <w:color w:val="auto"/>
          <w:sz w:val="32"/>
          <w:szCs w:val="32"/>
          <w:highlight w:val="none"/>
          <w:shd w:val="clear" w:color="auto" w:fill="FFFFFF"/>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二、部门决算收支情况说明</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color w:val="auto"/>
          <w:sz w:val="32"/>
          <w:highlight w:val="none"/>
        </w:rPr>
      </w:pPr>
      <w:r>
        <w:rPr>
          <w:rFonts w:hint="default" w:ascii="Times New Roman" w:hAnsi="Times New Roman" w:eastAsia="方正楷体_GBK" w:cs="Times New Roman"/>
          <w:color w:val="auto"/>
          <w:sz w:val="32"/>
          <w:highlight w:val="none"/>
        </w:rPr>
        <w:t>（一）收入支出决算总体情况说明</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auto"/>
          <w:lang w:val="en-US" w:eastAsia="zh-CN"/>
        </w:rPr>
      </w:pPr>
      <w:r>
        <w:rPr>
          <w:rFonts w:hint="default" w:ascii="Times New Roman" w:hAnsi="Times New Roman" w:eastAsia="方正仿宋_GBK" w:cs="Times New Roman"/>
          <w:color w:val="auto"/>
          <w:sz w:val="32"/>
          <w:szCs w:val="32"/>
          <w:highlight w:val="none"/>
          <w:shd w:val="clear" w:color="auto" w:fill="FFFFFF"/>
        </w:rPr>
        <w:t>2024年度收</w:t>
      </w:r>
      <w:r>
        <w:rPr>
          <w:rFonts w:hint="default" w:ascii="Times New Roman" w:hAnsi="Times New Roman" w:eastAsia="方正仿宋_GBK" w:cs="Times New Roman"/>
          <w:color w:val="auto"/>
          <w:sz w:val="32"/>
          <w:szCs w:val="32"/>
          <w:highlight w:val="none"/>
          <w:shd w:val="clear" w:color="auto" w:fill="FFFFFF"/>
          <w:lang w:eastAsia="zh-CN"/>
        </w:rPr>
        <w:t>、支</w:t>
      </w:r>
      <w:r>
        <w:rPr>
          <w:rFonts w:hint="default" w:ascii="Times New Roman" w:hAnsi="Times New Roman" w:eastAsia="方正仿宋_GBK" w:cs="Times New Roman"/>
          <w:color w:val="auto"/>
          <w:sz w:val="32"/>
          <w:szCs w:val="32"/>
          <w:highlight w:val="none"/>
          <w:shd w:val="clear" w:color="auto" w:fill="FFFFFF"/>
        </w:rPr>
        <w:t>总计</w:t>
      </w:r>
      <w:r>
        <w:rPr>
          <w:rFonts w:hint="default" w:ascii="Times New Roman" w:hAnsi="Times New Roman" w:eastAsia="方正仿宋_GBK" w:cs="Times New Roman"/>
          <w:color w:val="auto"/>
          <w:sz w:val="32"/>
          <w:szCs w:val="32"/>
          <w:highlight w:val="none"/>
          <w:shd w:val="clear" w:color="auto" w:fill="FFFFFF"/>
          <w:lang w:eastAsia="zh-CN"/>
        </w:rPr>
        <w:t>均为</w:t>
      </w:r>
      <w:r>
        <w:rPr>
          <w:rFonts w:hint="default" w:ascii="Times New Roman" w:hAnsi="Times New Roman" w:eastAsia="方正仿宋_GBK" w:cs="Times New Roman"/>
          <w:color w:val="auto"/>
          <w:sz w:val="32"/>
          <w:szCs w:val="32"/>
          <w:highlight w:val="none"/>
          <w:shd w:val="clear" w:color="auto" w:fill="FFFFFF"/>
        </w:rPr>
        <w:t>1822.34万元。收、支与2023年度相比，减少344.21万元，下降15.9%，主要原因是</w:t>
      </w:r>
      <w:r>
        <w:rPr>
          <w:rFonts w:hint="default" w:ascii="Times New Roman" w:hAnsi="Times New Roman" w:eastAsia="方正仿宋_GBK" w:cs="Times New Roman"/>
          <w:color w:val="auto"/>
          <w:sz w:val="32"/>
          <w:szCs w:val="32"/>
          <w:highlight w:val="none"/>
          <w:shd w:val="clear" w:color="auto" w:fill="auto"/>
          <w:lang w:eastAsia="zh-CN"/>
        </w:rPr>
        <w:t>本年度下属事业单位独立核算，同时项目</w:t>
      </w:r>
      <w:r>
        <w:rPr>
          <w:rFonts w:hint="default" w:ascii="Times New Roman" w:hAnsi="Times New Roman" w:eastAsia="方正仿宋_GBK" w:cs="Times New Roman"/>
          <w:color w:val="auto"/>
          <w:sz w:val="32"/>
          <w:szCs w:val="32"/>
          <w:highlight w:val="none"/>
          <w:shd w:val="clear" w:color="auto" w:fill="auto"/>
          <w:lang w:val="en-US" w:eastAsia="zh-CN"/>
        </w:rPr>
        <w:t>收支</w:t>
      </w:r>
      <w:r>
        <w:rPr>
          <w:rFonts w:hint="default" w:ascii="Times New Roman" w:hAnsi="Times New Roman" w:eastAsia="方正仿宋_GBK" w:cs="Times New Roman"/>
          <w:color w:val="auto"/>
          <w:sz w:val="32"/>
          <w:szCs w:val="32"/>
          <w:highlight w:val="none"/>
          <w:shd w:val="clear" w:color="auto" w:fill="auto"/>
          <w:lang w:eastAsia="zh-CN"/>
        </w:rPr>
        <w:t>减少。</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8"/>
          <w:rFonts w:hint="default" w:ascii="Times New Roman" w:hAnsi="Times New Roman" w:eastAsia="方正仿宋_GBK" w:cs="Times New Roman"/>
          <w:color w:val="auto"/>
          <w:sz w:val="32"/>
          <w:szCs w:val="32"/>
          <w:highlight w:val="none"/>
          <w:shd w:val="clear" w:color="auto" w:fill="FFFFFF"/>
          <w:lang w:val="en-US" w:eastAsia="zh-CN"/>
        </w:rPr>
        <w:t>1</w:t>
      </w:r>
      <w:r>
        <w:rPr>
          <w:rStyle w:val="8"/>
          <w:rFonts w:hint="default" w:ascii="Times New Roman" w:hAnsi="Times New Roman" w:eastAsia="方正仿宋_GBK" w:cs="Times New Roman"/>
          <w:color w:val="auto"/>
          <w:sz w:val="32"/>
          <w:szCs w:val="32"/>
          <w:highlight w:val="none"/>
          <w:shd w:val="clear" w:color="auto" w:fill="FFFFFF"/>
        </w:rPr>
        <w:t>.收入情况。</w:t>
      </w:r>
      <w:r>
        <w:rPr>
          <w:rFonts w:hint="default" w:ascii="Times New Roman" w:hAnsi="Times New Roman" w:eastAsia="方正仿宋_GBK" w:cs="Times New Roman"/>
          <w:color w:val="auto"/>
          <w:sz w:val="32"/>
          <w:szCs w:val="32"/>
          <w:highlight w:val="none"/>
          <w:shd w:val="clear" w:color="auto" w:fill="FFFFFF"/>
        </w:rPr>
        <w:t>2024年度收入合计1343.78万元，与2023年度相比，减少534.03万元，下降28.4%，主要原因是本年度下属事业单位独立核算</w:t>
      </w:r>
      <w:r>
        <w:rPr>
          <w:rFonts w:hint="default" w:ascii="Times New Roman" w:hAnsi="Times New Roman" w:eastAsia="方正仿宋_GBK" w:cs="Times New Roman"/>
          <w:color w:val="auto"/>
          <w:sz w:val="32"/>
          <w:szCs w:val="32"/>
          <w:highlight w:val="none"/>
          <w:shd w:val="clear" w:color="auto" w:fill="auto"/>
          <w:lang w:eastAsia="zh-CN"/>
        </w:rPr>
        <w:t>，同时项目预算减少</w:t>
      </w:r>
      <w:r>
        <w:rPr>
          <w:rFonts w:hint="default" w:ascii="Times New Roman" w:hAnsi="Times New Roman" w:eastAsia="方正仿宋_GBK" w:cs="Times New Roman"/>
          <w:color w:val="auto"/>
          <w:sz w:val="32"/>
          <w:szCs w:val="32"/>
          <w:highlight w:val="none"/>
          <w:shd w:val="clear" w:color="auto" w:fill="FFFFFF"/>
        </w:rPr>
        <w:t>。其中：财政拨款收入1343.78万元，占100.0%；事业收入0.00万元，占0.0%；经营收入0.00万元，占0.0%；其他收入0.00万元，占0.0%。此外，使用非财政拨款结余（含专用结余）0.00万元，年初结转和结余478.56万元。</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8"/>
          <w:rFonts w:hint="default" w:ascii="Times New Roman" w:hAnsi="Times New Roman" w:eastAsia="方正仿宋_GBK" w:cs="Times New Roman"/>
          <w:color w:val="auto"/>
          <w:sz w:val="32"/>
          <w:szCs w:val="32"/>
          <w:highlight w:val="none"/>
          <w:shd w:val="clear" w:color="auto" w:fill="FFFFFF"/>
          <w:lang w:val="en-US" w:eastAsia="zh-CN"/>
        </w:rPr>
        <w:t>2</w:t>
      </w:r>
      <w:r>
        <w:rPr>
          <w:rStyle w:val="8"/>
          <w:rFonts w:hint="default" w:ascii="Times New Roman" w:hAnsi="Times New Roman" w:eastAsia="方正仿宋_GBK" w:cs="Times New Roman"/>
          <w:color w:val="auto"/>
          <w:sz w:val="32"/>
          <w:szCs w:val="32"/>
          <w:highlight w:val="none"/>
          <w:shd w:val="clear" w:color="auto" w:fill="FFFFFF"/>
        </w:rPr>
        <w:t>.支出情况。</w:t>
      </w:r>
      <w:r>
        <w:rPr>
          <w:rFonts w:hint="default" w:ascii="Times New Roman" w:hAnsi="Times New Roman" w:eastAsia="方正仿宋_GBK" w:cs="Times New Roman"/>
          <w:color w:val="auto"/>
          <w:sz w:val="32"/>
          <w:szCs w:val="32"/>
          <w:highlight w:val="none"/>
          <w:shd w:val="clear" w:color="auto" w:fill="FFFFFF"/>
        </w:rPr>
        <w:t>2024年度支出合计1740.55万元，与2023年度相比，减少37.09万元，下降2.1%，主要原因是本年度下属事业单位独立核算。其中：基本支出404.42万元，占23.2%；项目支出1336.13万元，占76.8%；经营支出</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万元，占0.0%。此外，结余分配0.00万元。</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仿宋_GBK" w:cs="Times New Roman"/>
          <w:color w:val="auto"/>
          <w:sz w:val="32"/>
          <w:szCs w:val="32"/>
          <w:highlight w:val="none"/>
          <w:shd w:val="clear" w:color="auto" w:fill="FFFFFF"/>
          <w:lang w:val="en-US" w:eastAsia="zh-CN"/>
        </w:rPr>
        <w:t>3</w:t>
      </w:r>
      <w:r>
        <w:rPr>
          <w:rStyle w:val="8"/>
          <w:rFonts w:hint="default" w:ascii="Times New Roman" w:hAnsi="Times New Roman" w:eastAsia="方正仿宋_GBK" w:cs="Times New Roman"/>
          <w:color w:val="auto"/>
          <w:sz w:val="32"/>
          <w:szCs w:val="32"/>
          <w:highlight w:val="none"/>
          <w:shd w:val="clear" w:color="auto" w:fill="FFFFFF"/>
        </w:rPr>
        <w:t>.结转结余情况。</w:t>
      </w:r>
      <w:r>
        <w:rPr>
          <w:rFonts w:hint="default" w:ascii="Times New Roman" w:hAnsi="Times New Roman" w:eastAsia="方正仿宋_GBK" w:cs="Times New Roman"/>
          <w:color w:val="auto"/>
          <w:sz w:val="32"/>
          <w:szCs w:val="32"/>
          <w:highlight w:val="none"/>
          <w:shd w:val="clear" w:color="auto" w:fill="FFFFFF"/>
        </w:rPr>
        <w:t>2024年度年末结转和结余81.79万元，与2023年度相比，减少307.12万元，下降79.0%，主要原因是年初结转和结余</w:t>
      </w:r>
      <w:r>
        <w:rPr>
          <w:rFonts w:hint="default" w:ascii="Times New Roman" w:hAnsi="Times New Roman" w:eastAsia="方正仿宋_GBK" w:cs="Times New Roman"/>
          <w:color w:val="auto"/>
          <w:sz w:val="32"/>
          <w:szCs w:val="32"/>
          <w:highlight w:val="none"/>
          <w:shd w:val="clear" w:color="auto" w:fill="FFFFFF"/>
          <w:lang w:eastAsia="zh-CN"/>
        </w:rPr>
        <w:t>资金实现支付</w:t>
      </w:r>
      <w:r>
        <w:rPr>
          <w:rFonts w:hint="default" w:ascii="Times New Roman" w:hAnsi="Times New Roman" w:eastAsia="方正仿宋_GBK" w:cs="Times New Roman"/>
          <w:color w:val="auto"/>
          <w:sz w:val="32"/>
          <w:szCs w:val="32"/>
          <w:highlight w:val="none"/>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Fonts w:hint="default" w:ascii="Times New Roman" w:hAnsi="Times New Roman" w:eastAsia="方正楷体_GBK" w:cs="Times New Roman"/>
          <w:color w:val="auto"/>
          <w:sz w:val="32"/>
          <w:szCs w:val="24"/>
          <w:highlight w:val="none"/>
          <w:lang w:val="en-US" w:eastAsia="zh-CN" w:bidi="ar-SA"/>
        </w:rPr>
        <w:t>（二）财政拨款收入支出决算总体情况说明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2024年度财政拨款收、支总计均为1446.96万元。与2023年</w:t>
      </w:r>
      <w:r>
        <w:rPr>
          <w:rFonts w:hint="default" w:ascii="Times New Roman" w:hAnsi="Times New Roman" w:eastAsia="方正仿宋_GBK" w:cs="Times New Roman"/>
          <w:color w:val="auto"/>
          <w:sz w:val="32"/>
          <w:szCs w:val="32"/>
          <w:highlight w:val="none"/>
          <w:shd w:val="clear" w:color="auto" w:fill="FFFFFF"/>
          <w:lang w:eastAsia="zh-CN"/>
        </w:rPr>
        <w:t>度</w:t>
      </w:r>
      <w:r>
        <w:rPr>
          <w:rFonts w:hint="default" w:ascii="Times New Roman" w:hAnsi="Times New Roman" w:eastAsia="方正仿宋_GBK" w:cs="Times New Roman"/>
          <w:color w:val="auto"/>
          <w:sz w:val="32"/>
          <w:szCs w:val="32"/>
          <w:highlight w:val="none"/>
          <w:shd w:val="clear" w:color="auto" w:fill="FFFFFF"/>
        </w:rPr>
        <w:t>相比，财政拨款收、支总计各增加55.54万元，增长4.0%。主要原因是</w:t>
      </w:r>
      <w:r>
        <w:rPr>
          <w:rFonts w:hint="default" w:ascii="Times New Roman" w:hAnsi="Times New Roman" w:eastAsia="方正仿宋_GBK" w:cs="Times New Roman"/>
          <w:color w:val="auto"/>
          <w:sz w:val="32"/>
          <w:szCs w:val="32"/>
          <w:highlight w:val="none"/>
          <w:shd w:val="clear" w:color="auto" w:fill="FFFFFF"/>
          <w:lang w:eastAsia="zh-CN"/>
        </w:rPr>
        <w:t>年中追加了项目预算和人员工资待遇调整预算</w:t>
      </w:r>
      <w:r>
        <w:rPr>
          <w:rFonts w:hint="default" w:ascii="Times New Roman" w:hAnsi="Times New Roman" w:eastAsia="方正仿宋_GBK" w:cs="Times New Roman"/>
          <w:color w:val="auto"/>
          <w:sz w:val="32"/>
          <w:szCs w:val="32"/>
          <w:highlight w:val="none"/>
          <w:shd w:val="clear" w:color="auto" w:fill="FFFFFF"/>
        </w:rPr>
        <w:t>。</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color w:val="auto"/>
          <w:sz w:val="32"/>
          <w:highlight w:val="none"/>
        </w:rPr>
      </w:pPr>
      <w:r>
        <w:rPr>
          <w:rFonts w:hint="default" w:ascii="Times New Roman" w:hAnsi="Times New Roman" w:eastAsia="方正楷体_GBK" w:cs="Times New Roman"/>
          <w:color w:val="auto"/>
          <w:sz w:val="32"/>
          <w:highlight w:val="none"/>
        </w:rPr>
        <w:t>（三）一般公共预算财政拨款收入支出决算情况说明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仿宋_GBK" w:cs="Times New Roman"/>
          <w:color w:val="auto"/>
          <w:sz w:val="32"/>
          <w:szCs w:val="32"/>
          <w:highlight w:val="none"/>
          <w:shd w:val="clear" w:color="auto" w:fill="FFFFFF"/>
        </w:rPr>
        <w:t>1.收入情况。</w:t>
      </w:r>
      <w:r>
        <w:rPr>
          <w:rFonts w:hint="default" w:ascii="Times New Roman" w:hAnsi="Times New Roman" w:eastAsia="方正仿宋_GBK" w:cs="Times New Roman"/>
          <w:color w:val="auto"/>
          <w:sz w:val="32"/>
          <w:szCs w:val="32"/>
          <w:highlight w:val="none"/>
          <w:shd w:val="clear" w:color="auto" w:fill="FFFFFF"/>
        </w:rPr>
        <w:t>2024年度一般公共预算财政拨款收入1277.51万元，与2023年度相比，增加55.64万元，增长4.6%。主要原因是</w:t>
      </w:r>
      <w:r>
        <w:rPr>
          <w:rFonts w:hint="default" w:ascii="Times New Roman" w:hAnsi="Times New Roman" w:eastAsia="方正仿宋_GBK" w:cs="Times New Roman"/>
          <w:color w:val="auto"/>
          <w:sz w:val="32"/>
          <w:szCs w:val="32"/>
          <w:highlight w:val="none"/>
          <w:shd w:val="clear" w:color="auto" w:fill="FFFFFF"/>
          <w:lang w:eastAsia="zh-CN"/>
        </w:rPr>
        <w:t>年中追加了项目预算和人员工资待遇调整预算</w:t>
      </w:r>
      <w:r>
        <w:rPr>
          <w:rFonts w:hint="default" w:ascii="Times New Roman" w:hAnsi="Times New Roman" w:eastAsia="方正仿宋_GBK" w:cs="Times New Roman"/>
          <w:color w:val="auto"/>
          <w:sz w:val="32"/>
          <w:szCs w:val="32"/>
          <w:highlight w:val="none"/>
          <w:shd w:val="clear" w:color="auto" w:fill="FFFFFF"/>
        </w:rPr>
        <w:t>。较年初预算数增加654.59万元，增长105.1%。主要原因是</w:t>
      </w:r>
      <w:r>
        <w:rPr>
          <w:rFonts w:hint="default" w:ascii="Times New Roman" w:hAnsi="Times New Roman" w:eastAsia="方正仿宋_GBK" w:cs="Times New Roman"/>
          <w:color w:val="auto"/>
          <w:sz w:val="32"/>
          <w:szCs w:val="32"/>
          <w:highlight w:val="none"/>
          <w:shd w:val="clear" w:color="auto" w:fill="FFFFFF"/>
          <w:lang w:eastAsia="zh-CN"/>
        </w:rPr>
        <w:t>年中追加了项目预算和人员工资待遇调整预算</w:t>
      </w:r>
      <w:r>
        <w:rPr>
          <w:rFonts w:hint="default" w:ascii="Times New Roman" w:hAnsi="Times New Roman" w:eastAsia="方正仿宋_GBK" w:cs="Times New Roman"/>
          <w:color w:val="auto"/>
          <w:sz w:val="32"/>
          <w:szCs w:val="32"/>
          <w:highlight w:val="none"/>
          <w:shd w:val="clear" w:color="auto" w:fill="FFFFFF"/>
        </w:rPr>
        <w:t>。此外，年初财政拨款结转和结余103.19万元。</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8"/>
          <w:rFonts w:hint="default" w:ascii="Times New Roman" w:hAnsi="Times New Roman" w:eastAsia="方正仿宋_GBK" w:cs="Times New Roman"/>
          <w:color w:val="auto"/>
          <w:sz w:val="32"/>
          <w:szCs w:val="32"/>
          <w:highlight w:val="none"/>
          <w:shd w:val="clear" w:color="auto" w:fill="FFFFFF"/>
        </w:rPr>
        <w:t>2.支出情况。</w:t>
      </w:r>
      <w:r>
        <w:rPr>
          <w:rFonts w:hint="default" w:ascii="Times New Roman" w:hAnsi="Times New Roman" w:eastAsia="方正仿宋_GBK" w:cs="Times New Roman"/>
          <w:color w:val="auto"/>
          <w:sz w:val="32"/>
          <w:szCs w:val="32"/>
          <w:highlight w:val="none"/>
          <w:shd w:val="clear" w:color="auto" w:fill="FFFFFF"/>
        </w:rPr>
        <w:t>2024年度一般公共预算财政拨款支出1325.73万元，与2023年度相比，增加37.50万元，增长2.9%。主要原因是</w:t>
      </w:r>
      <w:r>
        <w:rPr>
          <w:rFonts w:hint="default" w:ascii="Times New Roman" w:hAnsi="Times New Roman" w:eastAsia="方正仿宋_GBK" w:cs="Times New Roman"/>
          <w:color w:val="auto"/>
          <w:sz w:val="32"/>
          <w:szCs w:val="32"/>
          <w:highlight w:val="none"/>
          <w:shd w:val="clear" w:color="auto" w:fill="FFFFFF"/>
          <w:lang w:eastAsia="zh-CN"/>
        </w:rPr>
        <w:t>年中追加了项目支出和人员工资待遇调整支出</w:t>
      </w:r>
      <w:r>
        <w:rPr>
          <w:rFonts w:hint="default" w:ascii="Times New Roman" w:hAnsi="Times New Roman" w:eastAsia="方正仿宋_GBK" w:cs="Times New Roman"/>
          <w:color w:val="auto"/>
          <w:sz w:val="32"/>
          <w:szCs w:val="32"/>
          <w:highlight w:val="none"/>
          <w:shd w:val="clear" w:color="auto" w:fill="FFFFFF"/>
        </w:rPr>
        <w:t>。较年初预算数增加702.81万元，增长112.8%。主要原因是</w:t>
      </w:r>
      <w:r>
        <w:rPr>
          <w:rFonts w:hint="default" w:ascii="Times New Roman" w:hAnsi="Times New Roman" w:eastAsia="方正仿宋_GBK" w:cs="Times New Roman"/>
          <w:color w:val="auto"/>
          <w:sz w:val="32"/>
          <w:szCs w:val="32"/>
          <w:highlight w:val="none"/>
          <w:shd w:val="clear" w:color="auto" w:fill="FFFFFF"/>
          <w:lang w:eastAsia="zh-CN"/>
        </w:rPr>
        <w:t>年中追加了项目支出和人员工资待遇调整支出</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一般公共预算财政拨款支出主要</w:t>
      </w:r>
      <w:r>
        <w:rPr>
          <w:rFonts w:hint="default" w:ascii="Times New Roman" w:hAnsi="Times New Roman" w:eastAsia="方正仿宋_GBK" w:cs="Times New Roman"/>
          <w:color w:val="auto"/>
          <w:sz w:val="32"/>
          <w:szCs w:val="32"/>
          <w:highlight w:val="none"/>
          <w:shd w:val="clear" w:color="auto" w:fill="FFFFFF"/>
          <w:lang w:eastAsia="zh-CN"/>
        </w:rPr>
        <w:t>用途如下</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（1）一般公共服务支出32.22万元，占2.4%，较年初预算数增加29.89万元，增长1282.8%，主要原因是</w:t>
      </w:r>
      <w:r>
        <w:rPr>
          <w:rFonts w:hint="default" w:ascii="Times New Roman" w:hAnsi="Times New Roman" w:eastAsia="方正仿宋_GBK" w:cs="Times New Roman"/>
          <w:color w:val="auto"/>
          <w:sz w:val="32"/>
          <w:szCs w:val="32"/>
          <w:highlight w:val="none"/>
          <w:shd w:val="clear" w:color="auto" w:fill="FFFFFF"/>
          <w:lang w:eastAsia="zh-CN"/>
        </w:rPr>
        <w:t>机构改革将招商统筹职责划转到我单位，招商引资工作</w:t>
      </w:r>
      <w:r>
        <w:rPr>
          <w:rFonts w:hint="default" w:ascii="Times New Roman" w:hAnsi="Times New Roman" w:eastAsia="方正仿宋_GBK" w:cs="Times New Roman"/>
          <w:color w:val="auto"/>
          <w:sz w:val="32"/>
          <w:szCs w:val="32"/>
          <w:highlight w:val="none"/>
          <w:shd w:val="clear" w:color="auto" w:fill="FFFFFF"/>
          <w:lang w:val="en-US" w:eastAsia="zh-CN"/>
        </w:rPr>
        <w:t>经费支出增加</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2</w:t>
      </w:r>
      <w:r>
        <w:rPr>
          <w:rFonts w:hint="default" w:ascii="Times New Roman" w:hAnsi="Times New Roman" w:eastAsia="方正仿宋_GBK" w:cs="Times New Roman"/>
          <w:color w:val="auto"/>
          <w:sz w:val="32"/>
          <w:szCs w:val="32"/>
          <w:highlight w:val="none"/>
          <w:shd w:val="clear" w:color="auto" w:fill="FFFFFF"/>
        </w:rPr>
        <w:t>）科学技术支出262.88万元，占19.8%，较年初预算数增加262.88万元，增长100.0%，主要原因是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年中追加了市级引导区县科技发展专项、“三区”科技人才支持计划专项、工业企业升规补助等项目支出</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shd w:val="clear" w:color="auto" w:fill="FFFFFF"/>
        </w:rPr>
        <w:t>）社会保障</w:t>
      </w:r>
      <w:r>
        <w:rPr>
          <w:rFonts w:hint="default" w:ascii="Times New Roman" w:hAnsi="Times New Roman" w:eastAsia="方正仿宋_GBK" w:cs="Times New Roman"/>
          <w:color w:val="auto"/>
          <w:sz w:val="32"/>
          <w:szCs w:val="32"/>
          <w:highlight w:val="none"/>
          <w:shd w:val="clear" w:color="auto" w:fill="FFFFFF"/>
          <w:lang w:eastAsia="zh-CN"/>
        </w:rPr>
        <w:t>和</w:t>
      </w:r>
      <w:r>
        <w:rPr>
          <w:rFonts w:hint="default" w:ascii="Times New Roman" w:hAnsi="Times New Roman" w:eastAsia="方正仿宋_GBK" w:cs="Times New Roman"/>
          <w:color w:val="auto"/>
          <w:sz w:val="32"/>
          <w:szCs w:val="32"/>
          <w:highlight w:val="none"/>
          <w:shd w:val="clear" w:color="auto" w:fill="FFFFFF"/>
        </w:rPr>
        <w:t>就业支出123.65万元，占9.3%，较年初预算数减少13.00万元，下降9.5%，主要原因是本年度下属事业单位独立核算。</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）卫生健康支出15.56万元，占1.2%，较年初预算数减少12.49万元，下降44.5%，主要原因是本年度下属事业单位独立核算。</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5</w:t>
      </w:r>
      <w:r>
        <w:rPr>
          <w:rFonts w:hint="default" w:ascii="Times New Roman" w:hAnsi="Times New Roman" w:eastAsia="方正仿宋_GBK" w:cs="Times New Roman"/>
          <w:color w:val="auto"/>
          <w:sz w:val="32"/>
          <w:szCs w:val="32"/>
          <w:highlight w:val="none"/>
          <w:shd w:val="clear" w:color="auto" w:fill="FFFFFF"/>
        </w:rPr>
        <w:t>）农林水支出491.85万元，占37.1%，较年初预算数增加491.85万元，增长100.0%，主要原因是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年中追加了城口老腊肉数字赋能建设、三品功能食品研究、川贝母产业研究、曲茎石斛产业研究等项目支出。</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6</w:t>
      </w:r>
      <w:r>
        <w:rPr>
          <w:rFonts w:hint="default" w:ascii="Times New Roman" w:hAnsi="Times New Roman" w:eastAsia="方正仿宋_GBK" w:cs="Times New Roman"/>
          <w:color w:val="auto"/>
          <w:sz w:val="32"/>
          <w:szCs w:val="32"/>
          <w:highlight w:val="none"/>
          <w:shd w:val="clear" w:color="auto" w:fill="FFFFFF"/>
        </w:rPr>
        <w:t>）资源勘探信息等支出365.34万元，占27.6%，较年初预算数减少55.99万元，下降13.3%，主要原因是本年度下属事业单位独立核算。</w:t>
      </w:r>
    </w:p>
    <w:p>
      <w:pPr>
        <w:keepNext w:val="0"/>
        <w:keepLines w:val="0"/>
        <w:pageBreakBefore w:val="0"/>
        <w:kinsoku/>
        <w:wordWrap/>
        <w:overflowPunct/>
        <w:topLinePunct w:val="0"/>
        <w:autoSpaceDN/>
        <w:bidi w:val="0"/>
        <w:adjustRightInd/>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7</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rPr>
        <w:t>住房保障支出</w:t>
      </w:r>
      <w:r>
        <w:rPr>
          <w:rFonts w:hint="default" w:ascii="Times New Roman" w:hAnsi="Times New Roman" w:eastAsia="方正仿宋_GBK" w:cs="Times New Roman"/>
          <w:color w:val="auto"/>
          <w:sz w:val="32"/>
          <w:szCs w:val="32"/>
          <w:highlight w:val="none"/>
          <w:shd w:val="clear" w:color="auto" w:fill="FFFFFF"/>
        </w:rPr>
        <w:t>34.24万元，占2.6%，较年初预算数减少0.33万元，下降1.0%，主要原因是本年度下属事业单位独立核算。</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Style w:val="8"/>
          <w:rFonts w:hint="default" w:ascii="Times New Roman" w:hAnsi="Times New Roman" w:eastAsia="方正仿宋_GBK" w:cs="Times New Roman"/>
          <w:color w:val="auto"/>
          <w:sz w:val="32"/>
          <w:szCs w:val="32"/>
          <w:highlight w:val="none"/>
          <w:shd w:val="clear" w:color="auto" w:fill="FFFFFF"/>
        </w:rPr>
        <w:t>3.结转结余情况。</w:t>
      </w:r>
      <w:r>
        <w:rPr>
          <w:rFonts w:hint="default" w:ascii="Times New Roman" w:hAnsi="Times New Roman" w:eastAsia="方正仿宋_GBK" w:cs="Times New Roman"/>
          <w:color w:val="auto"/>
          <w:sz w:val="32"/>
          <w:szCs w:val="32"/>
          <w:highlight w:val="none"/>
          <w:shd w:val="clear" w:color="auto" w:fill="FFFFFF"/>
        </w:rPr>
        <w:t>2024年度年末一般公共预算财政拨款结转和结余54.97万元，与2023年度相比，减少48.22万元，下降46.7%，主要原因是年初结转和结余资金实现支付。</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color w:val="auto"/>
          <w:sz w:val="32"/>
          <w:highlight w:val="none"/>
        </w:rPr>
      </w:pPr>
      <w:r>
        <w:rPr>
          <w:rFonts w:hint="default" w:ascii="Times New Roman" w:hAnsi="Times New Roman" w:eastAsia="方正楷体_GBK" w:cs="Times New Roman"/>
          <w:color w:val="auto"/>
          <w:sz w:val="32"/>
          <w:highlight w:val="none"/>
        </w:rPr>
        <w:t>（四）一般公共预算财政拨款基本支出决算情况说明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2024年度一般公共财政拨款基本支出375.02万元。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其中：</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人员经费334.13万元，与2023年度相比，减少294.24万元，下降46.8%，主要原因是本年度下属事业单位独立核算。人员经费用途主要包括基本工资、津贴补贴、奖金、社会保障缴费、健康休养费等各项费用支出。</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公用经费40.89万元，与2023年度相比，减少8.16万元，下降16.6%，主要原因是本年度下属事业单位独立核算</w:t>
      </w:r>
      <w:r>
        <w:rPr>
          <w:rFonts w:hint="default" w:ascii="Times New Roman" w:hAnsi="Times New Roman" w:eastAsia="方正仿宋_GBK" w:cs="Times New Roman"/>
          <w:color w:val="auto"/>
          <w:sz w:val="32"/>
          <w:szCs w:val="32"/>
          <w:highlight w:val="none"/>
          <w:shd w:val="clear" w:color="auto" w:fill="FFFFFF"/>
          <w:lang w:eastAsia="zh-CN"/>
        </w:rPr>
        <w:t>，相应的公用经费减少</w:t>
      </w:r>
      <w:r>
        <w:rPr>
          <w:rFonts w:hint="default" w:ascii="Times New Roman" w:hAnsi="Times New Roman" w:eastAsia="方正仿宋_GBK" w:cs="Times New Roman"/>
          <w:color w:val="auto"/>
          <w:sz w:val="32"/>
          <w:szCs w:val="32"/>
          <w:highlight w:val="none"/>
          <w:shd w:val="clear" w:color="auto" w:fill="FFFFFF"/>
        </w:rPr>
        <w:t>。公用经费用途主要包括办公费</w:t>
      </w:r>
      <w:r>
        <w:rPr>
          <w:rFonts w:hint="default" w:ascii="Times New Roman" w:hAnsi="Times New Roman" w:eastAsia="方正仿宋_GBK" w:cs="Times New Roman"/>
          <w:color w:val="auto"/>
          <w:sz w:val="32"/>
          <w:szCs w:val="32"/>
          <w:highlight w:val="none"/>
          <w:shd w:val="clear" w:color="auto" w:fill="FFFFFF"/>
          <w:lang w:eastAsia="zh-CN"/>
        </w:rPr>
        <w:t>、印刷费、水费、电费、邮电费、差旅费、公务接待费、委托业务费、工会经费、 公务用车运行维护费等</w:t>
      </w:r>
      <w:r>
        <w:rPr>
          <w:rFonts w:hint="default" w:ascii="Times New Roman" w:hAnsi="Times New Roman" w:eastAsia="方正仿宋_GBK" w:cs="Times New Roman"/>
          <w:color w:val="auto"/>
          <w:sz w:val="32"/>
          <w:szCs w:val="32"/>
          <w:highlight w:val="none"/>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Fonts w:hint="default" w:ascii="Times New Roman" w:hAnsi="Times New Roman" w:eastAsia="方正楷体_GBK" w:cs="Times New Roman"/>
          <w:color w:val="auto"/>
          <w:sz w:val="32"/>
          <w:szCs w:val="24"/>
          <w:highlight w:val="none"/>
          <w:lang w:val="en-US" w:eastAsia="zh-CN" w:bidi="ar-SA"/>
        </w:rPr>
        <w:t>（五）政府性基金预算收支决算情况说明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2024年度政府性基金预算财政拨款年初结转结余0.00万元，年末结转结余0.00万元。本年收入66.27万元，与2023年度相比，增加66.27万元，增长100.0%，主要原因是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年中追加了城口县特色产业园片区燃气管道更新改造项目预算。</w:t>
      </w:r>
      <w:r>
        <w:rPr>
          <w:rFonts w:hint="default" w:ascii="Times New Roman" w:hAnsi="Times New Roman" w:eastAsia="方正仿宋_GBK" w:cs="Times New Roman"/>
          <w:color w:val="auto"/>
          <w:sz w:val="32"/>
          <w:szCs w:val="32"/>
          <w:highlight w:val="none"/>
          <w:shd w:val="clear" w:color="auto" w:fill="FFFFFF"/>
        </w:rPr>
        <w:t>本年支出66.27万元，与2023年度相比，增加66.27万元，增长100.0%，主要原因是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年中追加了城口县特色产业园片区燃气管道更新改造项目支出。</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Fonts w:hint="default" w:ascii="Times New Roman" w:hAnsi="Times New Roman" w:eastAsia="方正楷体_GBK" w:cs="Times New Roman"/>
          <w:color w:val="auto"/>
          <w:sz w:val="32"/>
          <w:szCs w:val="24"/>
          <w:highlight w:val="none"/>
          <w:lang w:val="en-US" w:eastAsia="zh-CN" w:bidi="ar-SA"/>
        </w:rPr>
        <w:t>（六）国有资本经营预算财政拨款支出决算情况说明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本部门2024年度无国有资本经营预算财政拨款支出。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黑体" w:cs="Times New Roman"/>
          <w:color w:val="auto"/>
          <w:sz w:val="32"/>
          <w:szCs w:val="32"/>
          <w:highlight w:val="none"/>
          <w:shd w:val="clear" w:color="auto" w:fill="FFFFFF"/>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三、财政拨款“三公”经费情况说明</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Fonts w:hint="default" w:ascii="Times New Roman" w:hAnsi="Times New Roman" w:eastAsia="方正楷体_GBK" w:cs="Times New Roman"/>
          <w:color w:val="auto"/>
          <w:sz w:val="32"/>
          <w:szCs w:val="24"/>
          <w:highlight w:val="none"/>
          <w:lang w:val="en-US" w:eastAsia="zh-CN" w:bidi="ar-SA"/>
        </w:rPr>
        <w:t>（一）“三公”经费支出总体情况说明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2024年度“三公”经费支出共计12.64万元，较年初预算数增加4.44万元，增长54.2%，主要原因是机构改革将招商</w:t>
      </w:r>
      <w:r>
        <w:rPr>
          <w:rFonts w:hint="default" w:ascii="Times New Roman" w:hAnsi="Times New Roman" w:eastAsia="方正仿宋_GBK" w:cs="Times New Roman"/>
          <w:color w:val="auto"/>
          <w:sz w:val="32"/>
          <w:szCs w:val="32"/>
          <w:highlight w:val="none"/>
          <w:shd w:val="clear" w:color="auto" w:fill="FFFFFF"/>
          <w:lang w:eastAsia="zh-CN"/>
        </w:rPr>
        <w:t>统筹职责</w:t>
      </w:r>
      <w:r>
        <w:rPr>
          <w:rFonts w:hint="default" w:ascii="Times New Roman" w:hAnsi="Times New Roman" w:eastAsia="方正仿宋_GBK" w:cs="Times New Roman"/>
          <w:color w:val="auto"/>
          <w:sz w:val="32"/>
          <w:szCs w:val="32"/>
          <w:highlight w:val="none"/>
          <w:shd w:val="clear" w:color="auto" w:fill="FFFFFF"/>
        </w:rPr>
        <w:t>划转到我单位，</w:t>
      </w:r>
      <w:r>
        <w:rPr>
          <w:rFonts w:hint="default" w:ascii="Times New Roman" w:hAnsi="Times New Roman" w:eastAsia="方正仿宋_GBK" w:cs="Times New Roman"/>
          <w:color w:val="auto"/>
          <w:sz w:val="32"/>
          <w:szCs w:val="32"/>
          <w:highlight w:val="none"/>
          <w:shd w:val="clear" w:color="auto" w:fill="FFFFFF"/>
          <w:lang w:eastAsia="zh-CN"/>
        </w:rPr>
        <w:t>招商接待支出增加。</w:t>
      </w:r>
      <w:r>
        <w:rPr>
          <w:rFonts w:hint="default" w:ascii="Times New Roman" w:hAnsi="Times New Roman" w:eastAsia="方正仿宋_GBK" w:cs="Times New Roman"/>
          <w:color w:val="auto"/>
          <w:sz w:val="32"/>
          <w:szCs w:val="32"/>
          <w:highlight w:val="none"/>
          <w:shd w:val="clear" w:color="auto" w:fill="FFFFFF"/>
        </w:rPr>
        <w:t>较上年支出数减少43.88万元，下降77.6%，主要原因是本年</w:t>
      </w:r>
      <w:r>
        <w:rPr>
          <w:rFonts w:hint="default" w:ascii="Times New Roman" w:hAnsi="Times New Roman" w:eastAsia="方正仿宋_GBK" w:cs="Times New Roman"/>
          <w:color w:val="auto"/>
          <w:sz w:val="32"/>
          <w:szCs w:val="32"/>
          <w:highlight w:val="none"/>
          <w:shd w:val="clear" w:color="auto" w:fill="FFFFFF"/>
          <w:lang w:eastAsia="zh-CN"/>
        </w:rPr>
        <w:t>使用非财政拨款安排的资金</w:t>
      </w:r>
      <w:r>
        <w:rPr>
          <w:rFonts w:hint="default" w:ascii="Times New Roman" w:hAnsi="Times New Roman" w:eastAsia="方正仿宋_GBK" w:cs="Times New Roman"/>
          <w:color w:val="auto"/>
          <w:sz w:val="32"/>
          <w:szCs w:val="32"/>
          <w:highlight w:val="none"/>
          <w:shd w:val="clear" w:color="auto" w:fill="FFFFFF"/>
        </w:rPr>
        <w:t>支付</w:t>
      </w:r>
      <w:r>
        <w:rPr>
          <w:rFonts w:hint="default" w:ascii="Times New Roman" w:hAnsi="Times New Roman" w:eastAsia="方正仿宋_GBK" w:cs="Times New Roman"/>
          <w:color w:val="auto"/>
          <w:sz w:val="32"/>
          <w:szCs w:val="32"/>
          <w:highlight w:val="none"/>
          <w:shd w:val="clear" w:color="auto" w:fill="FFFFFF"/>
          <w:lang w:eastAsia="zh-CN"/>
        </w:rPr>
        <w:t>部分</w:t>
      </w:r>
      <w:r>
        <w:rPr>
          <w:rFonts w:hint="default" w:ascii="Times New Roman" w:hAnsi="Times New Roman" w:eastAsia="方正仿宋_GBK" w:cs="Times New Roman"/>
          <w:color w:val="auto"/>
          <w:sz w:val="32"/>
          <w:szCs w:val="32"/>
          <w:highlight w:val="none"/>
          <w:shd w:val="clear" w:color="auto" w:fill="FFFFFF"/>
        </w:rPr>
        <w:t>“三公”经费。</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color w:val="auto"/>
          <w:sz w:val="32"/>
          <w:highlight w:val="none"/>
        </w:rPr>
      </w:pPr>
      <w:r>
        <w:rPr>
          <w:rFonts w:hint="default" w:ascii="Times New Roman" w:hAnsi="Times New Roman" w:eastAsia="方正楷体_GBK" w:cs="Times New Roman"/>
          <w:color w:val="auto"/>
          <w:sz w:val="32"/>
          <w:highlight w:val="none"/>
        </w:rPr>
        <w:t>（二）“三公”经费分项支出情况</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2024年度本部门因公出国（境）费用0.00万元</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费用支出较年初预算数无增减。较上年支出数无增减。</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车购置费0.00万元，费用支出较年初预算数无增减。较上年支出数减少24.50万元，下降100.0%，主要原因是</w:t>
      </w:r>
      <w:r>
        <w:rPr>
          <w:rFonts w:hint="default" w:ascii="Times New Roman" w:hAnsi="Times New Roman" w:eastAsia="方正仿宋_GBK" w:cs="Times New Roman"/>
          <w:color w:val="auto"/>
          <w:sz w:val="32"/>
          <w:szCs w:val="32"/>
          <w:highlight w:val="none"/>
          <w:shd w:val="clear" w:color="auto" w:fill="FFFFFF"/>
          <w:lang w:eastAsia="zh-CN"/>
        </w:rPr>
        <w:t>本年车辆实有数达到编制数，无需购置</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公务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车运行维护费4.98万元，主要用于市内因公出行、各类会议、考察调研、检查等工作所需车辆的燃料费、维修费、过桥过路费、保险费等。费用支出较年初预算数减少2.52万元，下降33.6%，主要原因是本年</w:t>
      </w:r>
      <w:r>
        <w:rPr>
          <w:rFonts w:hint="default" w:ascii="Times New Roman" w:hAnsi="Times New Roman" w:eastAsia="方正仿宋_GBK" w:cs="Times New Roman"/>
          <w:color w:val="auto"/>
          <w:sz w:val="32"/>
          <w:szCs w:val="32"/>
          <w:highlight w:val="none"/>
          <w:shd w:val="clear" w:color="auto" w:fill="FFFFFF"/>
          <w:lang w:eastAsia="zh-CN"/>
        </w:rPr>
        <w:t>使用非财政拨款安排的资金</w:t>
      </w:r>
      <w:r>
        <w:rPr>
          <w:rFonts w:hint="default" w:ascii="Times New Roman" w:hAnsi="Times New Roman" w:eastAsia="方正仿宋_GBK" w:cs="Times New Roman"/>
          <w:color w:val="auto"/>
          <w:sz w:val="32"/>
          <w:szCs w:val="32"/>
          <w:highlight w:val="none"/>
          <w:shd w:val="clear" w:color="auto" w:fill="FFFFFF"/>
        </w:rPr>
        <w:t>支付</w:t>
      </w:r>
      <w:r>
        <w:rPr>
          <w:rFonts w:hint="default" w:ascii="Times New Roman" w:hAnsi="Times New Roman" w:eastAsia="方正仿宋_GBK" w:cs="Times New Roman"/>
          <w:color w:val="auto"/>
          <w:sz w:val="32"/>
          <w:szCs w:val="32"/>
          <w:highlight w:val="none"/>
          <w:shd w:val="clear" w:color="auto" w:fill="FFFFFF"/>
          <w:lang w:eastAsia="zh-CN"/>
        </w:rPr>
        <w:t>部分</w:t>
      </w:r>
      <w:r>
        <w:rPr>
          <w:rFonts w:hint="default" w:ascii="Times New Roman" w:hAnsi="Times New Roman" w:eastAsia="方正仿宋_GBK" w:cs="Times New Roman"/>
          <w:color w:val="auto"/>
          <w:sz w:val="32"/>
          <w:szCs w:val="32"/>
          <w:highlight w:val="none"/>
          <w:shd w:val="clear" w:color="auto" w:fill="FFFFFF"/>
        </w:rPr>
        <w:t>公务用车运行维护费。较上年支出数减少10.04万元，下降66.8%，主要原因是本年</w:t>
      </w:r>
      <w:r>
        <w:rPr>
          <w:rFonts w:hint="default" w:ascii="Times New Roman" w:hAnsi="Times New Roman" w:eastAsia="方正仿宋_GBK" w:cs="Times New Roman"/>
          <w:color w:val="auto"/>
          <w:sz w:val="32"/>
          <w:szCs w:val="32"/>
          <w:highlight w:val="none"/>
          <w:shd w:val="clear" w:color="auto" w:fill="FFFFFF"/>
          <w:lang w:eastAsia="zh-CN"/>
        </w:rPr>
        <w:t>使用非财政拨款安排的资金</w:t>
      </w:r>
      <w:r>
        <w:rPr>
          <w:rFonts w:hint="default" w:ascii="Times New Roman" w:hAnsi="Times New Roman" w:eastAsia="方正仿宋_GBK" w:cs="Times New Roman"/>
          <w:color w:val="auto"/>
          <w:sz w:val="32"/>
          <w:szCs w:val="32"/>
          <w:highlight w:val="none"/>
          <w:shd w:val="clear" w:color="auto" w:fill="FFFFFF"/>
        </w:rPr>
        <w:t>支付</w:t>
      </w:r>
      <w:r>
        <w:rPr>
          <w:rFonts w:hint="default" w:ascii="Times New Roman" w:hAnsi="Times New Roman" w:eastAsia="方正仿宋_GBK" w:cs="Times New Roman"/>
          <w:color w:val="auto"/>
          <w:sz w:val="32"/>
          <w:szCs w:val="32"/>
          <w:highlight w:val="none"/>
          <w:shd w:val="clear" w:color="auto" w:fill="FFFFFF"/>
          <w:lang w:eastAsia="zh-CN"/>
        </w:rPr>
        <w:t>部分</w:t>
      </w:r>
      <w:r>
        <w:rPr>
          <w:rFonts w:hint="default" w:ascii="Times New Roman" w:hAnsi="Times New Roman" w:eastAsia="方正仿宋_GBK" w:cs="Times New Roman"/>
          <w:color w:val="auto"/>
          <w:sz w:val="32"/>
          <w:szCs w:val="32"/>
          <w:highlight w:val="none"/>
          <w:shd w:val="clear" w:color="auto" w:fill="FFFFFF"/>
        </w:rPr>
        <w:t>公务用车运行维护费。</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公务接待费7.66万元，主要用于接待接待招商引资考察来访客商及符合接待规定的市级和各区县相关单位。费用支出较年初预算数增加6.96万元，增长994.3%，主要原因是机构改革将招商统筹职责划转到我单位，招商接待支出增加。较上年支出数减少9.33万元，下降54.9%，主要原因是本年</w:t>
      </w:r>
      <w:r>
        <w:rPr>
          <w:rFonts w:hint="default" w:ascii="Times New Roman" w:hAnsi="Times New Roman" w:eastAsia="方正仿宋_GBK" w:cs="Times New Roman"/>
          <w:color w:val="auto"/>
          <w:sz w:val="32"/>
          <w:szCs w:val="32"/>
          <w:highlight w:val="none"/>
          <w:shd w:val="clear" w:color="auto" w:fill="FFFFFF"/>
          <w:lang w:eastAsia="zh-CN"/>
        </w:rPr>
        <w:t>使用非财政拨款安排的资金</w:t>
      </w:r>
      <w:r>
        <w:rPr>
          <w:rFonts w:hint="default" w:ascii="Times New Roman" w:hAnsi="Times New Roman" w:eastAsia="方正仿宋_GBK" w:cs="Times New Roman"/>
          <w:color w:val="auto"/>
          <w:sz w:val="32"/>
          <w:szCs w:val="32"/>
          <w:highlight w:val="none"/>
          <w:shd w:val="clear" w:color="auto" w:fill="FFFFFF"/>
        </w:rPr>
        <w:t>支付</w:t>
      </w:r>
      <w:r>
        <w:rPr>
          <w:rFonts w:hint="default" w:ascii="Times New Roman" w:hAnsi="Times New Roman" w:eastAsia="方正仿宋_GBK" w:cs="Times New Roman"/>
          <w:color w:val="auto"/>
          <w:sz w:val="32"/>
          <w:szCs w:val="32"/>
          <w:highlight w:val="none"/>
          <w:shd w:val="clear" w:color="auto" w:fill="FFFFFF"/>
          <w:lang w:eastAsia="zh-CN"/>
        </w:rPr>
        <w:t>部分公务接待费。</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color w:val="auto"/>
          <w:sz w:val="32"/>
          <w:highlight w:val="none"/>
        </w:rPr>
      </w:pPr>
      <w:r>
        <w:rPr>
          <w:rFonts w:hint="default" w:ascii="Times New Roman" w:hAnsi="Times New Roman" w:eastAsia="方正楷体_GBK" w:cs="Times New Roman"/>
          <w:color w:val="auto"/>
          <w:sz w:val="32"/>
          <w:highlight w:val="none"/>
        </w:rPr>
        <w:t>（三）“三公”经费实物量情况</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本部门因公出国（境）共计0个团组，0人；公务用车购置0辆，公务车保有量为3辆；国内公务接待56批次388人，其中：国内外事接待0批次，0人；国（境）外公务接待0批次，0人。2024年本部门人均接待费197.40元，车均购置费0万元，车均维护费1.66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黑体" w:cs="Times New Roman"/>
          <w:color w:val="auto"/>
          <w:sz w:val="32"/>
          <w:szCs w:val="32"/>
          <w:highlight w:val="none"/>
          <w:shd w:val="clear" w:color="auto" w:fill="FFFFFF"/>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Fonts w:hint="default" w:ascii="Times New Roman" w:hAnsi="Times New Roman" w:eastAsia="方正楷体_GBK" w:cs="Times New Roman"/>
          <w:color w:val="auto"/>
          <w:sz w:val="32"/>
          <w:szCs w:val="24"/>
          <w:highlight w:val="none"/>
          <w:lang w:val="en-US" w:eastAsia="zh-CN" w:bidi="ar-SA"/>
        </w:rPr>
        <w:t>（一）财政拨款会议费、培训费和差旅费情况说明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本年度会议费支出1.16万元，与2023年度相比，减少0.92万元，下降44.2%，主要原因是</w:t>
      </w:r>
      <w:r>
        <w:rPr>
          <w:rFonts w:hint="default" w:ascii="Times New Roman" w:hAnsi="Times New Roman" w:eastAsia="方正仿宋_GBK" w:cs="Times New Roman"/>
          <w:color w:val="auto"/>
          <w:sz w:val="32"/>
          <w:szCs w:val="32"/>
          <w:highlight w:val="none"/>
          <w:shd w:val="clear" w:color="auto" w:fill="FFFFFF"/>
          <w:lang w:eastAsia="zh-CN"/>
        </w:rPr>
        <w:t>本年度会议支出减少</w:t>
      </w:r>
      <w:r>
        <w:rPr>
          <w:rFonts w:hint="default" w:ascii="Times New Roman" w:hAnsi="Times New Roman" w:eastAsia="方正仿宋_GBK" w:cs="Times New Roman"/>
          <w:color w:val="auto"/>
          <w:sz w:val="32"/>
          <w:szCs w:val="32"/>
          <w:highlight w:val="none"/>
          <w:shd w:val="clear" w:color="auto" w:fill="FFFFFF"/>
        </w:rPr>
        <w:t>。本年度培训费支出0.00万元，与2023年度相比，减少5.69万元，下降100.0%，主要原因是</w:t>
      </w:r>
      <w:r>
        <w:rPr>
          <w:rFonts w:hint="default" w:ascii="Times New Roman" w:hAnsi="Times New Roman" w:eastAsia="方正仿宋_GBK" w:cs="Times New Roman"/>
          <w:color w:val="auto"/>
          <w:sz w:val="32"/>
          <w:szCs w:val="32"/>
          <w:highlight w:val="none"/>
          <w:shd w:val="clear" w:color="auto" w:fill="FFFFFF"/>
          <w:lang w:eastAsia="zh-CN"/>
        </w:rPr>
        <w:t>本年度没有相关培训费用支出。</w:t>
      </w:r>
      <w:r>
        <w:rPr>
          <w:rFonts w:hint="default" w:ascii="Times New Roman" w:hAnsi="Times New Roman" w:eastAsia="方正仿宋_GBK" w:cs="Times New Roman"/>
          <w:color w:val="auto"/>
          <w:sz w:val="32"/>
          <w:szCs w:val="32"/>
          <w:highlight w:val="none"/>
          <w:shd w:val="clear" w:color="auto" w:fill="FFFFFF"/>
        </w:rPr>
        <w:t>本年度差旅费支出37.85</w:t>
      </w:r>
      <w:r>
        <w:rPr>
          <w:rFonts w:hint="default" w:ascii="Times New Roman" w:hAnsi="Times New Roman" w:eastAsia="方正仿宋_GBK" w:cs="Times New Roman"/>
          <w:color w:val="auto"/>
          <w:sz w:val="32"/>
          <w:szCs w:val="32"/>
          <w:highlight w:val="none"/>
        </w:rPr>
        <w:t>万元，</w:t>
      </w:r>
      <w:r>
        <w:rPr>
          <w:rFonts w:hint="default" w:ascii="Times New Roman" w:hAnsi="Times New Roman" w:eastAsia="方正仿宋_GBK" w:cs="Times New Roman"/>
          <w:color w:val="auto"/>
          <w:sz w:val="32"/>
          <w:szCs w:val="32"/>
          <w:highlight w:val="none"/>
          <w:shd w:val="clear" w:color="auto" w:fill="FFFFFF"/>
        </w:rPr>
        <w:t>与2023年度相比，增加1.78万元，增长4.9%，主要原因是机构改革将招商统筹职责划转到我单位，</w:t>
      </w:r>
      <w:r>
        <w:rPr>
          <w:rFonts w:hint="default" w:ascii="Times New Roman" w:hAnsi="Times New Roman" w:eastAsia="方正仿宋_GBK" w:cs="Times New Roman"/>
          <w:color w:val="auto"/>
          <w:sz w:val="32"/>
          <w:szCs w:val="32"/>
          <w:highlight w:val="none"/>
          <w:shd w:val="clear" w:color="auto" w:fill="FFFFFF"/>
          <w:lang w:eastAsia="zh-CN"/>
        </w:rPr>
        <w:t>外出</w:t>
      </w:r>
      <w:r>
        <w:rPr>
          <w:rFonts w:hint="default" w:ascii="Times New Roman" w:hAnsi="Times New Roman" w:eastAsia="方正仿宋_GBK" w:cs="Times New Roman"/>
          <w:color w:val="auto"/>
          <w:sz w:val="32"/>
          <w:szCs w:val="32"/>
          <w:highlight w:val="none"/>
          <w:shd w:val="clear" w:color="auto" w:fill="FFFFFF"/>
        </w:rPr>
        <w:t>招商</w:t>
      </w:r>
      <w:r>
        <w:rPr>
          <w:rFonts w:hint="default" w:ascii="Times New Roman" w:hAnsi="Times New Roman" w:eastAsia="方正仿宋_GBK" w:cs="Times New Roman"/>
          <w:color w:val="auto"/>
          <w:sz w:val="32"/>
          <w:szCs w:val="32"/>
          <w:highlight w:val="none"/>
          <w:shd w:val="clear" w:color="auto" w:fill="FFFFFF"/>
          <w:lang w:eastAsia="zh-CN"/>
        </w:rPr>
        <w:t>次数较多，差旅费增加</w:t>
      </w:r>
      <w:r>
        <w:rPr>
          <w:rFonts w:hint="default" w:ascii="Times New Roman" w:hAnsi="Times New Roman" w:eastAsia="方正仿宋_GBK" w:cs="Times New Roman"/>
          <w:color w:val="auto"/>
          <w:sz w:val="32"/>
          <w:szCs w:val="32"/>
          <w:highlight w:val="none"/>
          <w:shd w:val="clear" w:color="auto" w:fill="FFFFFF"/>
        </w:rPr>
        <w:t>。</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color w:val="auto"/>
          <w:sz w:val="32"/>
          <w:highlight w:val="none"/>
        </w:rPr>
      </w:pPr>
      <w:r>
        <w:rPr>
          <w:rFonts w:hint="default" w:ascii="Times New Roman" w:hAnsi="Times New Roman" w:eastAsia="方正楷体_GBK" w:cs="Times New Roman"/>
          <w:color w:val="auto"/>
          <w:sz w:val="32"/>
          <w:highlight w:val="none"/>
        </w:rPr>
        <w:t>（二）机关运行经费情况说明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2024年度本部门机关运行经费支出40.89万元，机关运行经费主要用于开支办公费、印刷费、水费、电费、邮电费、差旅费、公务接待费、委托业务费、工会经费、 公务用车运行维护费等。机关运行经费较上年支出数减少8.16万元，下降16.6%，主要原因是本年度下属事业单位独立核算，相应的机关运行经费减少。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color w:val="auto"/>
          <w:sz w:val="32"/>
          <w:highlight w:val="none"/>
        </w:rPr>
      </w:pPr>
      <w:r>
        <w:rPr>
          <w:rFonts w:hint="default" w:ascii="Times New Roman" w:hAnsi="Times New Roman" w:eastAsia="方正楷体_GBK" w:cs="Times New Roman"/>
          <w:color w:val="auto"/>
          <w:sz w:val="32"/>
          <w:highlight w:val="none"/>
        </w:rPr>
        <w:t>（三）国有资产占用情况说明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截至2024年12月31日，本部门共有车辆3辆，其中，副部（省）级及以上领导用车0辆、主要负责人用车0辆、机要通信用车0辆、应急保障用车3辆、执法执勤用车0辆，特种专业技术用车0辆，离退休干部用车0辆。单价100万元（含）以上专用设备0台（套）。</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color w:val="auto"/>
          <w:sz w:val="32"/>
          <w:highlight w:val="none"/>
        </w:rPr>
      </w:pPr>
      <w:r>
        <w:rPr>
          <w:rFonts w:hint="default" w:ascii="Times New Roman" w:hAnsi="Times New Roman" w:eastAsia="方正楷体_GBK" w:cs="Times New Roman"/>
          <w:color w:val="auto"/>
          <w:sz w:val="32"/>
          <w:highlight w:val="none"/>
        </w:rPr>
        <w:t>（四）政府采购支出情况说明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2024年度本部门政府采购支出总额511.14万元，其中：政府采购货物支出15.57万元、政府采购工程支出0.00万元、政府采购服务支出495.57万元。授予中小企业合同金额461.73</w:t>
      </w:r>
      <w:r>
        <w:rPr>
          <w:rFonts w:hint="default" w:ascii="Times New Roman" w:hAnsi="Times New Roman" w:eastAsia="方正仿宋_GBK" w:cs="Times New Roman"/>
          <w:color w:val="auto"/>
          <w:sz w:val="32"/>
          <w:szCs w:val="32"/>
          <w:highlight w:val="none"/>
        </w:rPr>
        <w:t>万</w:t>
      </w:r>
      <w:r>
        <w:rPr>
          <w:rFonts w:hint="default" w:ascii="Times New Roman" w:hAnsi="Times New Roman" w:eastAsia="方正仿宋_GBK" w:cs="Times New Roman"/>
          <w:color w:val="auto"/>
          <w:sz w:val="32"/>
          <w:szCs w:val="32"/>
          <w:highlight w:val="none"/>
          <w:shd w:val="clear" w:color="auto" w:fill="FFFFFF"/>
        </w:rPr>
        <w:t>元，占政府采购支出总额的90.3%，其中：授予小微企业合同金额461.73万元，占政府采购支出总额的90.3 %。主要用于采购</w:t>
      </w:r>
      <w:r>
        <w:rPr>
          <w:rFonts w:hint="default" w:ascii="Times New Roman" w:hAnsi="Times New Roman" w:eastAsia="方正仿宋_GBK" w:cs="Times New Roman"/>
          <w:color w:val="auto"/>
          <w:sz w:val="32"/>
          <w:szCs w:val="32"/>
          <w:highlight w:val="none"/>
          <w:shd w:val="clear" w:color="auto" w:fill="FFFFFF"/>
          <w:lang w:eastAsia="zh-CN"/>
        </w:rPr>
        <w:t>复印纸、复印机、计算机等货物；重庆市城口县钡新材料产业高质量发展研究论证报告、城口老腊肉区域品牌打造与营销等服务</w:t>
      </w:r>
      <w:r>
        <w:rPr>
          <w:rFonts w:hint="default" w:ascii="Times New Roman" w:hAnsi="Times New Roman" w:eastAsia="方正仿宋_GBK" w:cs="Times New Roman"/>
          <w:color w:val="auto"/>
          <w:sz w:val="32"/>
          <w:szCs w:val="32"/>
          <w:highlight w:val="none"/>
          <w:shd w:val="clear" w:color="auto" w:fill="FFFFFF"/>
        </w:rPr>
        <w:t>。</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五、2024年度预算绩效管理情况说明</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color w:val="auto"/>
          <w:sz w:val="32"/>
          <w:highlight w:val="none"/>
        </w:rPr>
      </w:pPr>
      <w:r>
        <w:rPr>
          <w:rFonts w:hint="default" w:ascii="Times New Roman" w:hAnsi="Times New Roman" w:eastAsia="方正楷体_GBK" w:cs="Times New Roman"/>
          <w:color w:val="auto"/>
          <w:sz w:val="32"/>
          <w:highlight w:val="none"/>
        </w:rPr>
        <w:t>（一）单位自评情况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shd w:val="clear" w:fill="FFFFFF"/>
          <w:lang w:eastAsia="zh-CN"/>
        </w:rPr>
      </w:pPr>
      <w:r>
        <w:rPr>
          <w:rFonts w:hint="default" w:ascii="Times New Roman" w:hAnsi="Times New Roman" w:eastAsia="方正仿宋_GBK" w:cs="Times New Roman"/>
          <w:color w:val="auto"/>
          <w:kern w:val="0"/>
          <w:sz w:val="32"/>
          <w:szCs w:val="32"/>
          <w:highlight w:val="none"/>
          <w:shd w:val="clear" w:fill="FFFFFF"/>
        </w:rPr>
        <w:t>根据预算绩效管理要求，我单位对部门整体和</w:t>
      </w:r>
      <w:r>
        <w:rPr>
          <w:rFonts w:hint="default" w:ascii="Times New Roman" w:hAnsi="Times New Roman" w:eastAsia="方正仿宋_GBK" w:cs="Times New Roman"/>
          <w:color w:val="auto"/>
          <w:kern w:val="0"/>
          <w:sz w:val="32"/>
          <w:szCs w:val="32"/>
          <w:highlight w:val="none"/>
          <w:shd w:val="clear" w:fill="FFFFFF"/>
          <w:lang w:val="en-US" w:eastAsia="zh-CN"/>
        </w:rPr>
        <w:t>16</w:t>
      </w:r>
      <w:r>
        <w:rPr>
          <w:rFonts w:hint="default" w:ascii="Times New Roman" w:hAnsi="Times New Roman" w:eastAsia="方正仿宋_GBK" w:cs="Times New Roman"/>
          <w:color w:val="auto"/>
          <w:kern w:val="0"/>
          <w:sz w:val="32"/>
          <w:szCs w:val="32"/>
          <w:highlight w:val="none"/>
          <w:shd w:val="clear" w:fill="FFFFFF"/>
        </w:rPr>
        <w:t>个项目开展了绩效自评，涉及财政拨款项目支出资金</w:t>
      </w:r>
      <w:r>
        <w:rPr>
          <w:rFonts w:hint="default" w:ascii="Times New Roman" w:hAnsi="Times New Roman" w:eastAsia="方正仿宋_GBK" w:cs="Times New Roman"/>
          <w:color w:val="auto"/>
          <w:kern w:val="0"/>
          <w:sz w:val="32"/>
          <w:szCs w:val="32"/>
          <w:highlight w:val="none"/>
          <w:shd w:val="clear" w:fill="FFFFFF"/>
          <w:lang w:val="en-US" w:eastAsia="zh-CN"/>
        </w:rPr>
        <w:t>1016.98</w:t>
      </w:r>
      <w:r>
        <w:rPr>
          <w:rFonts w:hint="default" w:ascii="Times New Roman" w:hAnsi="Times New Roman" w:eastAsia="方正仿宋_GBK" w:cs="Times New Roman"/>
          <w:color w:val="auto"/>
          <w:kern w:val="0"/>
          <w:sz w:val="32"/>
          <w:szCs w:val="32"/>
          <w:highlight w:val="none"/>
          <w:shd w:val="clear" w:fill="FFFFFF"/>
        </w:rPr>
        <w:t>万元</w:t>
      </w:r>
      <w:r>
        <w:rPr>
          <w:rFonts w:hint="default" w:ascii="Times New Roman" w:hAnsi="Times New Roman" w:eastAsia="方正仿宋_GBK" w:cs="Times New Roman"/>
          <w:color w:val="auto"/>
          <w:kern w:val="0"/>
          <w:sz w:val="32"/>
          <w:szCs w:val="32"/>
          <w:highlight w:val="none"/>
          <w:shd w:val="clear" w:fill="FFFFFF"/>
          <w:lang w:eastAsia="zh-CN"/>
        </w:rPr>
        <w:t>。</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shd w:val="clear" w:fill="FFFFFF"/>
          <w:lang w:eastAsia="zh-CN"/>
        </w:rPr>
      </w:pPr>
      <w:r>
        <w:rPr>
          <w:rFonts w:hint="default" w:ascii="Times New Roman" w:hAnsi="Times New Roman" w:eastAsia="方正仿宋_GBK" w:cs="Times New Roman"/>
          <w:color w:val="auto"/>
          <w:kern w:val="0"/>
          <w:sz w:val="32"/>
          <w:szCs w:val="32"/>
          <w:highlight w:val="none"/>
          <w:shd w:val="clear" w:fill="FFFFFF"/>
        </w:rPr>
        <w:t>部门整体绩效自评表、项目支出绩效自评表祥见附</w:t>
      </w:r>
      <w:r>
        <w:rPr>
          <w:rFonts w:hint="default" w:ascii="Times New Roman" w:hAnsi="Times New Roman" w:eastAsia="方正仿宋_GBK" w:cs="Times New Roman"/>
          <w:color w:val="auto"/>
          <w:kern w:val="0"/>
          <w:sz w:val="32"/>
          <w:szCs w:val="32"/>
          <w:highlight w:val="none"/>
          <w:shd w:val="clear" w:fill="FFFFFF"/>
          <w:lang w:eastAsia="zh-CN"/>
        </w:rPr>
        <w:t>件。</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color w:val="auto"/>
          <w:sz w:val="32"/>
          <w:highlight w:val="none"/>
        </w:rPr>
      </w:pPr>
      <w:r>
        <w:rPr>
          <w:rFonts w:hint="default" w:ascii="Times New Roman" w:hAnsi="Times New Roman" w:eastAsia="方正楷体_GBK" w:cs="Times New Roman"/>
          <w:color w:val="auto"/>
          <w:sz w:val="32"/>
          <w:highlight w:val="none"/>
        </w:rPr>
        <w:t>（二）部门绩效评价情况</w:t>
      </w:r>
    </w:p>
    <w:p>
      <w:pPr>
        <w:pStyle w:val="16"/>
        <w:keepNext w:val="0"/>
        <w:keepLines w:val="0"/>
        <w:pageBreakBefore w:val="0"/>
        <w:widowControl/>
        <w:kinsoku/>
        <w:wordWrap/>
        <w:overflowPunct/>
        <w:topLinePunct w:val="0"/>
        <w:autoSpaceDE w:val="0"/>
        <w:autoSpaceDN/>
        <w:bidi w:val="0"/>
        <w:adjustRightInd/>
        <w:snapToGrid/>
        <w:spacing w:after="0" w:afterAutospacing="0" w:line="579" w:lineRule="exact"/>
        <w:ind w:left="0" w:firstLine="640" w:firstLineChars="200"/>
        <w:jc w:val="both"/>
        <w:textAlignment w:val="auto"/>
        <w:rPr>
          <w:rFonts w:hint="default" w:ascii="Times New Roman" w:hAnsi="Times New Roman" w:eastAsia="方正仿宋_GBK" w:cs="Times New Roman"/>
          <w:color w:val="auto"/>
          <w:kern w:val="0"/>
          <w:sz w:val="32"/>
          <w:szCs w:val="32"/>
          <w:highlight w:val="none"/>
          <w:shd w:val="clear" w:fill="FFFFFF"/>
        </w:rPr>
      </w:pPr>
      <w:r>
        <w:rPr>
          <w:rFonts w:hint="default" w:ascii="Times New Roman" w:hAnsi="Times New Roman" w:eastAsia="方正仿宋_GBK" w:cs="Times New Roman"/>
          <w:color w:val="auto"/>
          <w:kern w:val="0"/>
          <w:sz w:val="32"/>
          <w:szCs w:val="32"/>
          <w:highlight w:val="none"/>
          <w:shd w:val="clear" w:fill="FFFFFF"/>
        </w:rPr>
        <w:t>我单位对工业企业租购柴发补贴开展了绩效评价，涉及财政拨款项目资金</w:t>
      </w:r>
      <w:r>
        <w:rPr>
          <w:rFonts w:hint="default" w:ascii="Times New Roman" w:hAnsi="Times New Roman" w:eastAsia="方正仿宋_GBK" w:cs="Times New Roman"/>
          <w:color w:val="auto"/>
          <w:kern w:val="0"/>
          <w:sz w:val="32"/>
          <w:szCs w:val="32"/>
          <w:highlight w:val="none"/>
          <w:shd w:val="clear" w:fill="FFFFFF"/>
          <w:lang w:val="en-US" w:eastAsia="zh-CN"/>
        </w:rPr>
        <w:t>5.34</w:t>
      </w:r>
      <w:r>
        <w:rPr>
          <w:rFonts w:hint="default" w:ascii="Times New Roman" w:hAnsi="Times New Roman" w:eastAsia="方正仿宋_GBK" w:cs="Times New Roman"/>
          <w:color w:val="auto"/>
          <w:kern w:val="0"/>
          <w:sz w:val="32"/>
          <w:szCs w:val="32"/>
          <w:highlight w:val="none"/>
          <w:shd w:val="clear" w:fill="FFFFFF"/>
        </w:rPr>
        <w:t>万元，评价得分</w:t>
      </w:r>
      <w:r>
        <w:rPr>
          <w:rFonts w:hint="default" w:ascii="Times New Roman" w:hAnsi="Times New Roman" w:eastAsia="方正仿宋_GBK" w:cs="Times New Roman"/>
          <w:color w:val="auto"/>
          <w:kern w:val="0"/>
          <w:sz w:val="32"/>
          <w:szCs w:val="32"/>
          <w:highlight w:val="none"/>
          <w:shd w:val="clear" w:fill="FFFFFF"/>
          <w:lang w:val="en-US" w:eastAsia="zh-CN"/>
        </w:rPr>
        <w:t>100</w:t>
      </w:r>
      <w:r>
        <w:rPr>
          <w:rFonts w:hint="default" w:ascii="Times New Roman" w:hAnsi="Times New Roman" w:eastAsia="方正仿宋_GBK" w:cs="Times New Roman"/>
          <w:color w:val="auto"/>
          <w:kern w:val="0"/>
          <w:sz w:val="32"/>
          <w:szCs w:val="32"/>
          <w:highlight w:val="none"/>
          <w:shd w:val="clear" w:fill="FFFFFF"/>
        </w:rPr>
        <w:t>分，评价等次为</w:t>
      </w:r>
      <w:r>
        <w:rPr>
          <w:rFonts w:hint="default" w:ascii="Times New Roman" w:hAnsi="Times New Roman" w:eastAsia="方正仿宋_GBK" w:cs="Times New Roman"/>
          <w:color w:val="auto"/>
          <w:kern w:val="0"/>
          <w:sz w:val="32"/>
          <w:szCs w:val="32"/>
          <w:highlight w:val="none"/>
          <w:shd w:val="clear" w:fill="FFFFFF"/>
          <w:lang w:eastAsia="zh-CN"/>
        </w:rPr>
        <w:t>良好</w:t>
      </w:r>
      <w:r>
        <w:rPr>
          <w:rFonts w:hint="default" w:ascii="Times New Roman" w:hAnsi="Times New Roman" w:eastAsia="方正仿宋_GBK" w:cs="Times New Roman"/>
          <w:color w:val="auto"/>
          <w:kern w:val="0"/>
          <w:sz w:val="32"/>
          <w:szCs w:val="32"/>
          <w:highlight w:val="none"/>
          <w:shd w:val="clear" w:fill="FFFFFF"/>
        </w:rPr>
        <w:t>，绩效评价</w:t>
      </w:r>
      <w:r>
        <w:rPr>
          <w:rFonts w:hint="default" w:ascii="Times New Roman" w:hAnsi="Times New Roman" w:eastAsia="方正仿宋_GBK" w:cs="Times New Roman"/>
          <w:color w:val="auto"/>
          <w:kern w:val="0"/>
          <w:sz w:val="32"/>
          <w:szCs w:val="32"/>
          <w:highlight w:val="none"/>
          <w:shd w:val="clear" w:fill="FFFFFF"/>
          <w:lang w:eastAsia="zh-CN"/>
        </w:rPr>
        <w:t>未</w:t>
      </w:r>
      <w:r>
        <w:rPr>
          <w:rFonts w:hint="default" w:ascii="Times New Roman" w:hAnsi="Times New Roman" w:eastAsia="方正仿宋_GBK" w:cs="Times New Roman"/>
          <w:color w:val="auto"/>
          <w:kern w:val="0"/>
          <w:sz w:val="32"/>
          <w:szCs w:val="32"/>
          <w:highlight w:val="none"/>
          <w:shd w:val="clear" w:fill="FFFFFF"/>
        </w:rPr>
        <w:t>发现</w:t>
      </w:r>
      <w:r>
        <w:rPr>
          <w:rFonts w:hint="default" w:ascii="Times New Roman" w:hAnsi="Times New Roman" w:eastAsia="方正仿宋_GBK" w:cs="Times New Roman"/>
          <w:color w:val="auto"/>
          <w:kern w:val="0"/>
          <w:sz w:val="32"/>
          <w:szCs w:val="32"/>
          <w:highlight w:val="none"/>
          <w:shd w:val="clear" w:fill="FFFFFF"/>
          <w:lang w:eastAsia="zh-CN"/>
        </w:rPr>
        <w:t>问题</w:t>
      </w:r>
      <w:r>
        <w:rPr>
          <w:rFonts w:hint="default" w:ascii="Times New Roman" w:hAnsi="Times New Roman" w:eastAsia="方正仿宋_GBK" w:cs="Times New Roman"/>
          <w:color w:val="auto"/>
          <w:kern w:val="0"/>
          <w:sz w:val="32"/>
          <w:szCs w:val="32"/>
          <w:highlight w:val="none"/>
          <w:shd w:val="clear" w:fill="FFFFFF"/>
        </w:rPr>
        <w:t>；</w:t>
      </w:r>
      <w:r>
        <w:rPr>
          <w:rFonts w:hint="default" w:ascii="Times New Roman" w:hAnsi="Times New Roman" w:eastAsia="方正仿宋_GBK" w:cs="Times New Roman"/>
          <w:color w:val="auto"/>
          <w:kern w:val="0"/>
          <w:sz w:val="32"/>
          <w:szCs w:val="32"/>
          <w:highlight w:val="none"/>
          <w:shd w:val="clear" w:fill="FFFFFF"/>
          <w:lang w:eastAsia="zh-CN"/>
        </w:rPr>
        <w:t>对城口老腊肉数字赋能建设项目</w:t>
      </w:r>
      <w:r>
        <w:rPr>
          <w:rFonts w:hint="default" w:ascii="Times New Roman" w:hAnsi="Times New Roman" w:eastAsia="方正仿宋_GBK" w:cs="Times New Roman"/>
          <w:color w:val="auto"/>
          <w:kern w:val="0"/>
          <w:sz w:val="32"/>
          <w:szCs w:val="32"/>
          <w:highlight w:val="none"/>
          <w:shd w:val="clear" w:fill="FFFFFF"/>
        </w:rPr>
        <w:t>开展了绩效评价，涉及财政拨款项目资金</w:t>
      </w:r>
      <w:r>
        <w:rPr>
          <w:rFonts w:hint="default" w:ascii="Times New Roman" w:hAnsi="Times New Roman" w:eastAsia="方正仿宋_GBK" w:cs="Times New Roman"/>
          <w:color w:val="auto"/>
          <w:kern w:val="0"/>
          <w:sz w:val="32"/>
          <w:szCs w:val="32"/>
          <w:highlight w:val="none"/>
          <w:shd w:val="clear" w:fill="FFFFFF"/>
          <w:lang w:val="en-US" w:eastAsia="zh-CN"/>
        </w:rPr>
        <w:t>300</w:t>
      </w:r>
      <w:r>
        <w:rPr>
          <w:rFonts w:hint="default" w:ascii="Times New Roman" w:hAnsi="Times New Roman" w:eastAsia="方正仿宋_GBK" w:cs="Times New Roman"/>
          <w:color w:val="auto"/>
          <w:kern w:val="0"/>
          <w:sz w:val="32"/>
          <w:szCs w:val="32"/>
          <w:highlight w:val="none"/>
          <w:shd w:val="clear" w:fill="FFFFFF"/>
        </w:rPr>
        <w:t>万元，评价得分</w:t>
      </w:r>
      <w:r>
        <w:rPr>
          <w:rFonts w:hint="default" w:ascii="Times New Roman" w:hAnsi="Times New Roman" w:eastAsia="方正仿宋_GBK" w:cs="Times New Roman"/>
          <w:color w:val="auto"/>
          <w:kern w:val="0"/>
          <w:sz w:val="32"/>
          <w:szCs w:val="32"/>
          <w:highlight w:val="none"/>
          <w:shd w:val="clear" w:fill="FFFFFF"/>
          <w:lang w:val="en-US" w:eastAsia="zh-CN"/>
        </w:rPr>
        <w:t>100</w:t>
      </w:r>
      <w:r>
        <w:rPr>
          <w:rFonts w:hint="default" w:ascii="Times New Roman" w:hAnsi="Times New Roman" w:eastAsia="方正仿宋_GBK" w:cs="Times New Roman"/>
          <w:color w:val="auto"/>
          <w:kern w:val="0"/>
          <w:sz w:val="32"/>
          <w:szCs w:val="32"/>
          <w:highlight w:val="none"/>
          <w:shd w:val="clear" w:fill="FFFFFF"/>
        </w:rPr>
        <w:t>分，评价等次为</w:t>
      </w:r>
      <w:r>
        <w:rPr>
          <w:rFonts w:hint="default" w:ascii="Times New Roman" w:hAnsi="Times New Roman" w:eastAsia="方正仿宋_GBK" w:cs="Times New Roman"/>
          <w:color w:val="auto"/>
          <w:kern w:val="0"/>
          <w:sz w:val="32"/>
          <w:szCs w:val="32"/>
          <w:highlight w:val="none"/>
          <w:shd w:val="clear" w:fill="FFFFFF"/>
          <w:lang w:eastAsia="zh-CN"/>
        </w:rPr>
        <w:t>良好</w:t>
      </w:r>
      <w:r>
        <w:rPr>
          <w:rFonts w:hint="default" w:ascii="Times New Roman" w:hAnsi="Times New Roman" w:eastAsia="方正仿宋_GBK" w:cs="Times New Roman"/>
          <w:color w:val="auto"/>
          <w:kern w:val="0"/>
          <w:sz w:val="32"/>
          <w:szCs w:val="32"/>
          <w:highlight w:val="none"/>
          <w:shd w:val="clear" w:fill="FFFFFF"/>
        </w:rPr>
        <w:t>，绩效评价</w:t>
      </w:r>
      <w:r>
        <w:rPr>
          <w:rFonts w:hint="default" w:ascii="Times New Roman" w:hAnsi="Times New Roman" w:eastAsia="方正仿宋_GBK" w:cs="Times New Roman"/>
          <w:color w:val="auto"/>
          <w:kern w:val="0"/>
          <w:sz w:val="32"/>
          <w:szCs w:val="32"/>
          <w:highlight w:val="none"/>
          <w:shd w:val="clear" w:fill="FFFFFF"/>
          <w:lang w:eastAsia="zh-CN"/>
        </w:rPr>
        <w:t>未</w:t>
      </w:r>
      <w:r>
        <w:rPr>
          <w:rFonts w:hint="default" w:ascii="Times New Roman" w:hAnsi="Times New Roman" w:eastAsia="方正仿宋_GBK" w:cs="Times New Roman"/>
          <w:color w:val="auto"/>
          <w:kern w:val="0"/>
          <w:sz w:val="32"/>
          <w:szCs w:val="32"/>
          <w:highlight w:val="none"/>
          <w:shd w:val="clear" w:fill="FFFFFF"/>
        </w:rPr>
        <w:t>发现</w:t>
      </w:r>
      <w:r>
        <w:rPr>
          <w:rFonts w:hint="default" w:ascii="Times New Roman" w:hAnsi="Times New Roman" w:eastAsia="方正仿宋_GBK" w:cs="Times New Roman"/>
          <w:color w:val="auto"/>
          <w:kern w:val="0"/>
          <w:sz w:val="32"/>
          <w:szCs w:val="32"/>
          <w:highlight w:val="none"/>
          <w:shd w:val="clear" w:fill="FFFFFF"/>
          <w:lang w:eastAsia="zh-CN"/>
        </w:rPr>
        <w:t>问题</w:t>
      </w:r>
      <w:r>
        <w:rPr>
          <w:rFonts w:hint="default" w:ascii="Times New Roman" w:hAnsi="Times New Roman" w:eastAsia="方正仿宋_GBK" w:cs="Times New Roman"/>
          <w:color w:val="auto"/>
          <w:kern w:val="0"/>
          <w:sz w:val="32"/>
          <w:szCs w:val="32"/>
          <w:highlight w:val="none"/>
          <w:shd w:val="clear" w:fill="FFFFFF"/>
        </w:rPr>
        <w:t>；</w:t>
      </w:r>
      <w:r>
        <w:rPr>
          <w:rFonts w:hint="default" w:ascii="Times New Roman" w:hAnsi="Times New Roman" w:eastAsia="方正仿宋_GBK" w:cs="Times New Roman"/>
          <w:color w:val="auto"/>
          <w:kern w:val="0"/>
          <w:sz w:val="32"/>
          <w:szCs w:val="32"/>
          <w:highlight w:val="none"/>
          <w:shd w:val="clear" w:fill="FFFFFF"/>
          <w:lang w:eastAsia="zh-CN"/>
        </w:rPr>
        <w:t>对2024年第二批市工业和信息化专项资金</w:t>
      </w:r>
      <w:r>
        <w:rPr>
          <w:rFonts w:hint="default" w:ascii="Times New Roman" w:hAnsi="Times New Roman" w:eastAsia="方正仿宋_GBK" w:cs="Times New Roman"/>
          <w:color w:val="auto"/>
          <w:kern w:val="0"/>
          <w:sz w:val="32"/>
          <w:szCs w:val="32"/>
          <w:highlight w:val="none"/>
          <w:shd w:val="clear" w:fill="FFFFFF"/>
        </w:rPr>
        <w:t>开展了绩效评价，涉及财政拨款项目资金</w:t>
      </w:r>
      <w:r>
        <w:rPr>
          <w:rFonts w:hint="default" w:ascii="Times New Roman" w:hAnsi="Times New Roman" w:eastAsia="方正仿宋_GBK" w:cs="Times New Roman"/>
          <w:color w:val="auto"/>
          <w:kern w:val="0"/>
          <w:sz w:val="32"/>
          <w:szCs w:val="32"/>
          <w:highlight w:val="none"/>
          <w:shd w:val="clear" w:fill="FFFFFF"/>
          <w:lang w:val="en-US" w:eastAsia="zh-CN"/>
        </w:rPr>
        <w:t>24.9</w:t>
      </w:r>
      <w:r>
        <w:rPr>
          <w:rFonts w:hint="default" w:ascii="Times New Roman" w:hAnsi="Times New Roman" w:eastAsia="方正仿宋_GBK" w:cs="Times New Roman"/>
          <w:color w:val="auto"/>
          <w:kern w:val="0"/>
          <w:sz w:val="32"/>
          <w:szCs w:val="32"/>
          <w:highlight w:val="none"/>
          <w:shd w:val="clear" w:fill="FFFFFF"/>
        </w:rPr>
        <w:t>万元，评价得分</w:t>
      </w:r>
      <w:r>
        <w:rPr>
          <w:rFonts w:hint="default" w:ascii="Times New Roman" w:hAnsi="Times New Roman" w:eastAsia="方正仿宋_GBK" w:cs="Times New Roman"/>
          <w:color w:val="auto"/>
          <w:kern w:val="0"/>
          <w:sz w:val="32"/>
          <w:szCs w:val="32"/>
          <w:highlight w:val="none"/>
          <w:shd w:val="clear" w:fill="FFFFFF"/>
          <w:lang w:val="en-US" w:eastAsia="zh-CN"/>
        </w:rPr>
        <w:t>100</w:t>
      </w:r>
      <w:r>
        <w:rPr>
          <w:rFonts w:hint="default" w:ascii="Times New Roman" w:hAnsi="Times New Roman" w:eastAsia="方正仿宋_GBK" w:cs="Times New Roman"/>
          <w:color w:val="auto"/>
          <w:kern w:val="0"/>
          <w:sz w:val="32"/>
          <w:szCs w:val="32"/>
          <w:highlight w:val="none"/>
          <w:shd w:val="clear" w:fill="FFFFFF"/>
        </w:rPr>
        <w:t>分，评价等次为</w:t>
      </w:r>
      <w:r>
        <w:rPr>
          <w:rFonts w:hint="default" w:ascii="Times New Roman" w:hAnsi="Times New Roman" w:eastAsia="方正仿宋_GBK" w:cs="Times New Roman"/>
          <w:color w:val="auto"/>
          <w:kern w:val="0"/>
          <w:sz w:val="32"/>
          <w:szCs w:val="32"/>
          <w:highlight w:val="none"/>
          <w:shd w:val="clear" w:fill="FFFFFF"/>
          <w:lang w:eastAsia="zh-CN"/>
        </w:rPr>
        <w:t>良好</w:t>
      </w:r>
      <w:r>
        <w:rPr>
          <w:rFonts w:hint="default" w:ascii="Times New Roman" w:hAnsi="Times New Roman" w:eastAsia="方正仿宋_GBK" w:cs="Times New Roman"/>
          <w:color w:val="auto"/>
          <w:kern w:val="0"/>
          <w:sz w:val="32"/>
          <w:szCs w:val="32"/>
          <w:highlight w:val="none"/>
          <w:shd w:val="clear" w:fill="FFFFFF"/>
        </w:rPr>
        <w:t>，绩效评价</w:t>
      </w:r>
      <w:r>
        <w:rPr>
          <w:rFonts w:hint="default" w:ascii="Times New Roman" w:hAnsi="Times New Roman" w:eastAsia="方正仿宋_GBK" w:cs="Times New Roman"/>
          <w:color w:val="auto"/>
          <w:kern w:val="0"/>
          <w:sz w:val="32"/>
          <w:szCs w:val="32"/>
          <w:highlight w:val="none"/>
          <w:shd w:val="clear" w:fill="FFFFFF"/>
          <w:lang w:eastAsia="zh-CN"/>
        </w:rPr>
        <w:t>未</w:t>
      </w:r>
      <w:r>
        <w:rPr>
          <w:rFonts w:hint="default" w:ascii="Times New Roman" w:hAnsi="Times New Roman" w:eastAsia="方正仿宋_GBK" w:cs="Times New Roman"/>
          <w:color w:val="auto"/>
          <w:kern w:val="0"/>
          <w:sz w:val="32"/>
          <w:szCs w:val="32"/>
          <w:highlight w:val="none"/>
          <w:shd w:val="clear" w:fill="FFFFFF"/>
        </w:rPr>
        <w:t>发现</w:t>
      </w:r>
      <w:r>
        <w:rPr>
          <w:rFonts w:hint="default" w:ascii="Times New Roman" w:hAnsi="Times New Roman" w:eastAsia="方正仿宋_GBK" w:cs="Times New Roman"/>
          <w:color w:val="auto"/>
          <w:kern w:val="0"/>
          <w:sz w:val="32"/>
          <w:szCs w:val="32"/>
          <w:highlight w:val="none"/>
          <w:shd w:val="clear" w:fill="FFFFFF"/>
          <w:lang w:eastAsia="zh-CN"/>
        </w:rPr>
        <w:t>问题</w:t>
      </w:r>
      <w:r>
        <w:rPr>
          <w:rFonts w:hint="default" w:ascii="Times New Roman" w:hAnsi="Times New Roman" w:eastAsia="方正仿宋_GBK" w:cs="Times New Roman"/>
          <w:color w:val="auto"/>
          <w:kern w:val="0"/>
          <w:sz w:val="32"/>
          <w:szCs w:val="32"/>
          <w:highlight w:val="none"/>
          <w:shd w:val="clear" w:fill="FFFFFF"/>
        </w:rPr>
        <w:t>；</w:t>
      </w:r>
      <w:r>
        <w:rPr>
          <w:rFonts w:hint="default" w:ascii="Times New Roman" w:hAnsi="Times New Roman" w:eastAsia="方正仿宋_GBK" w:cs="Times New Roman"/>
          <w:color w:val="auto"/>
          <w:kern w:val="0"/>
          <w:sz w:val="32"/>
          <w:szCs w:val="32"/>
          <w:highlight w:val="none"/>
          <w:shd w:val="clear" w:fill="FFFFFF"/>
          <w:lang w:eastAsia="zh-CN"/>
        </w:rPr>
        <w:t>对2023年“三区”科技人才支持计划专项</w:t>
      </w:r>
      <w:r>
        <w:rPr>
          <w:rFonts w:hint="default" w:ascii="Times New Roman" w:hAnsi="Times New Roman" w:eastAsia="方正仿宋_GBK" w:cs="Times New Roman"/>
          <w:color w:val="auto"/>
          <w:kern w:val="0"/>
          <w:sz w:val="32"/>
          <w:szCs w:val="32"/>
          <w:highlight w:val="none"/>
          <w:shd w:val="clear" w:fill="FFFFFF"/>
        </w:rPr>
        <w:t>开展了绩效评价，涉及财政拨款项目资金</w:t>
      </w:r>
      <w:r>
        <w:rPr>
          <w:rFonts w:hint="default" w:ascii="Times New Roman" w:hAnsi="Times New Roman" w:eastAsia="方正仿宋_GBK" w:cs="Times New Roman"/>
          <w:color w:val="auto"/>
          <w:kern w:val="0"/>
          <w:sz w:val="32"/>
          <w:szCs w:val="32"/>
          <w:highlight w:val="none"/>
          <w:shd w:val="clear" w:fill="FFFFFF"/>
          <w:lang w:val="en-US" w:eastAsia="zh-CN"/>
        </w:rPr>
        <w:t>40</w:t>
      </w:r>
      <w:r>
        <w:rPr>
          <w:rFonts w:hint="default" w:ascii="Times New Roman" w:hAnsi="Times New Roman" w:eastAsia="方正仿宋_GBK" w:cs="Times New Roman"/>
          <w:color w:val="auto"/>
          <w:kern w:val="0"/>
          <w:sz w:val="32"/>
          <w:szCs w:val="32"/>
          <w:highlight w:val="none"/>
          <w:shd w:val="clear" w:fill="FFFFFF"/>
        </w:rPr>
        <w:t>万元，评价得分</w:t>
      </w:r>
      <w:r>
        <w:rPr>
          <w:rFonts w:hint="default" w:ascii="Times New Roman" w:hAnsi="Times New Roman" w:eastAsia="方正仿宋_GBK" w:cs="Times New Roman"/>
          <w:color w:val="auto"/>
          <w:kern w:val="0"/>
          <w:sz w:val="32"/>
          <w:szCs w:val="32"/>
          <w:highlight w:val="none"/>
          <w:shd w:val="clear" w:fill="FFFFFF"/>
          <w:lang w:val="en-US" w:eastAsia="zh-CN"/>
        </w:rPr>
        <w:t>100</w:t>
      </w:r>
      <w:r>
        <w:rPr>
          <w:rFonts w:hint="default" w:ascii="Times New Roman" w:hAnsi="Times New Roman" w:eastAsia="方正仿宋_GBK" w:cs="Times New Roman"/>
          <w:color w:val="auto"/>
          <w:kern w:val="0"/>
          <w:sz w:val="32"/>
          <w:szCs w:val="32"/>
          <w:highlight w:val="none"/>
          <w:shd w:val="clear" w:fill="FFFFFF"/>
        </w:rPr>
        <w:t>分，评价等次为</w:t>
      </w:r>
      <w:r>
        <w:rPr>
          <w:rFonts w:hint="default" w:ascii="Times New Roman" w:hAnsi="Times New Roman" w:eastAsia="方正仿宋_GBK" w:cs="Times New Roman"/>
          <w:color w:val="auto"/>
          <w:kern w:val="0"/>
          <w:sz w:val="32"/>
          <w:szCs w:val="32"/>
          <w:highlight w:val="none"/>
          <w:shd w:val="clear" w:fill="FFFFFF"/>
          <w:lang w:eastAsia="zh-CN"/>
        </w:rPr>
        <w:t>良好</w:t>
      </w:r>
      <w:r>
        <w:rPr>
          <w:rFonts w:hint="default" w:ascii="Times New Roman" w:hAnsi="Times New Roman" w:eastAsia="方正仿宋_GBK" w:cs="Times New Roman"/>
          <w:color w:val="auto"/>
          <w:kern w:val="0"/>
          <w:sz w:val="32"/>
          <w:szCs w:val="32"/>
          <w:highlight w:val="none"/>
          <w:shd w:val="clear" w:fill="FFFFFF"/>
        </w:rPr>
        <w:t>，绩效评价</w:t>
      </w:r>
      <w:r>
        <w:rPr>
          <w:rFonts w:hint="default" w:ascii="Times New Roman" w:hAnsi="Times New Roman" w:eastAsia="方正仿宋_GBK" w:cs="Times New Roman"/>
          <w:color w:val="auto"/>
          <w:kern w:val="0"/>
          <w:sz w:val="32"/>
          <w:szCs w:val="32"/>
          <w:highlight w:val="none"/>
          <w:shd w:val="clear" w:fill="FFFFFF"/>
          <w:lang w:eastAsia="zh-CN"/>
        </w:rPr>
        <w:t>未</w:t>
      </w:r>
      <w:r>
        <w:rPr>
          <w:rFonts w:hint="default" w:ascii="Times New Roman" w:hAnsi="Times New Roman" w:eastAsia="方正仿宋_GBK" w:cs="Times New Roman"/>
          <w:color w:val="auto"/>
          <w:kern w:val="0"/>
          <w:sz w:val="32"/>
          <w:szCs w:val="32"/>
          <w:highlight w:val="none"/>
          <w:shd w:val="clear" w:fill="FFFFFF"/>
        </w:rPr>
        <w:t>发现</w:t>
      </w:r>
      <w:r>
        <w:rPr>
          <w:rFonts w:hint="default" w:ascii="Times New Roman" w:hAnsi="Times New Roman" w:eastAsia="方正仿宋_GBK" w:cs="Times New Roman"/>
          <w:color w:val="auto"/>
          <w:kern w:val="0"/>
          <w:sz w:val="32"/>
          <w:szCs w:val="32"/>
          <w:highlight w:val="none"/>
          <w:shd w:val="clear" w:fill="FFFFFF"/>
          <w:lang w:eastAsia="zh-CN"/>
        </w:rPr>
        <w:t>问题</w:t>
      </w:r>
      <w:r>
        <w:rPr>
          <w:rFonts w:hint="default" w:ascii="Times New Roman" w:hAnsi="Times New Roman" w:eastAsia="方正仿宋_GBK" w:cs="Times New Roman"/>
          <w:color w:val="auto"/>
          <w:kern w:val="0"/>
          <w:sz w:val="32"/>
          <w:szCs w:val="32"/>
          <w:highlight w:val="none"/>
          <w:shd w:val="clear" w:fill="FFFFFF"/>
        </w:rPr>
        <w:t>；</w:t>
      </w:r>
      <w:r>
        <w:rPr>
          <w:rFonts w:hint="default" w:ascii="Times New Roman" w:hAnsi="Times New Roman" w:eastAsia="方正仿宋_GBK" w:cs="Times New Roman"/>
          <w:color w:val="auto"/>
          <w:kern w:val="0"/>
          <w:sz w:val="32"/>
          <w:szCs w:val="32"/>
          <w:highlight w:val="none"/>
          <w:shd w:val="clear" w:fill="FFFFFF"/>
          <w:lang w:eastAsia="zh-CN"/>
        </w:rPr>
        <w:t>对2024年原乡企非在编人员医疗补助</w:t>
      </w:r>
      <w:r>
        <w:rPr>
          <w:rFonts w:hint="default" w:ascii="Times New Roman" w:hAnsi="Times New Roman" w:eastAsia="方正仿宋_GBK" w:cs="Times New Roman"/>
          <w:color w:val="auto"/>
          <w:kern w:val="0"/>
          <w:sz w:val="32"/>
          <w:szCs w:val="32"/>
          <w:highlight w:val="none"/>
          <w:shd w:val="clear" w:fill="FFFFFF"/>
        </w:rPr>
        <w:t>开展了绩效评价，涉及财政拨款项目资金</w:t>
      </w:r>
      <w:r>
        <w:rPr>
          <w:rFonts w:hint="default" w:ascii="Times New Roman" w:hAnsi="Times New Roman" w:eastAsia="方正仿宋_GBK" w:cs="Times New Roman"/>
          <w:color w:val="auto"/>
          <w:kern w:val="0"/>
          <w:sz w:val="32"/>
          <w:szCs w:val="32"/>
          <w:highlight w:val="none"/>
          <w:shd w:val="clear" w:fill="FFFFFF"/>
          <w:lang w:val="en-US" w:eastAsia="zh-CN"/>
        </w:rPr>
        <w:t>7.8</w:t>
      </w:r>
      <w:r>
        <w:rPr>
          <w:rFonts w:hint="default" w:ascii="Times New Roman" w:hAnsi="Times New Roman" w:eastAsia="方正仿宋_GBK" w:cs="Times New Roman"/>
          <w:color w:val="auto"/>
          <w:kern w:val="0"/>
          <w:sz w:val="32"/>
          <w:szCs w:val="32"/>
          <w:highlight w:val="none"/>
          <w:shd w:val="clear" w:fill="FFFFFF"/>
        </w:rPr>
        <w:t>万元，评价得分</w:t>
      </w:r>
      <w:r>
        <w:rPr>
          <w:rFonts w:hint="default" w:ascii="Times New Roman" w:hAnsi="Times New Roman" w:eastAsia="方正仿宋_GBK" w:cs="Times New Roman"/>
          <w:color w:val="auto"/>
          <w:kern w:val="0"/>
          <w:sz w:val="32"/>
          <w:szCs w:val="32"/>
          <w:highlight w:val="none"/>
          <w:shd w:val="clear" w:fill="FFFFFF"/>
          <w:lang w:val="en-US" w:eastAsia="zh-CN"/>
        </w:rPr>
        <w:t>100</w:t>
      </w:r>
      <w:r>
        <w:rPr>
          <w:rFonts w:hint="default" w:ascii="Times New Roman" w:hAnsi="Times New Roman" w:eastAsia="方正仿宋_GBK" w:cs="Times New Roman"/>
          <w:color w:val="auto"/>
          <w:kern w:val="0"/>
          <w:sz w:val="32"/>
          <w:szCs w:val="32"/>
          <w:highlight w:val="none"/>
          <w:shd w:val="clear" w:fill="FFFFFF"/>
        </w:rPr>
        <w:t>分，评价等次为</w:t>
      </w:r>
      <w:r>
        <w:rPr>
          <w:rFonts w:hint="default" w:ascii="Times New Roman" w:hAnsi="Times New Roman" w:eastAsia="方正仿宋_GBK" w:cs="Times New Roman"/>
          <w:color w:val="auto"/>
          <w:kern w:val="0"/>
          <w:sz w:val="32"/>
          <w:szCs w:val="32"/>
          <w:highlight w:val="none"/>
          <w:shd w:val="clear" w:fill="FFFFFF"/>
          <w:lang w:eastAsia="zh-CN"/>
        </w:rPr>
        <w:t>良好</w:t>
      </w:r>
      <w:r>
        <w:rPr>
          <w:rFonts w:hint="default" w:ascii="Times New Roman" w:hAnsi="Times New Roman" w:eastAsia="方正仿宋_GBK" w:cs="Times New Roman"/>
          <w:color w:val="auto"/>
          <w:kern w:val="0"/>
          <w:sz w:val="32"/>
          <w:szCs w:val="32"/>
          <w:highlight w:val="none"/>
          <w:shd w:val="clear" w:fill="FFFFFF"/>
        </w:rPr>
        <w:t>，绩效评价</w:t>
      </w:r>
      <w:r>
        <w:rPr>
          <w:rFonts w:hint="default" w:ascii="Times New Roman" w:hAnsi="Times New Roman" w:eastAsia="方正仿宋_GBK" w:cs="Times New Roman"/>
          <w:color w:val="auto"/>
          <w:kern w:val="0"/>
          <w:sz w:val="32"/>
          <w:szCs w:val="32"/>
          <w:highlight w:val="none"/>
          <w:shd w:val="clear" w:fill="FFFFFF"/>
          <w:lang w:eastAsia="zh-CN"/>
        </w:rPr>
        <w:t>未</w:t>
      </w:r>
      <w:r>
        <w:rPr>
          <w:rFonts w:hint="default" w:ascii="Times New Roman" w:hAnsi="Times New Roman" w:eastAsia="方正仿宋_GBK" w:cs="Times New Roman"/>
          <w:color w:val="auto"/>
          <w:kern w:val="0"/>
          <w:sz w:val="32"/>
          <w:szCs w:val="32"/>
          <w:highlight w:val="none"/>
          <w:shd w:val="clear" w:fill="FFFFFF"/>
        </w:rPr>
        <w:t>发现</w:t>
      </w:r>
      <w:r>
        <w:rPr>
          <w:rFonts w:hint="default" w:ascii="Times New Roman" w:hAnsi="Times New Roman" w:eastAsia="方正仿宋_GBK" w:cs="Times New Roman"/>
          <w:color w:val="auto"/>
          <w:kern w:val="0"/>
          <w:sz w:val="32"/>
          <w:szCs w:val="32"/>
          <w:highlight w:val="none"/>
          <w:shd w:val="clear" w:fill="FFFFFF"/>
          <w:lang w:eastAsia="zh-CN"/>
        </w:rPr>
        <w:t>问题</w:t>
      </w:r>
      <w:r>
        <w:rPr>
          <w:rFonts w:hint="default" w:ascii="Times New Roman" w:hAnsi="Times New Roman" w:eastAsia="方正仿宋_GBK" w:cs="Times New Roman"/>
          <w:color w:val="auto"/>
          <w:kern w:val="0"/>
          <w:sz w:val="32"/>
          <w:szCs w:val="32"/>
          <w:highlight w:val="none"/>
          <w:shd w:val="clear" w:fill="FFFFFF"/>
        </w:rPr>
        <w:t>；</w:t>
      </w:r>
      <w:r>
        <w:rPr>
          <w:rFonts w:hint="default" w:ascii="Times New Roman" w:hAnsi="Times New Roman" w:eastAsia="方正仿宋_GBK" w:cs="Times New Roman"/>
          <w:color w:val="auto"/>
          <w:kern w:val="0"/>
          <w:sz w:val="32"/>
          <w:szCs w:val="32"/>
          <w:highlight w:val="none"/>
          <w:shd w:val="clear" w:fill="FFFFFF"/>
          <w:lang w:eastAsia="zh-CN"/>
        </w:rPr>
        <w:t>对</w:t>
      </w:r>
      <w:r>
        <w:rPr>
          <w:rFonts w:hint="default" w:ascii="Times New Roman" w:hAnsi="Times New Roman" w:eastAsia="方正仿宋_GBK" w:cs="Times New Roman"/>
          <w:color w:val="auto"/>
          <w:kern w:val="0"/>
          <w:sz w:val="32"/>
          <w:szCs w:val="32"/>
          <w:highlight w:val="none"/>
          <w:shd w:val="clear" w:fill="FFFFFF"/>
        </w:rPr>
        <w:t>第二批2024年驻外招商工作经费开展了绩效评价，涉及财政拨款项目资金</w:t>
      </w:r>
      <w:r>
        <w:rPr>
          <w:rFonts w:hint="default" w:ascii="Times New Roman" w:hAnsi="Times New Roman" w:eastAsia="方正仿宋_GBK" w:cs="Times New Roman"/>
          <w:color w:val="auto"/>
          <w:kern w:val="0"/>
          <w:sz w:val="32"/>
          <w:szCs w:val="32"/>
          <w:highlight w:val="none"/>
          <w:shd w:val="clear" w:fill="FFFFFF"/>
          <w:lang w:val="en-US" w:eastAsia="zh-CN"/>
        </w:rPr>
        <w:t>30</w:t>
      </w:r>
      <w:r>
        <w:rPr>
          <w:rFonts w:hint="default" w:ascii="Times New Roman" w:hAnsi="Times New Roman" w:eastAsia="方正仿宋_GBK" w:cs="Times New Roman"/>
          <w:color w:val="auto"/>
          <w:kern w:val="0"/>
          <w:sz w:val="32"/>
          <w:szCs w:val="32"/>
          <w:highlight w:val="none"/>
          <w:shd w:val="clear" w:fill="FFFFFF"/>
        </w:rPr>
        <w:t>万元，评价得分</w:t>
      </w:r>
      <w:r>
        <w:rPr>
          <w:rFonts w:hint="default" w:ascii="Times New Roman" w:hAnsi="Times New Roman" w:eastAsia="方正仿宋_GBK" w:cs="Times New Roman"/>
          <w:color w:val="auto"/>
          <w:kern w:val="0"/>
          <w:sz w:val="32"/>
          <w:szCs w:val="32"/>
          <w:highlight w:val="none"/>
          <w:shd w:val="clear" w:fill="FFFFFF"/>
          <w:lang w:val="en-US" w:eastAsia="zh-CN"/>
        </w:rPr>
        <w:t>100</w:t>
      </w:r>
      <w:r>
        <w:rPr>
          <w:rFonts w:hint="default" w:ascii="Times New Roman" w:hAnsi="Times New Roman" w:eastAsia="方正仿宋_GBK" w:cs="Times New Roman"/>
          <w:color w:val="auto"/>
          <w:kern w:val="0"/>
          <w:sz w:val="32"/>
          <w:szCs w:val="32"/>
          <w:highlight w:val="none"/>
          <w:shd w:val="clear" w:fill="FFFFFF"/>
        </w:rPr>
        <w:t>分，评价等次为</w:t>
      </w:r>
      <w:r>
        <w:rPr>
          <w:rFonts w:hint="default" w:ascii="Times New Roman" w:hAnsi="Times New Roman" w:eastAsia="方正仿宋_GBK" w:cs="Times New Roman"/>
          <w:color w:val="auto"/>
          <w:kern w:val="0"/>
          <w:sz w:val="32"/>
          <w:szCs w:val="32"/>
          <w:highlight w:val="none"/>
          <w:shd w:val="clear" w:fill="FFFFFF"/>
          <w:lang w:eastAsia="zh-CN"/>
        </w:rPr>
        <w:t>良好</w:t>
      </w:r>
      <w:r>
        <w:rPr>
          <w:rFonts w:hint="default" w:ascii="Times New Roman" w:hAnsi="Times New Roman" w:eastAsia="方正仿宋_GBK" w:cs="Times New Roman"/>
          <w:color w:val="auto"/>
          <w:kern w:val="0"/>
          <w:sz w:val="32"/>
          <w:szCs w:val="32"/>
          <w:highlight w:val="none"/>
          <w:shd w:val="clear" w:fill="FFFFFF"/>
        </w:rPr>
        <w:t>，绩效评价</w:t>
      </w:r>
      <w:r>
        <w:rPr>
          <w:rFonts w:hint="default" w:ascii="Times New Roman" w:hAnsi="Times New Roman" w:eastAsia="方正仿宋_GBK" w:cs="Times New Roman"/>
          <w:color w:val="auto"/>
          <w:kern w:val="0"/>
          <w:sz w:val="32"/>
          <w:szCs w:val="32"/>
          <w:highlight w:val="none"/>
          <w:shd w:val="clear" w:fill="FFFFFF"/>
          <w:lang w:eastAsia="zh-CN"/>
        </w:rPr>
        <w:t>未</w:t>
      </w:r>
      <w:r>
        <w:rPr>
          <w:rFonts w:hint="default" w:ascii="Times New Roman" w:hAnsi="Times New Roman" w:eastAsia="方正仿宋_GBK" w:cs="Times New Roman"/>
          <w:color w:val="auto"/>
          <w:kern w:val="0"/>
          <w:sz w:val="32"/>
          <w:szCs w:val="32"/>
          <w:highlight w:val="none"/>
          <w:shd w:val="clear" w:fill="FFFFFF"/>
        </w:rPr>
        <w:t>发现</w:t>
      </w:r>
      <w:r>
        <w:rPr>
          <w:rFonts w:hint="default" w:ascii="Times New Roman" w:hAnsi="Times New Roman" w:eastAsia="方正仿宋_GBK" w:cs="Times New Roman"/>
          <w:color w:val="auto"/>
          <w:kern w:val="0"/>
          <w:sz w:val="32"/>
          <w:szCs w:val="32"/>
          <w:highlight w:val="none"/>
          <w:shd w:val="clear" w:fill="FFFFFF"/>
          <w:lang w:eastAsia="zh-CN"/>
        </w:rPr>
        <w:t>问题</w:t>
      </w:r>
      <w:r>
        <w:rPr>
          <w:rFonts w:hint="default" w:ascii="Times New Roman" w:hAnsi="Times New Roman" w:eastAsia="方正仿宋_GBK" w:cs="Times New Roman"/>
          <w:color w:val="auto"/>
          <w:kern w:val="0"/>
          <w:sz w:val="32"/>
          <w:szCs w:val="32"/>
          <w:highlight w:val="none"/>
          <w:shd w:val="clear" w:fill="FFFFFF"/>
        </w:rPr>
        <w:t>；对企业升规补助开展了绩效评价，涉及财政拨款项目资金</w:t>
      </w:r>
      <w:r>
        <w:rPr>
          <w:rFonts w:hint="default" w:ascii="Times New Roman" w:hAnsi="Times New Roman" w:eastAsia="方正仿宋_GBK" w:cs="Times New Roman"/>
          <w:color w:val="auto"/>
          <w:kern w:val="0"/>
          <w:sz w:val="32"/>
          <w:szCs w:val="32"/>
          <w:highlight w:val="none"/>
          <w:shd w:val="clear" w:fill="FFFFFF"/>
          <w:lang w:val="en-US" w:eastAsia="zh-CN"/>
        </w:rPr>
        <w:t>55</w:t>
      </w:r>
      <w:r>
        <w:rPr>
          <w:rFonts w:hint="default" w:ascii="Times New Roman" w:hAnsi="Times New Roman" w:eastAsia="方正仿宋_GBK" w:cs="Times New Roman"/>
          <w:color w:val="auto"/>
          <w:kern w:val="0"/>
          <w:sz w:val="32"/>
          <w:szCs w:val="32"/>
          <w:highlight w:val="none"/>
          <w:shd w:val="clear" w:fill="FFFFFF"/>
        </w:rPr>
        <w:t>万元，评价得分</w:t>
      </w:r>
      <w:r>
        <w:rPr>
          <w:rFonts w:hint="default" w:ascii="Times New Roman" w:hAnsi="Times New Roman" w:eastAsia="方正仿宋_GBK" w:cs="Times New Roman"/>
          <w:color w:val="auto"/>
          <w:kern w:val="0"/>
          <w:sz w:val="32"/>
          <w:szCs w:val="32"/>
          <w:highlight w:val="none"/>
          <w:shd w:val="clear" w:fill="FFFFFF"/>
          <w:lang w:val="en-US" w:eastAsia="zh-CN"/>
        </w:rPr>
        <w:t>98.91</w:t>
      </w:r>
      <w:r>
        <w:rPr>
          <w:rFonts w:hint="default" w:ascii="Times New Roman" w:hAnsi="Times New Roman" w:eastAsia="方正仿宋_GBK" w:cs="Times New Roman"/>
          <w:color w:val="auto"/>
          <w:kern w:val="0"/>
          <w:sz w:val="32"/>
          <w:szCs w:val="32"/>
          <w:highlight w:val="none"/>
          <w:shd w:val="clear" w:fill="FFFFFF"/>
        </w:rPr>
        <w:t>分，评价等次为</w:t>
      </w:r>
      <w:r>
        <w:rPr>
          <w:rFonts w:hint="default" w:ascii="Times New Roman" w:hAnsi="Times New Roman" w:eastAsia="方正仿宋_GBK" w:cs="Times New Roman"/>
          <w:color w:val="auto"/>
          <w:kern w:val="0"/>
          <w:sz w:val="32"/>
          <w:szCs w:val="32"/>
          <w:highlight w:val="none"/>
          <w:shd w:val="clear" w:fill="FFFFFF"/>
          <w:lang w:eastAsia="zh-CN"/>
        </w:rPr>
        <w:t>良好</w:t>
      </w:r>
      <w:r>
        <w:rPr>
          <w:rFonts w:hint="default" w:ascii="Times New Roman" w:hAnsi="Times New Roman" w:eastAsia="方正仿宋_GBK" w:cs="Times New Roman"/>
          <w:color w:val="auto"/>
          <w:kern w:val="0"/>
          <w:sz w:val="32"/>
          <w:szCs w:val="32"/>
          <w:highlight w:val="none"/>
          <w:shd w:val="clear" w:fill="FFFFFF"/>
        </w:rPr>
        <w:t>，绩效评价发现了</w:t>
      </w:r>
      <w:r>
        <w:rPr>
          <w:rFonts w:hint="default" w:ascii="Times New Roman" w:hAnsi="Times New Roman" w:eastAsia="方正仿宋_GBK" w:cs="Times New Roman"/>
          <w:color w:val="auto"/>
          <w:kern w:val="0"/>
          <w:sz w:val="32"/>
          <w:szCs w:val="32"/>
          <w:highlight w:val="none"/>
          <w:shd w:val="clear" w:fill="FFFFFF"/>
          <w:lang w:eastAsia="zh-CN"/>
        </w:rPr>
        <w:t>预算执行率未达到</w:t>
      </w:r>
      <w:r>
        <w:rPr>
          <w:rFonts w:hint="default" w:ascii="Times New Roman" w:hAnsi="Times New Roman" w:eastAsia="方正仿宋_GBK" w:cs="Times New Roman"/>
          <w:color w:val="auto"/>
          <w:kern w:val="0"/>
          <w:sz w:val="32"/>
          <w:szCs w:val="32"/>
          <w:highlight w:val="none"/>
          <w:shd w:val="clear" w:fill="FFFFFF"/>
          <w:lang w:val="en-US" w:eastAsia="zh-CN"/>
        </w:rPr>
        <w:t>100%的</w:t>
      </w:r>
      <w:r>
        <w:rPr>
          <w:rFonts w:hint="default" w:ascii="Times New Roman" w:hAnsi="Times New Roman" w:eastAsia="方正仿宋_GBK" w:cs="Times New Roman"/>
          <w:color w:val="auto"/>
          <w:kern w:val="0"/>
          <w:sz w:val="32"/>
          <w:szCs w:val="32"/>
          <w:highlight w:val="none"/>
          <w:shd w:val="clear" w:fill="FFFFFF"/>
        </w:rPr>
        <w:t>问题，下一步</w:t>
      </w:r>
      <w:r>
        <w:rPr>
          <w:rFonts w:hint="default" w:ascii="Times New Roman" w:hAnsi="Times New Roman" w:eastAsia="方正仿宋_GBK" w:cs="Times New Roman"/>
          <w:color w:val="auto"/>
          <w:kern w:val="0"/>
          <w:sz w:val="32"/>
          <w:szCs w:val="32"/>
          <w:highlight w:val="none"/>
          <w:shd w:val="clear" w:fill="FFFFFF"/>
          <w:lang w:eastAsia="zh-CN"/>
        </w:rPr>
        <w:t>加快项目实施进度，提高预算执行率</w:t>
      </w:r>
      <w:r>
        <w:rPr>
          <w:rFonts w:hint="default" w:ascii="Times New Roman" w:hAnsi="Times New Roman" w:eastAsia="方正仿宋_GBK" w:cs="Times New Roman"/>
          <w:color w:val="auto"/>
          <w:kern w:val="0"/>
          <w:sz w:val="32"/>
          <w:szCs w:val="32"/>
          <w:highlight w:val="none"/>
          <w:shd w:val="clear" w:fill="FFFFFF"/>
        </w:rPr>
        <w:t>。</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color w:val="auto"/>
          <w:sz w:val="32"/>
          <w:highlight w:val="none"/>
        </w:rPr>
      </w:pPr>
      <w:r>
        <w:rPr>
          <w:rFonts w:hint="default" w:ascii="Times New Roman" w:hAnsi="Times New Roman" w:eastAsia="方正楷体_GBK" w:cs="Times New Roman"/>
          <w:color w:val="auto"/>
          <w:sz w:val="32"/>
          <w:highlight w:val="none"/>
          <w:lang w:val="en-US" w:eastAsia="zh-CN"/>
        </w:rPr>
        <w:t>（三）财政绩效评价情况</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shd w:val="clear" w:fill="FFFFFF"/>
        </w:rPr>
      </w:pPr>
      <w:r>
        <w:rPr>
          <w:rFonts w:hint="default" w:ascii="Times New Roman" w:hAnsi="Times New Roman" w:eastAsia="方正仿宋_GBK" w:cs="Times New Roman"/>
          <w:color w:val="auto"/>
          <w:kern w:val="0"/>
          <w:sz w:val="32"/>
          <w:szCs w:val="32"/>
          <w:highlight w:val="none"/>
          <w:shd w:val="clear" w:fill="FFFFFF"/>
        </w:rPr>
        <w:t>市财政局未委托第三方对我单位开展绩效评价。</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highlight w:val="none"/>
          <w:lang w:val="en-US" w:eastAsia="zh-CN"/>
        </w:rPr>
        <w:t>（一）财政拨款收入：</w:t>
      </w:r>
      <w:r>
        <w:rPr>
          <w:rFonts w:hint="default" w:ascii="Times New Roman" w:hAnsi="Times New Roman" w:eastAsia="方正仿宋_GBK" w:cs="Times New Roman"/>
          <w:color w:val="auto"/>
          <w:kern w:val="0"/>
          <w:sz w:val="32"/>
          <w:szCs w:val="32"/>
          <w:highlight w:val="none"/>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highlight w:val="none"/>
          <w:lang w:val="en-US" w:eastAsia="zh-CN"/>
        </w:rPr>
        <w:t>（二）事业收入：</w:t>
      </w:r>
      <w:r>
        <w:rPr>
          <w:rFonts w:hint="default" w:ascii="Times New Roman" w:hAnsi="Times New Roman" w:eastAsia="方正仿宋_GBK" w:cs="Times New Roman"/>
          <w:color w:val="auto"/>
          <w:kern w:val="0"/>
          <w:sz w:val="32"/>
          <w:szCs w:val="32"/>
          <w:highlight w:val="none"/>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highlight w:val="none"/>
          <w:lang w:val="en-US" w:eastAsia="zh-CN"/>
        </w:rPr>
        <w:t>（三）经营收入：</w:t>
      </w:r>
      <w:r>
        <w:rPr>
          <w:rFonts w:hint="default" w:ascii="Times New Roman" w:hAnsi="Times New Roman" w:eastAsia="方正仿宋_GBK" w:cs="Times New Roman"/>
          <w:color w:val="auto"/>
          <w:kern w:val="0"/>
          <w:sz w:val="32"/>
          <w:szCs w:val="32"/>
          <w:highlight w:val="none"/>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highlight w:val="none"/>
          <w:lang w:val="en-US" w:eastAsia="zh-CN"/>
        </w:rPr>
        <w:t>（四）其他收入：</w:t>
      </w:r>
      <w:r>
        <w:rPr>
          <w:rFonts w:hint="default" w:ascii="Times New Roman" w:hAnsi="Times New Roman" w:eastAsia="方正仿宋_GBK" w:cs="Times New Roman"/>
          <w:color w:val="auto"/>
          <w:kern w:val="0"/>
          <w:sz w:val="32"/>
          <w:szCs w:val="32"/>
          <w:highlight w:val="none"/>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highlight w:val="none"/>
          <w:lang w:val="en-US" w:eastAsia="zh-CN"/>
        </w:rPr>
        <w:t>（五）使用非财政拨款结余（含专用结余）：</w:t>
      </w:r>
      <w:r>
        <w:rPr>
          <w:rFonts w:hint="default" w:ascii="Times New Roman" w:hAnsi="Times New Roman" w:eastAsia="方正仿宋_GBK" w:cs="Times New Roman"/>
          <w:color w:val="auto"/>
          <w:kern w:val="0"/>
          <w:sz w:val="32"/>
          <w:szCs w:val="32"/>
          <w:highlight w:val="none"/>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highlight w:val="none"/>
          <w:lang w:val="en-US" w:eastAsia="zh-CN"/>
        </w:rPr>
        <w:t>（六）年初结转和结余：</w:t>
      </w:r>
      <w:r>
        <w:rPr>
          <w:rFonts w:hint="default" w:ascii="Times New Roman" w:hAnsi="Times New Roman" w:eastAsia="方正仿宋_GBK" w:cs="Times New Roman"/>
          <w:color w:val="auto"/>
          <w:kern w:val="0"/>
          <w:sz w:val="32"/>
          <w:szCs w:val="32"/>
          <w:highlight w:val="none"/>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highlight w:val="none"/>
          <w:lang w:val="en-US" w:eastAsia="zh-CN"/>
        </w:rPr>
        <w:t>（七）结余分配：</w:t>
      </w:r>
      <w:r>
        <w:rPr>
          <w:rFonts w:hint="default" w:ascii="Times New Roman" w:hAnsi="Times New Roman" w:eastAsia="方正仿宋_GBK" w:cs="Times New Roman"/>
          <w:color w:val="auto"/>
          <w:kern w:val="0"/>
          <w:sz w:val="32"/>
          <w:szCs w:val="32"/>
          <w:highlight w:val="none"/>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highlight w:val="none"/>
          <w:lang w:val="en-US" w:eastAsia="zh-CN"/>
        </w:rPr>
        <w:t>（八）年末结转和结余：</w:t>
      </w:r>
      <w:r>
        <w:rPr>
          <w:rFonts w:hint="default" w:ascii="Times New Roman" w:hAnsi="Times New Roman" w:eastAsia="方正仿宋_GBK" w:cs="Times New Roman"/>
          <w:color w:val="auto"/>
          <w:kern w:val="0"/>
          <w:sz w:val="32"/>
          <w:szCs w:val="32"/>
          <w:highlight w:val="none"/>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highlight w:val="none"/>
          <w:lang w:val="en-US" w:eastAsia="zh-CN"/>
        </w:rPr>
        <w:t>（九）基本支出：</w:t>
      </w:r>
      <w:r>
        <w:rPr>
          <w:rFonts w:hint="default" w:ascii="Times New Roman" w:hAnsi="Times New Roman" w:eastAsia="方正仿宋_GBK" w:cs="Times New Roman"/>
          <w:color w:val="auto"/>
          <w:kern w:val="0"/>
          <w:sz w:val="32"/>
          <w:szCs w:val="32"/>
          <w:highlight w:val="none"/>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highlight w:val="none"/>
          <w:lang w:val="en-US" w:eastAsia="zh-CN"/>
        </w:rPr>
        <w:t>（十）项目支出：</w:t>
      </w:r>
      <w:r>
        <w:rPr>
          <w:rFonts w:hint="default" w:ascii="Times New Roman" w:hAnsi="Times New Roman" w:eastAsia="方正仿宋_GBK" w:cs="Times New Roman"/>
          <w:color w:val="auto"/>
          <w:kern w:val="0"/>
          <w:sz w:val="32"/>
          <w:szCs w:val="32"/>
          <w:highlight w:val="none"/>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highlight w:val="none"/>
          <w:lang w:val="en-US" w:eastAsia="zh-CN"/>
        </w:rPr>
        <w:t>（十一）经营支出：</w:t>
      </w:r>
      <w:r>
        <w:rPr>
          <w:rFonts w:hint="default" w:ascii="Times New Roman" w:hAnsi="Times New Roman" w:eastAsia="方正仿宋_GBK" w:cs="Times New Roman"/>
          <w:color w:val="auto"/>
          <w:kern w:val="0"/>
          <w:sz w:val="32"/>
          <w:szCs w:val="32"/>
          <w:highlight w:val="none"/>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highlight w:val="none"/>
          <w:lang w:val="en-US" w:eastAsia="zh-CN"/>
        </w:rPr>
        <w:t>（十二）“三公”经费：</w:t>
      </w:r>
      <w:r>
        <w:rPr>
          <w:rFonts w:hint="default" w:ascii="Times New Roman" w:hAnsi="Times New Roman" w:eastAsia="方正仿宋_GBK" w:cs="Times New Roman"/>
          <w:color w:val="auto"/>
          <w:kern w:val="0"/>
          <w:sz w:val="32"/>
          <w:szCs w:val="32"/>
          <w:highlight w:val="none"/>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highlight w:val="none"/>
          <w:lang w:val="en-US" w:eastAsia="zh-CN"/>
        </w:rPr>
        <w:t>（十三）机关运行经费：</w:t>
      </w:r>
      <w:r>
        <w:rPr>
          <w:rFonts w:hint="default" w:ascii="Times New Roman" w:hAnsi="Times New Roman" w:eastAsia="方正仿宋_GBK" w:cs="Times New Roman"/>
          <w:color w:val="auto"/>
          <w:kern w:val="0"/>
          <w:sz w:val="32"/>
          <w:szCs w:val="32"/>
          <w:highlight w:val="none"/>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highlight w:val="none"/>
          <w:lang w:val="en-US" w:eastAsia="zh-CN"/>
        </w:rPr>
        <w:t>（十四）工资福利支出（支出经济分类科目类级）：</w:t>
      </w:r>
      <w:r>
        <w:rPr>
          <w:rFonts w:hint="default" w:ascii="Times New Roman" w:hAnsi="Times New Roman" w:eastAsia="方正仿宋_GBK" w:cs="Times New Roman"/>
          <w:color w:val="auto"/>
          <w:kern w:val="0"/>
          <w:sz w:val="32"/>
          <w:szCs w:val="32"/>
          <w:highlight w:val="none"/>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highlight w:val="none"/>
          <w:lang w:val="en-US" w:eastAsia="zh-CN"/>
        </w:rPr>
        <w:t>（十五）商品和服务支出（支出经济分类科目类级）：</w:t>
      </w:r>
      <w:r>
        <w:rPr>
          <w:rFonts w:hint="default" w:ascii="Times New Roman" w:hAnsi="Times New Roman" w:eastAsia="方正仿宋_GBK" w:cs="Times New Roman"/>
          <w:color w:val="auto"/>
          <w:kern w:val="0"/>
          <w:sz w:val="32"/>
          <w:szCs w:val="32"/>
          <w:highlight w:val="none"/>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highlight w:val="none"/>
          <w:lang w:val="en-US" w:eastAsia="zh-CN"/>
        </w:rPr>
        <w:t>（十六）对个人和家庭的补助（支出经济分类科目类级）：</w:t>
      </w:r>
      <w:r>
        <w:rPr>
          <w:rFonts w:hint="default" w:ascii="Times New Roman" w:hAnsi="Times New Roman" w:eastAsia="方正仿宋_GBK" w:cs="Times New Roman"/>
          <w:color w:val="auto"/>
          <w:kern w:val="0"/>
          <w:sz w:val="32"/>
          <w:szCs w:val="32"/>
          <w:highlight w:val="none"/>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highlight w:val="none"/>
          <w:lang w:val="en-US" w:eastAsia="zh-CN"/>
        </w:rPr>
        <w:t>（十七）其他资本性支出（支出经济分类科目类级）：</w:t>
      </w:r>
      <w:r>
        <w:rPr>
          <w:rFonts w:hint="default" w:ascii="Times New Roman" w:hAnsi="Times New Roman" w:eastAsia="方正仿宋_GBK" w:cs="Times New Roman"/>
          <w:color w:val="auto"/>
          <w:kern w:val="0"/>
          <w:sz w:val="32"/>
          <w:szCs w:val="32"/>
          <w:highlight w:val="none"/>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黑体_GBK" w:cs="Times New Roman"/>
          <w:b w:val="0"/>
          <w:bCs/>
          <w:color w:val="auto"/>
          <w:kern w:val="0"/>
          <w:sz w:val="32"/>
          <w:szCs w:val="32"/>
          <w:highlight w:val="none"/>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shd w:val="clear" w:fill="FFFFFF"/>
        </w:rPr>
        <w:t>本单位决算公开信息反馈和联系方式：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shd w:val="clear" w:fill="FFFFFF"/>
          <w:lang w:val="en-US" w:eastAsia="zh-CN"/>
        </w:rPr>
        <w:sectPr>
          <w:footerReference r:id="rId6" w:type="default"/>
          <w:pgSz w:w="11915" w:h="16840"/>
          <w:pgMar w:top="2098" w:right="1474" w:bottom="1984" w:left="1587" w:header="851" w:footer="992" w:gutter="0"/>
          <w:pgNumType w:fmt="numberInDash"/>
          <w:cols w:space="720" w:num="1"/>
          <w:docGrid w:type="lines" w:linePitch="312" w:charSpace="0"/>
        </w:sectPr>
      </w:pPr>
      <w:r>
        <w:rPr>
          <w:rFonts w:hint="default" w:ascii="Times New Roman" w:hAnsi="Times New Roman" w:eastAsia="方正仿宋_GBK" w:cs="Times New Roman"/>
          <w:color w:val="auto"/>
          <w:kern w:val="0"/>
          <w:sz w:val="32"/>
          <w:szCs w:val="32"/>
          <w:highlight w:val="none"/>
          <w:shd w:val="clear" w:fill="FFFFFF"/>
          <w:lang w:val="en-US" w:eastAsia="zh-CN"/>
        </w:rPr>
        <w:t>郑艳玲</w:t>
      </w:r>
      <w:r>
        <w:rPr>
          <w:rFonts w:hint="default" w:ascii="Times New Roman" w:hAnsi="Times New Roman" w:eastAsia="方正仿宋_GBK" w:cs="Times New Roman"/>
          <w:color w:val="auto"/>
          <w:kern w:val="0"/>
          <w:sz w:val="32"/>
          <w:szCs w:val="32"/>
          <w:highlight w:val="none"/>
          <w:shd w:val="clear" w:fill="FFFFFF"/>
        </w:rPr>
        <w:t xml:space="preserve">   023-</w:t>
      </w:r>
      <w:r>
        <w:rPr>
          <w:rFonts w:hint="default" w:ascii="Times New Roman" w:hAnsi="Times New Roman" w:eastAsia="方正仿宋_GBK" w:cs="Times New Roman"/>
          <w:color w:val="auto"/>
          <w:kern w:val="0"/>
          <w:sz w:val="32"/>
          <w:szCs w:val="32"/>
          <w:highlight w:val="none"/>
          <w:shd w:val="clear" w:fill="FFFFFF"/>
          <w:lang w:val="en-US" w:eastAsia="zh-CN"/>
        </w:rPr>
        <w:t>5922238</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20"/>
                <w:szCs w:val="20"/>
                <w:highlight w:val="none"/>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s="Times New Roman"/>
                <w:color w:val="auto"/>
                <w:sz w:val="20"/>
                <w:szCs w:val="20"/>
                <w:highlight w:val="none"/>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20"/>
                <w:szCs w:val="20"/>
                <w:highlight w:val="none"/>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公开01表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2"/>
                <w:szCs w:val="22"/>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城口县经济和信息化委员会（本级）</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22"/>
                <w:szCs w:val="22"/>
                <w:highlight w:val="none"/>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1,277.51</w:t>
            </w: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32.22</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66.27</w:t>
            </w: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562.24</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123.65</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15.56</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66.27</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491.85</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414.53</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34.24</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1,343.78</w:t>
            </w: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1,740.55</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478.56</w:t>
            </w: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81.79</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1,822.34</w:t>
            </w: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1,822.34</w:t>
            </w:r>
            <w:r>
              <w:rPr>
                <w:rFonts w:hint="default" w:ascii="Times New Roman" w:hAnsi="Times New Roman" w:cs="Times New Roman"/>
                <w:color w:val="auto"/>
                <w:sz w:val="20"/>
                <w:highlight w:val="none"/>
                <w:u w:color="auto"/>
              </w:rPr>
              <w:t xml:space="preserve"> </w:t>
            </w:r>
          </w:p>
        </w:tc>
      </w:tr>
    </w:tbl>
    <w:p>
      <w:pPr>
        <w:rPr>
          <w:rFonts w:hint="default" w:ascii="Times New Roman" w:hAnsi="Times New Roman" w:cs="Times New Roman"/>
          <w:color w:val="auto"/>
          <w:sz w:val="21"/>
          <w:szCs w:val="21"/>
          <w:highlight w:val="none"/>
        </w:rPr>
      </w:pPr>
    </w:p>
    <w:p>
      <w:pPr>
        <w:spacing w:line="240" w:lineRule="exact"/>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备注：1.本表反映部门本年度的总收支和年末结转结余情况。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tbl>
      <w:tblPr>
        <w:tblStyle w:val="9"/>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收入决算表</w:t>
            </w:r>
          </w:p>
        </w:tc>
      </w:tr>
      <w:tr>
        <w:tblPrEx>
          <w:tblLayout w:type="fixed"/>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城口县经济和信息化委员会（本级）</w:t>
            </w: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公开02表</w:t>
            </w:r>
          </w:p>
        </w:tc>
      </w:tr>
      <w:tr>
        <w:tblPrEx>
          <w:tblLayout w:type="fixed"/>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其他收入</w:t>
            </w:r>
          </w:p>
        </w:tc>
      </w:tr>
      <w:tr>
        <w:tblPrEx>
          <w:tblLayout w:type="fixed"/>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1,343.78</w:t>
            </w:r>
            <w:r>
              <w:rPr>
                <w:rFonts w:hint="default" w:ascii="Times New Roman" w:hAnsi="Times New Roman" w:cs="Times New Roman"/>
                <w:b/>
                <w:color w:val="auto"/>
                <w:sz w:val="20"/>
                <w:highlight w:val="none"/>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1,343.78</w:t>
            </w:r>
            <w:r>
              <w:rPr>
                <w:rFonts w:hint="default" w:ascii="Times New Roman" w:hAnsi="Times New Roman" w:cs="Times New Roman"/>
                <w:b/>
                <w:color w:val="auto"/>
                <w:sz w:val="20"/>
                <w:highlight w:val="none"/>
                <w:u w:color="auto"/>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32.22</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32.22</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商贸事务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30.00</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30.00</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2011308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招商引资</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30.00</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30.00</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20136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其他共产党事务支出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2.22</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2.22</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2013699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其他共产党事务支出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2.22</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2.22</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科学技术支出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223.14</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223.14</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20604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技术研究与开发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183.14</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183.14</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2060404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科技成果转化与扩散</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183.14</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183.14</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20607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科学技术普及</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40.00</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40.00</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2060799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其他科学技术普及支出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40.00</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40.00</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123.65</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123.65</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123.65</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123.65</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28.16</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28.16</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2080506</w:t>
            </w:r>
          </w:p>
        </w:tc>
        <w:tc>
          <w:tcPr>
            <w:tcW w:w="2973"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机关事业单位职业年金缴费支出</w:t>
            </w:r>
          </w:p>
        </w:tc>
        <w:tc>
          <w:tcPr>
            <w:tcW w:w="137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5.45</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5.45</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2080599</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其他行政事业单位养老支出</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90.04</w:t>
            </w:r>
            <w:r>
              <w:rPr>
                <w:rFonts w:hint="default" w:ascii="Times New Roman" w:hAnsi="Times New Roman" w:cs="Times New Roman"/>
                <w:color w:val="auto"/>
                <w:sz w:val="20"/>
                <w:highlight w:val="none"/>
                <w:u w:color="auto"/>
              </w:rPr>
              <w:t xml:space="preserve"> </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90.04</w:t>
            </w:r>
            <w:r>
              <w:rPr>
                <w:rFonts w:hint="default" w:ascii="Times New Roman" w:hAnsi="Times New Roman" w:cs="Times New Roman"/>
                <w:color w:val="auto"/>
                <w:sz w:val="20"/>
                <w:highlight w:val="none"/>
                <w:u w:color="auto"/>
              </w:rPr>
              <w:t xml:space="preserve"> </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卫生健康支出</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15.56</w:t>
            </w:r>
            <w:r>
              <w:rPr>
                <w:rFonts w:hint="default" w:ascii="Times New Roman" w:hAnsi="Times New Roman" w:cs="Times New Roman"/>
                <w:b/>
                <w:color w:val="auto"/>
                <w:sz w:val="20"/>
                <w:highlight w:val="none"/>
                <w:u w:color="auto"/>
              </w:rPr>
              <w:t xml:space="preserve"> </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15.56</w:t>
            </w:r>
            <w:r>
              <w:rPr>
                <w:rFonts w:hint="default" w:ascii="Times New Roman" w:hAnsi="Times New Roman" w:cs="Times New Roman"/>
                <w:b/>
                <w:color w:val="auto"/>
                <w:sz w:val="20"/>
                <w:highlight w:val="none"/>
                <w:u w:color="auto"/>
              </w:rPr>
              <w:t xml:space="preserve"> </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21011</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行政事业单位医疗</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15.56</w:t>
            </w:r>
            <w:r>
              <w:rPr>
                <w:rFonts w:hint="default" w:ascii="Times New Roman" w:hAnsi="Times New Roman" w:cs="Times New Roman"/>
                <w:b/>
                <w:color w:val="auto"/>
                <w:sz w:val="20"/>
                <w:highlight w:val="none"/>
                <w:u w:color="auto"/>
              </w:rPr>
              <w:t xml:space="preserve"> </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15.56</w:t>
            </w:r>
            <w:r>
              <w:rPr>
                <w:rFonts w:hint="default" w:ascii="Times New Roman" w:hAnsi="Times New Roman" w:cs="Times New Roman"/>
                <w:b/>
                <w:color w:val="auto"/>
                <w:sz w:val="20"/>
                <w:highlight w:val="none"/>
                <w:u w:color="auto"/>
              </w:rPr>
              <w:t xml:space="preserve"> </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2101101</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行政单位医疗</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12.23</w:t>
            </w:r>
            <w:r>
              <w:rPr>
                <w:rFonts w:hint="default" w:ascii="Times New Roman" w:hAnsi="Times New Roman" w:cs="Times New Roman"/>
                <w:color w:val="auto"/>
                <w:sz w:val="20"/>
                <w:highlight w:val="none"/>
                <w:u w:color="auto"/>
              </w:rPr>
              <w:t xml:space="preserve"> </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12.23</w:t>
            </w:r>
            <w:r>
              <w:rPr>
                <w:rFonts w:hint="default" w:ascii="Times New Roman" w:hAnsi="Times New Roman" w:cs="Times New Roman"/>
                <w:color w:val="auto"/>
                <w:sz w:val="20"/>
                <w:highlight w:val="none"/>
                <w:u w:color="auto"/>
              </w:rPr>
              <w:t xml:space="preserve"> </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2101199</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其他行政事业单位医疗支出</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3.33</w:t>
            </w:r>
            <w:r>
              <w:rPr>
                <w:rFonts w:hint="default" w:ascii="Times New Roman" w:hAnsi="Times New Roman" w:cs="Times New Roman"/>
                <w:color w:val="auto"/>
                <w:sz w:val="20"/>
                <w:highlight w:val="none"/>
                <w:u w:color="auto"/>
              </w:rPr>
              <w:t xml:space="preserve"> </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3.33</w:t>
            </w:r>
            <w:r>
              <w:rPr>
                <w:rFonts w:hint="default" w:ascii="Times New Roman" w:hAnsi="Times New Roman" w:cs="Times New Roman"/>
                <w:color w:val="auto"/>
                <w:sz w:val="20"/>
                <w:highlight w:val="none"/>
                <w:u w:color="auto"/>
              </w:rPr>
              <w:t xml:space="preserve"> </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212</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城乡社区支出</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21298</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超长期特别国债安排的支出</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2129801</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城乡社区公共设施</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66.27</w:t>
            </w:r>
            <w:r>
              <w:rPr>
                <w:rFonts w:hint="default" w:ascii="Times New Roman" w:hAnsi="Times New Roman" w:cs="Times New Roman"/>
                <w:color w:val="auto"/>
                <w:sz w:val="20"/>
                <w:highlight w:val="none"/>
                <w:u w:color="auto"/>
              </w:rPr>
              <w:t xml:space="preserve"> </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66.27</w:t>
            </w:r>
            <w:r>
              <w:rPr>
                <w:rFonts w:hint="default" w:ascii="Times New Roman" w:hAnsi="Times New Roman" w:cs="Times New Roman"/>
                <w:color w:val="auto"/>
                <w:sz w:val="20"/>
                <w:highlight w:val="none"/>
                <w:u w:color="auto"/>
              </w:rPr>
              <w:t xml:space="preserve"> </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213</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农林水支出</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491.85</w:t>
            </w:r>
            <w:r>
              <w:rPr>
                <w:rFonts w:hint="default" w:ascii="Times New Roman" w:hAnsi="Times New Roman" w:cs="Times New Roman"/>
                <w:b/>
                <w:color w:val="auto"/>
                <w:sz w:val="20"/>
                <w:highlight w:val="none"/>
                <w:u w:color="auto"/>
              </w:rPr>
              <w:t xml:space="preserve"> </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491.85</w:t>
            </w:r>
            <w:r>
              <w:rPr>
                <w:rFonts w:hint="default" w:ascii="Times New Roman" w:hAnsi="Times New Roman" w:cs="Times New Roman"/>
                <w:b/>
                <w:color w:val="auto"/>
                <w:sz w:val="20"/>
                <w:highlight w:val="none"/>
                <w:u w:color="auto"/>
              </w:rPr>
              <w:t xml:space="preserve"> </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21305</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巩固脱贫攻坚成果衔接乡村振兴</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491.85</w:t>
            </w:r>
            <w:r>
              <w:rPr>
                <w:rFonts w:hint="default" w:ascii="Times New Roman" w:hAnsi="Times New Roman" w:cs="Times New Roman"/>
                <w:b/>
                <w:color w:val="auto"/>
                <w:sz w:val="20"/>
                <w:highlight w:val="none"/>
                <w:u w:color="auto"/>
              </w:rPr>
              <w:t xml:space="preserve"> </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491.85</w:t>
            </w:r>
            <w:r>
              <w:rPr>
                <w:rFonts w:hint="default" w:ascii="Times New Roman" w:hAnsi="Times New Roman" w:cs="Times New Roman"/>
                <w:b/>
                <w:color w:val="auto"/>
                <w:sz w:val="20"/>
                <w:highlight w:val="none"/>
                <w:u w:color="auto"/>
              </w:rPr>
              <w:t xml:space="preserve"> </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2130505</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生产发展</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460.00</w:t>
            </w:r>
            <w:r>
              <w:rPr>
                <w:rFonts w:hint="default" w:ascii="Times New Roman" w:hAnsi="Times New Roman" w:cs="Times New Roman"/>
                <w:color w:val="auto"/>
                <w:sz w:val="20"/>
                <w:highlight w:val="none"/>
                <w:u w:color="auto"/>
              </w:rPr>
              <w:t xml:space="preserve"> </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460.00</w:t>
            </w:r>
            <w:r>
              <w:rPr>
                <w:rFonts w:hint="default" w:ascii="Times New Roman" w:hAnsi="Times New Roman" w:cs="Times New Roman"/>
                <w:color w:val="auto"/>
                <w:sz w:val="20"/>
                <w:highlight w:val="none"/>
                <w:u w:color="auto"/>
              </w:rPr>
              <w:t xml:space="preserve"> </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2130599</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其他巩固脱贫攻坚成果衔接乡村振兴支出</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31.85</w:t>
            </w:r>
            <w:r>
              <w:rPr>
                <w:rFonts w:hint="default" w:ascii="Times New Roman" w:hAnsi="Times New Roman" w:cs="Times New Roman"/>
                <w:color w:val="auto"/>
                <w:sz w:val="20"/>
                <w:highlight w:val="none"/>
                <w:u w:color="auto"/>
              </w:rPr>
              <w:t xml:space="preserve"> </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31.85</w:t>
            </w:r>
            <w:r>
              <w:rPr>
                <w:rFonts w:hint="default" w:ascii="Times New Roman" w:hAnsi="Times New Roman" w:cs="Times New Roman"/>
                <w:color w:val="auto"/>
                <w:sz w:val="20"/>
                <w:highlight w:val="none"/>
                <w:u w:color="auto"/>
              </w:rPr>
              <w:t xml:space="preserve"> </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w:t>
            </w:r>
          </w:p>
        </w:tc>
        <w:tc>
          <w:tcPr>
            <w:tcW w:w="29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资源勘探工业信息等支出</w:t>
            </w:r>
          </w:p>
        </w:tc>
        <w:tc>
          <w:tcPr>
            <w:tcW w:w="13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356.86</w:t>
            </w:r>
            <w:r>
              <w:rPr>
                <w:rFonts w:hint="default" w:ascii="Times New Roman" w:hAnsi="Times New Roman" w:cs="Times New Roman"/>
                <w:b/>
                <w:color w:val="auto"/>
                <w:sz w:val="20"/>
                <w:highlight w:val="none"/>
                <w:u w:color="auto"/>
              </w:rPr>
              <w:t xml:space="preserve"> </w:t>
            </w:r>
          </w:p>
        </w:tc>
        <w:tc>
          <w:tcPr>
            <w:tcW w:w="14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356.86</w:t>
            </w:r>
            <w:r>
              <w:rPr>
                <w:rFonts w:hint="default" w:ascii="Times New Roman" w:hAnsi="Times New Roman" w:cs="Times New Roman"/>
                <w:b/>
                <w:color w:val="auto"/>
                <w:sz w:val="20"/>
                <w:highlight w:val="none"/>
                <w:u w:color="auto"/>
              </w:rPr>
              <w:t xml:space="preserve"> </w:t>
            </w:r>
          </w:p>
        </w:tc>
        <w:tc>
          <w:tcPr>
            <w:tcW w:w="14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21505</w:t>
            </w:r>
          </w:p>
        </w:tc>
        <w:tc>
          <w:tcPr>
            <w:tcW w:w="2973"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工业和信息产业监管</w:t>
            </w:r>
          </w:p>
        </w:tc>
        <w:tc>
          <w:tcPr>
            <w:tcW w:w="137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268.36</w:t>
            </w:r>
            <w:r>
              <w:rPr>
                <w:rFonts w:hint="default" w:ascii="Times New Roman" w:hAnsi="Times New Roman" w:cs="Times New Roman"/>
                <w:b/>
                <w:color w:val="auto"/>
                <w:sz w:val="20"/>
                <w:highlight w:val="none"/>
                <w:u w:color="auto"/>
              </w:rPr>
              <w:t xml:space="preserve"> </w:t>
            </w:r>
          </w:p>
        </w:tc>
        <w:tc>
          <w:tcPr>
            <w:tcW w:w="143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268.36</w:t>
            </w:r>
            <w:r>
              <w:rPr>
                <w:rFonts w:hint="default" w:ascii="Times New Roman" w:hAnsi="Times New Roman" w:cs="Times New Roman"/>
                <w:b/>
                <w:color w:val="auto"/>
                <w:sz w:val="20"/>
                <w:highlight w:val="none"/>
                <w:u w:color="auto"/>
              </w:rPr>
              <w:t xml:space="preserve"> </w:t>
            </w:r>
          </w:p>
        </w:tc>
        <w:tc>
          <w:tcPr>
            <w:tcW w:w="1466"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199.36</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199.36</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2150517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产业发展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24.90</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24.90</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其他工业和信息产业监管支出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44.10</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44.10</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支持中小企业发展和管理支出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88.50</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88.50</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中小企业发展专项</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88.50</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88.50</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34.24</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34.24</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34.24</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34.24</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34.24</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34.24</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bl>
    <w:p>
      <w:pPr>
        <w:ind w:left="600" w:hanging="600" w:hangingChars="300"/>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备注：1.本表反映部门本年度取得的各项收入情况。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br w:type="page"/>
      </w:r>
    </w:p>
    <w:tbl>
      <w:tblPr>
        <w:tblStyle w:val="9"/>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支出决算表</w:t>
            </w:r>
          </w:p>
        </w:tc>
      </w:tr>
      <w:tr>
        <w:tblPrEx>
          <w:tblLayout w:type="fixed"/>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 xml:space="preserve">城口县经济和信息化委员会（本级） </w:t>
            </w: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公开03表</w:t>
            </w:r>
          </w:p>
        </w:tc>
      </w:tr>
      <w:tr>
        <w:tblPrEx>
          <w:tblLayout w:type="fixed"/>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对附属单位补助支出</w:t>
            </w:r>
          </w:p>
        </w:tc>
      </w:tr>
      <w:tr>
        <w:tblPrEx>
          <w:tblLayout w:type="fixed"/>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1,740.55</w:t>
            </w:r>
            <w:r>
              <w:rPr>
                <w:rFonts w:hint="default" w:ascii="Times New Roman" w:hAnsi="Times New Roman" w:cs="Times New Roman"/>
                <w:b/>
                <w:color w:val="auto"/>
                <w:sz w:val="20"/>
                <w:highlight w:val="none"/>
                <w:u w:color="auto"/>
              </w:rPr>
              <w:t xml:space="preserve"> </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404.42</w:t>
            </w:r>
            <w:r>
              <w:rPr>
                <w:rFonts w:hint="default" w:ascii="Times New Roman" w:hAnsi="Times New Roman" w:cs="Times New Roman"/>
                <w:b/>
                <w:color w:val="auto"/>
                <w:sz w:val="20"/>
                <w:highlight w:val="none"/>
                <w:u w:color="auto"/>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1,336.13</w:t>
            </w:r>
            <w:r>
              <w:rPr>
                <w:rFonts w:hint="default" w:ascii="Times New Roman" w:hAnsi="Times New Roman" w:cs="Times New Roman"/>
                <w:b/>
                <w:color w:val="auto"/>
                <w:sz w:val="20"/>
                <w:highlight w:val="none"/>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32.22</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2.22</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商贸事务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30.00</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2011308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招商引资</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30.00</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20136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其他共产党事务支出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2.22</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2.22</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2013699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其他共产党事务支出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2.22</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2.22</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科学技术支出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562.24</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562.24</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20604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技术研究与开发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522.24</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522.24</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2060404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科技成果转化与扩散</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522.24</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522.24</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20607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科学技术普及</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40.00</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40.00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2060799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其他科学技术普及支出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40.00</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40.00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123.65</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123.65</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123.65</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123.65</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28.16</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28.16</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5.45</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5.45</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2080599</w:t>
            </w:r>
          </w:p>
        </w:tc>
        <w:tc>
          <w:tcPr>
            <w:tcW w:w="3916"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其他行政事业单位养老支出</w:t>
            </w:r>
          </w:p>
        </w:tc>
        <w:tc>
          <w:tcPr>
            <w:tcW w:w="180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90.04</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90.04</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卫生健康支出</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15.56</w:t>
            </w:r>
            <w:r>
              <w:rPr>
                <w:rFonts w:hint="default" w:ascii="Times New Roman" w:hAnsi="Times New Roman" w:cs="Times New Roman"/>
                <w:b/>
                <w:color w:val="auto"/>
                <w:sz w:val="20"/>
                <w:highlight w:val="none"/>
                <w:u w:color="auto"/>
              </w:rPr>
              <w:t xml:space="preserve"> </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15.56</w:t>
            </w:r>
            <w:r>
              <w:rPr>
                <w:rFonts w:hint="default" w:ascii="Times New Roman" w:hAnsi="Times New Roman" w:cs="Times New Roman"/>
                <w:b/>
                <w:color w:val="auto"/>
                <w:sz w:val="20"/>
                <w:highlight w:val="none"/>
                <w:u w:color="auto"/>
              </w:rPr>
              <w:t xml:space="preserve"> </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21011</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行政事业单位医疗</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15.56</w:t>
            </w:r>
            <w:r>
              <w:rPr>
                <w:rFonts w:hint="default" w:ascii="Times New Roman" w:hAnsi="Times New Roman" w:cs="Times New Roman"/>
                <w:b/>
                <w:color w:val="auto"/>
                <w:sz w:val="20"/>
                <w:highlight w:val="none"/>
                <w:u w:color="auto"/>
              </w:rPr>
              <w:t xml:space="preserve"> </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15.56</w:t>
            </w:r>
            <w:r>
              <w:rPr>
                <w:rFonts w:hint="default" w:ascii="Times New Roman" w:hAnsi="Times New Roman" w:cs="Times New Roman"/>
                <w:b/>
                <w:color w:val="auto"/>
                <w:sz w:val="20"/>
                <w:highlight w:val="none"/>
                <w:u w:color="auto"/>
              </w:rPr>
              <w:t xml:space="preserve"> </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2101101</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行政单位医疗</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12.23</w:t>
            </w:r>
            <w:r>
              <w:rPr>
                <w:rFonts w:hint="default" w:ascii="Times New Roman" w:hAnsi="Times New Roman" w:cs="Times New Roman"/>
                <w:color w:val="auto"/>
                <w:sz w:val="20"/>
                <w:highlight w:val="none"/>
                <w:u w:color="auto"/>
              </w:rPr>
              <w:t xml:space="preserve"> </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12.23</w:t>
            </w:r>
            <w:r>
              <w:rPr>
                <w:rFonts w:hint="default" w:ascii="Times New Roman" w:hAnsi="Times New Roman" w:cs="Times New Roman"/>
                <w:color w:val="auto"/>
                <w:sz w:val="20"/>
                <w:highlight w:val="none"/>
                <w:u w:color="auto"/>
              </w:rPr>
              <w:t xml:space="preserve"> </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2101199</w:t>
            </w:r>
          </w:p>
        </w:tc>
        <w:tc>
          <w:tcPr>
            <w:tcW w:w="39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其他行政事业单位医疗支出</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3.33</w:t>
            </w:r>
            <w:r>
              <w:rPr>
                <w:rFonts w:hint="default" w:ascii="Times New Roman" w:hAnsi="Times New Roman" w:cs="Times New Roman"/>
                <w:color w:val="auto"/>
                <w:sz w:val="20"/>
                <w:highlight w:val="none"/>
                <w:u w:color="auto"/>
              </w:rPr>
              <w:t xml:space="preserve"> </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3.33</w:t>
            </w:r>
            <w:r>
              <w:rPr>
                <w:rFonts w:hint="default" w:ascii="Times New Roman" w:hAnsi="Times New Roman" w:cs="Times New Roman"/>
                <w:color w:val="auto"/>
                <w:sz w:val="20"/>
                <w:highlight w:val="none"/>
                <w:u w:color="auto"/>
              </w:rPr>
              <w:t xml:space="preserve"> </w:t>
            </w:r>
          </w:p>
        </w:tc>
        <w:tc>
          <w:tcPr>
            <w:tcW w:w="15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212</w:t>
            </w:r>
          </w:p>
        </w:tc>
        <w:tc>
          <w:tcPr>
            <w:tcW w:w="3916"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城乡社区支出</w:t>
            </w:r>
          </w:p>
        </w:tc>
        <w:tc>
          <w:tcPr>
            <w:tcW w:w="180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74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7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508"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21298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超长期特别国债安排的支出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2129801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城乡社区公共设施</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66.27</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66.27</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491.85</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491.85</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21305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巩固脱贫攻坚成果衔接乡村振兴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491.85</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491.85</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2130505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生产发展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460.00</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460.00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2130599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其他巩固脱贫攻坚成果衔接乡村振兴支出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31.85</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31.85</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资源勘探工业信息等支出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414.53</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228.75</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185.78</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工业和信息产业监管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326.03</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228.75</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97.28</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228.75</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228.75</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2150517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产业发展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24.90</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24.90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其他工业和信息产业监管支出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72.38</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72.38</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支持中小企业发展和管理支出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88.50</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88.50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中小企业发展专项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88.50</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88.50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34.24</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34.24</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34.24</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34.24</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34.24</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34.24</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bl>
    <w:p>
      <w:pP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备注：1.本表反映部门本年度各项支出情况。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p>
      <w:pPr>
        <w:rPr>
          <w:rFonts w:hint="default" w:ascii="Times New Roman" w:hAnsi="Times New Roman" w:cs="Times New Roman"/>
          <w:color w:val="auto"/>
          <w:sz w:val="21"/>
          <w:szCs w:val="21"/>
          <w:highlight w:val="none"/>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城口县经济和信息化委员会（本级）</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公开04表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1,277.51</w:t>
            </w: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32.22</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32.22</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66.27</w:t>
            </w: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262.88</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262.88</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123.65</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123.65</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15.56</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15.56</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66.27</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66.27</w:t>
            </w: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491.85</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491.85</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365.34</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365.34</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34.24</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34.24</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1,343.78</w:t>
            </w: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1,392.00</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1,325.73</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66.27</w:t>
            </w: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103.19</w:t>
            </w: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54.97</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54.97</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103.19</w:t>
            </w: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1,446.96</w:t>
            </w: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1,446.96</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1,380.70</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66.27</w:t>
            </w: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bl>
    <w:p>
      <w:pPr>
        <w:spacing w:line="240" w:lineRule="exact"/>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30"/>
        <w:gridCol w:w="4067"/>
        <w:gridCol w:w="3300"/>
        <w:gridCol w:w="3291"/>
        <w:gridCol w:w="3334"/>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一般公共预算财政拨款支出决算表</w:t>
            </w:r>
          </w:p>
        </w:tc>
      </w:tr>
      <w:tr>
        <w:tblPrEx>
          <w:tblLayout w:type="fixed"/>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城口县经济和信息化委员会（本级）</w:t>
            </w:r>
          </w:p>
        </w:tc>
        <w:tc>
          <w:tcPr>
            <w:tcW w:w="329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公开05表</w:t>
            </w:r>
          </w:p>
        </w:tc>
      </w:tr>
      <w:tr>
        <w:tblPrEx>
          <w:tblLayout w:type="fixed"/>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29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本年支出</w:t>
            </w:r>
          </w:p>
        </w:tc>
      </w:tr>
      <w:tr>
        <w:tblPrEx>
          <w:tblLayout w:type="fixed"/>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项目支出</w:t>
            </w:r>
          </w:p>
        </w:tc>
      </w:tr>
      <w:tr>
        <w:tblPrEx>
          <w:tblLayout w:type="fixed"/>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1,325.73</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375.02</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950.71</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一般公共服务支出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32.22</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2.22</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30.00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20113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商贸事务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30.00</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30.00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2011308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招商引资</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30.00</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30.00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20136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其他共产党事务支出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2.22</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2.22</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2013699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其他共产党事务支出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2.22</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2.22</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科学技术支出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262.88</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262.88</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20604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技术研究与开发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222.88</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222.88</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2060404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科技成果转化与扩散</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222.88</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222.88</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20607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科学技术普及</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40.00</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40.00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2060799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其他科学技术普及支出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40.00</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40.00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123.65</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123.65</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123.65</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123.65</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28.16</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28.16</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5.45</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5.45</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90.04</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90.04</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15.56</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15.56</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15.56</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15.56</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行政单位医疗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12.23</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12.23</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3.33</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3.33</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213</w:t>
            </w:r>
          </w:p>
        </w:tc>
        <w:tc>
          <w:tcPr>
            <w:tcW w:w="406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农林水支出</w:t>
            </w:r>
          </w:p>
        </w:tc>
        <w:tc>
          <w:tcPr>
            <w:tcW w:w="330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491.85</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491.85</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21305</w:t>
            </w:r>
          </w:p>
        </w:tc>
        <w:tc>
          <w:tcPr>
            <w:tcW w:w="40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巩固脱贫攻坚成果衔接乡村振兴</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491.85</w:t>
            </w:r>
            <w:r>
              <w:rPr>
                <w:rFonts w:hint="default" w:ascii="Times New Roman" w:hAnsi="Times New Roman" w:cs="Times New Roman"/>
                <w:b/>
                <w:color w:val="auto"/>
                <w:sz w:val="20"/>
                <w:highlight w:val="none"/>
                <w:u w:color="auto"/>
              </w:rPr>
              <w:t xml:space="preserve"> </w:t>
            </w:r>
          </w:p>
        </w:tc>
        <w:tc>
          <w:tcPr>
            <w:tcW w:w="3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33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491.85</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2130505</w:t>
            </w:r>
          </w:p>
        </w:tc>
        <w:tc>
          <w:tcPr>
            <w:tcW w:w="40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生产发展</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460.00</w:t>
            </w:r>
            <w:r>
              <w:rPr>
                <w:rFonts w:hint="default" w:ascii="Times New Roman" w:hAnsi="Times New Roman" w:cs="Times New Roman"/>
                <w:color w:val="auto"/>
                <w:sz w:val="20"/>
                <w:highlight w:val="none"/>
                <w:u w:color="auto"/>
              </w:rPr>
              <w:t xml:space="preserve"> </w:t>
            </w:r>
          </w:p>
        </w:tc>
        <w:tc>
          <w:tcPr>
            <w:tcW w:w="3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33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460.00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2130599</w:t>
            </w:r>
          </w:p>
        </w:tc>
        <w:tc>
          <w:tcPr>
            <w:tcW w:w="40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其他巩固脱贫攻坚成果衔接乡村振兴支出</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31.85</w:t>
            </w:r>
            <w:r>
              <w:rPr>
                <w:rFonts w:hint="default" w:ascii="Times New Roman" w:hAnsi="Times New Roman" w:cs="Times New Roman"/>
                <w:color w:val="auto"/>
                <w:sz w:val="20"/>
                <w:highlight w:val="none"/>
                <w:u w:color="auto"/>
              </w:rPr>
              <w:t xml:space="preserve"> </w:t>
            </w:r>
          </w:p>
        </w:tc>
        <w:tc>
          <w:tcPr>
            <w:tcW w:w="3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33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31.85</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w:t>
            </w:r>
          </w:p>
        </w:tc>
        <w:tc>
          <w:tcPr>
            <w:tcW w:w="40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资源勘探工业信息等支出</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365.34</w:t>
            </w:r>
            <w:r>
              <w:rPr>
                <w:rFonts w:hint="default" w:ascii="Times New Roman" w:hAnsi="Times New Roman" w:cs="Times New Roman"/>
                <w:b/>
                <w:color w:val="auto"/>
                <w:sz w:val="20"/>
                <w:highlight w:val="none"/>
                <w:u w:color="auto"/>
              </w:rPr>
              <w:t xml:space="preserve"> </w:t>
            </w:r>
          </w:p>
        </w:tc>
        <w:tc>
          <w:tcPr>
            <w:tcW w:w="3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199.36</w:t>
            </w:r>
            <w:r>
              <w:rPr>
                <w:rFonts w:hint="default" w:ascii="Times New Roman" w:hAnsi="Times New Roman" w:cs="Times New Roman"/>
                <w:b/>
                <w:color w:val="auto"/>
                <w:sz w:val="20"/>
                <w:highlight w:val="none"/>
                <w:u w:color="auto"/>
              </w:rPr>
              <w:t xml:space="preserve"> </w:t>
            </w:r>
          </w:p>
        </w:tc>
        <w:tc>
          <w:tcPr>
            <w:tcW w:w="33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165.99</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21505</w:t>
            </w:r>
          </w:p>
        </w:tc>
        <w:tc>
          <w:tcPr>
            <w:tcW w:w="40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工业和信息产业监管</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276.84</w:t>
            </w:r>
            <w:r>
              <w:rPr>
                <w:rFonts w:hint="default" w:ascii="Times New Roman" w:hAnsi="Times New Roman" w:cs="Times New Roman"/>
                <w:b/>
                <w:color w:val="auto"/>
                <w:sz w:val="20"/>
                <w:highlight w:val="none"/>
                <w:u w:color="auto"/>
              </w:rPr>
              <w:t xml:space="preserve"> </w:t>
            </w:r>
          </w:p>
        </w:tc>
        <w:tc>
          <w:tcPr>
            <w:tcW w:w="3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199.36</w:t>
            </w:r>
            <w:r>
              <w:rPr>
                <w:rFonts w:hint="default" w:ascii="Times New Roman" w:hAnsi="Times New Roman" w:cs="Times New Roman"/>
                <w:b/>
                <w:color w:val="auto"/>
                <w:sz w:val="20"/>
                <w:highlight w:val="none"/>
                <w:u w:color="auto"/>
              </w:rPr>
              <w:t xml:space="preserve"> </w:t>
            </w:r>
          </w:p>
        </w:tc>
        <w:tc>
          <w:tcPr>
            <w:tcW w:w="33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77.49</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2150501</w:t>
            </w:r>
          </w:p>
        </w:tc>
        <w:tc>
          <w:tcPr>
            <w:tcW w:w="40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行政运行</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199.36</w:t>
            </w:r>
            <w:r>
              <w:rPr>
                <w:rFonts w:hint="default" w:ascii="Times New Roman" w:hAnsi="Times New Roman" w:cs="Times New Roman"/>
                <w:color w:val="auto"/>
                <w:sz w:val="20"/>
                <w:highlight w:val="none"/>
                <w:u w:color="auto"/>
              </w:rPr>
              <w:t xml:space="preserve"> </w:t>
            </w:r>
          </w:p>
        </w:tc>
        <w:tc>
          <w:tcPr>
            <w:tcW w:w="3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199.36</w:t>
            </w:r>
            <w:r>
              <w:rPr>
                <w:rFonts w:hint="default" w:ascii="Times New Roman" w:hAnsi="Times New Roman" w:cs="Times New Roman"/>
                <w:color w:val="auto"/>
                <w:sz w:val="20"/>
                <w:highlight w:val="none"/>
                <w:u w:color="auto"/>
              </w:rPr>
              <w:t xml:space="preserve"> </w:t>
            </w:r>
          </w:p>
        </w:tc>
        <w:tc>
          <w:tcPr>
            <w:tcW w:w="33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2150517</w:t>
            </w:r>
          </w:p>
        </w:tc>
        <w:tc>
          <w:tcPr>
            <w:tcW w:w="40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产业发展</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24.90</w:t>
            </w:r>
            <w:r>
              <w:rPr>
                <w:rFonts w:hint="default" w:ascii="Times New Roman" w:hAnsi="Times New Roman" w:cs="Times New Roman"/>
                <w:color w:val="auto"/>
                <w:sz w:val="20"/>
                <w:highlight w:val="none"/>
                <w:u w:color="auto"/>
              </w:rPr>
              <w:t xml:space="preserve"> </w:t>
            </w:r>
          </w:p>
        </w:tc>
        <w:tc>
          <w:tcPr>
            <w:tcW w:w="3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33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24.90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2150599</w:t>
            </w:r>
          </w:p>
        </w:tc>
        <w:tc>
          <w:tcPr>
            <w:tcW w:w="40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其他工业和信息产业监管支出</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52.59</w:t>
            </w:r>
            <w:r>
              <w:rPr>
                <w:rFonts w:hint="default" w:ascii="Times New Roman" w:hAnsi="Times New Roman" w:cs="Times New Roman"/>
                <w:color w:val="auto"/>
                <w:sz w:val="20"/>
                <w:highlight w:val="none"/>
                <w:u w:color="auto"/>
              </w:rPr>
              <w:t xml:space="preserve"> </w:t>
            </w:r>
          </w:p>
        </w:tc>
        <w:tc>
          <w:tcPr>
            <w:tcW w:w="3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33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52.59</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21508</w:t>
            </w:r>
          </w:p>
        </w:tc>
        <w:tc>
          <w:tcPr>
            <w:tcW w:w="40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支持中小企业发展和管理支出</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88.50</w:t>
            </w:r>
            <w:r>
              <w:rPr>
                <w:rFonts w:hint="default" w:ascii="Times New Roman" w:hAnsi="Times New Roman" w:cs="Times New Roman"/>
                <w:b/>
                <w:color w:val="auto"/>
                <w:sz w:val="20"/>
                <w:highlight w:val="none"/>
                <w:u w:color="auto"/>
              </w:rPr>
              <w:t xml:space="preserve"> </w:t>
            </w:r>
          </w:p>
        </w:tc>
        <w:tc>
          <w:tcPr>
            <w:tcW w:w="3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33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88.50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2150805</w:t>
            </w:r>
          </w:p>
        </w:tc>
        <w:tc>
          <w:tcPr>
            <w:tcW w:w="40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中小企业发展专项</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88.50</w:t>
            </w:r>
            <w:r>
              <w:rPr>
                <w:rFonts w:hint="default" w:ascii="Times New Roman" w:hAnsi="Times New Roman" w:cs="Times New Roman"/>
                <w:color w:val="auto"/>
                <w:sz w:val="20"/>
                <w:highlight w:val="none"/>
                <w:u w:color="auto"/>
              </w:rPr>
              <w:t xml:space="preserve"> </w:t>
            </w:r>
          </w:p>
        </w:tc>
        <w:tc>
          <w:tcPr>
            <w:tcW w:w="3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33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88.50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221</w:t>
            </w:r>
          </w:p>
        </w:tc>
        <w:tc>
          <w:tcPr>
            <w:tcW w:w="40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住房保障支出</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34.24</w:t>
            </w:r>
            <w:r>
              <w:rPr>
                <w:rFonts w:hint="default" w:ascii="Times New Roman" w:hAnsi="Times New Roman" w:cs="Times New Roman"/>
                <w:b/>
                <w:color w:val="auto"/>
                <w:sz w:val="20"/>
                <w:highlight w:val="none"/>
                <w:u w:color="auto"/>
              </w:rPr>
              <w:t xml:space="preserve"> </w:t>
            </w:r>
          </w:p>
        </w:tc>
        <w:tc>
          <w:tcPr>
            <w:tcW w:w="3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34.24</w:t>
            </w:r>
            <w:r>
              <w:rPr>
                <w:rFonts w:hint="default" w:ascii="Times New Roman" w:hAnsi="Times New Roman" w:cs="Times New Roman"/>
                <w:b/>
                <w:color w:val="auto"/>
                <w:sz w:val="20"/>
                <w:highlight w:val="none"/>
                <w:u w:color="auto"/>
              </w:rPr>
              <w:t xml:space="preserve"> </w:t>
            </w:r>
          </w:p>
        </w:tc>
        <w:tc>
          <w:tcPr>
            <w:tcW w:w="33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22102</w:t>
            </w:r>
          </w:p>
        </w:tc>
        <w:tc>
          <w:tcPr>
            <w:tcW w:w="40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住房改革支出</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34.24</w:t>
            </w:r>
            <w:r>
              <w:rPr>
                <w:rFonts w:hint="default" w:ascii="Times New Roman" w:hAnsi="Times New Roman" w:cs="Times New Roman"/>
                <w:b/>
                <w:color w:val="auto"/>
                <w:sz w:val="20"/>
                <w:highlight w:val="none"/>
                <w:u w:color="auto"/>
              </w:rPr>
              <w:t xml:space="preserve"> </w:t>
            </w:r>
          </w:p>
        </w:tc>
        <w:tc>
          <w:tcPr>
            <w:tcW w:w="3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34.24</w:t>
            </w:r>
            <w:r>
              <w:rPr>
                <w:rFonts w:hint="default" w:ascii="Times New Roman" w:hAnsi="Times New Roman" w:cs="Times New Roman"/>
                <w:b/>
                <w:color w:val="auto"/>
                <w:sz w:val="20"/>
                <w:highlight w:val="none"/>
                <w:u w:color="auto"/>
              </w:rPr>
              <w:t xml:space="preserve"> </w:t>
            </w:r>
          </w:p>
        </w:tc>
        <w:tc>
          <w:tcPr>
            <w:tcW w:w="33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2210201</w:t>
            </w:r>
          </w:p>
        </w:tc>
        <w:tc>
          <w:tcPr>
            <w:tcW w:w="40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住房公积金</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34.24</w:t>
            </w:r>
            <w:r>
              <w:rPr>
                <w:rFonts w:hint="default" w:ascii="Times New Roman" w:hAnsi="Times New Roman" w:cs="Times New Roman"/>
                <w:color w:val="auto"/>
                <w:sz w:val="20"/>
                <w:highlight w:val="none"/>
                <w:u w:color="auto"/>
              </w:rPr>
              <w:t xml:space="preserve"> </w:t>
            </w:r>
          </w:p>
        </w:tc>
        <w:tc>
          <w:tcPr>
            <w:tcW w:w="32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34.24</w:t>
            </w:r>
            <w:r>
              <w:rPr>
                <w:rFonts w:hint="default" w:ascii="Times New Roman" w:hAnsi="Times New Roman" w:cs="Times New Roman"/>
                <w:color w:val="auto"/>
                <w:sz w:val="20"/>
                <w:highlight w:val="none"/>
                <w:u w:color="auto"/>
              </w:rPr>
              <w:t xml:space="preserve"> </w:t>
            </w:r>
          </w:p>
        </w:tc>
        <w:tc>
          <w:tcPr>
            <w:tcW w:w="333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bl>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0"/>
          <w:szCs w:val="20"/>
          <w:highlight w:val="none"/>
        </w:rPr>
        <w:t>备注：1.本表反映部门本年度一般公共预算财政拨款支出情况。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ind w:firstLine="630" w:firstLineChars="3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tbl>
      <w:tblPr>
        <w:tblStyle w:val="9"/>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城口县经济和信息化委员会（本级）</w:t>
            </w:r>
          </w:p>
        </w:tc>
        <w:tc>
          <w:tcPr>
            <w:tcW w:w="1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85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345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公开06表</w:t>
            </w:r>
          </w:p>
        </w:tc>
      </w:tr>
      <w:tr>
        <w:tblPrEx>
          <w:tblLayout w:type="fixed"/>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1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85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345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公用经费</w:t>
            </w:r>
          </w:p>
        </w:tc>
      </w:tr>
      <w:tr>
        <w:tblPrEx>
          <w:tblLayout w:type="fixed"/>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金额</w:t>
            </w:r>
          </w:p>
        </w:tc>
      </w:tr>
      <w:tr>
        <w:tblPrEx>
          <w:tblLayout w:type="fixed"/>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231.49</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40.67</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0.22</w:t>
            </w: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48.45</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2.36</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77.02</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1.03</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0.22</w:t>
            </w: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14.70</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0.48</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0.01</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28.16</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0.07</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5.45</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5.88</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12.23</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3.17</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1.28</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34.24</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7.60</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102.65</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0.75</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94.85</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7.80</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3.00</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16.23</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0.93</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8.50</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0.65</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334.13</w:t>
            </w:r>
            <w:r>
              <w:rPr>
                <w:rFonts w:hint="default" w:ascii="Times New Roman" w:hAnsi="Times New Roman" w:cs="Times New Roman"/>
                <w:color w:val="auto"/>
                <w:sz w:val="18"/>
                <w:highlight w:val="none"/>
                <w:u w:color="auto"/>
              </w:rPr>
              <w:t xml:space="preserve"> </w:t>
            </w:r>
          </w:p>
        </w:tc>
        <w:tc>
          <w:tcPr>
            <w:tcW w:w="857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公用经费合计</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40.89</w:t>
            </w:r>
            <w:r>
              <w:rPr>
                <w:rFonts w:hint="default" w:ascii="Times New Roman" w:hAnsi="Times New Roman" w:cs="Times New Roman"/>
                <w:color w:val="auto"/>
                <w:sz w:val="18"/>
                <w:highlight w:val="none"/>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备注：1.本表反映部门本年度一般公共预算财政拨款基本支出明细情况。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城口县经济和信息化委员会（本级）</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公开07表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年末结转和结余</w:t>
            </w:r>
          </w:p>
        </w:tc>
      </w:tr>
      <w:tr>
        <w:tblPrEx>
          <w:tblLayout w:type="fixed"/>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21298</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超长期特别国债安排的支出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66.27</w:t>
            </w:r>
            <w:r>
              <w:rPr>
                <w:rFonts w:hint="default" w:ascii="Times New Roman" w:hAnsi="Times New Roman" w:cs="Times New Roman"/>
                <w:b/>
                <w:color w:val="auto"/>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2129801</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城乡社区公共设施</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66.27</w:t>
            </w:r>
            <w:r>
              <w:rPr>
                <w:rFonts w:hint="default" w:ascii="Times New Roman" w:hAnsi="Times New Roman" w:cs="Times New Roman"/>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66.27</w:t>
            </w:r>
            <w:r>
              <w:rPr>
                <w:rFonts w:hint="default" w:ascii="Times New Roman" w:hAnsi="Times New Roman" w:cs="Times New Roman"/>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66.27</w:t>
            </w:r>
            <w:r>
              <w:rPr>
                <w:rFonts w:hint="default" w:ascii="Times New Roman" w:hAnsi="Times New Roman" w:cs="Times New Roman"/>
                <w:color w:val="auto"/>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bl>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0"/>
          <w:szCs w:val="20"/>
          <w:highlight w:val="none"/>
        </w:rPr>
        <w:t>备注：1.本表反映部门本年度政府性基金预算财政拨款收入支出及结转和结余情况。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城口县经济和信息化委员会（本级）</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公开08表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auto"/>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auto"/>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 xml:space="preserve">0.00 </w:t>
            </w:r>
          </w:p>
        </w:tc>
      </w:tr>
    </w:tbl>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0"/>
          <w:szCs w:val="20"/>
          <w:highlight w:val="none"/>
        </w:rPr>
        <w:t>备注：本表反映部门本年度国有资本经营预算财政拨款支出情况。本部门无国有资本经营收支，故本表无数据。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tbl>
      <w:tblPr>
        <w:tblStyle w:val="9"/>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auto"/>
                <w:kern w:val="2"/>
                <w:sz w:val="32"/>
                <w:szCs w:val="32"/>
                <w:highlight w:val="none"/>
              </w:rPr>
            </w:pPr>
            <w:r>
              <w:rPr>
                <w:rFonts w:hint="default" w:ascii="Times New Roman" w:hAnsi="Times New Roman" w:cs="Times New Roman"/>
                <w:b/>
                <w:color w:val="auto"/>
                <w:kern w:val="2"/>
                <w:sz w:val="32"/>
                <w:szCs w:val="32"/>
                <w:highlight w:val="none"/>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auto"/>
                <w:kern w:val="2"/>
                <w:sz w:val="20"/>
                <w:szCs w:val="20"/>
                <w:highlight w:val="none"/>
              </w:rPr>
            </w:pPr>
          </w:p>
        </w:tc>
        <w:tc>
          <w:tcPr>
            <w:tcW w:w="2402" w:type="dxa"/>
            <w:shd w:val="clear" w:color="auto" w:fill="auto"/>
            <w:noWrap/>
            <w:tcMar>
              <w:top w:w="15" w:type="dxa"/>
              <w:left w:w="15" w:type="dxa"/>
              <w:right w:w="15" w:type="dxa"/>
            </w:tcMar>
            <w:vAlign w:val="bottom"/>
          </w:tcPr>
          <w:p>
            <w:pPr>
              <w:spacing w:line="280" w:lineRule="exact"/>
              <w:jc w:val="center"/>
              <w:rPr>
                <w:rFonts w:hint="default" w:ascii="Times New Roman" w:hAnsi="Times New Roman" w:cs="Times New Roman"/>
                <w:color w:val="auto"/>
                <w:kern w:val="2"/>
                <w:sz w:val="20"/>
                <w:szCs w:val="20"/>
                <w:highlight w:val="none"/>
              </w:rPr>
            </w:pPr>
          </w:p>
        </w:tc>
        <w:tc>
          <w:tcPr>
            <w:tcW w:w="2360" w:type="dxa"/>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auto"/>
                <w:kern w:val="2"/>
                <w:sz w:val="20"/>
                <w:szCs w:val="20"/>
                <w:highlight w:val="none"/>
              </w:rPr>
            </w:pPr>
          </w:p>
        </w:tc>
        <w:tc>
          <w:tcPr>
            <w:tcW w:w="3726"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auto"/>
                <w:kern w:val="2"/>
                <w:sz w:val="20"/>
                <w:szCs w:val="20"/>
                <w:highlight w:val="none"/>
              </w:rPr>
            </w:pPr>
          </w:p>
        </w:tc>
        <w:tc>
          <w:tcPr>
            <w:tcW w:w="2480" w:type="dxa"/>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auto"/>
                <w:kern w:val="2"/>
                <w:sz w:val="20"/>
                <w:szCs w:val="20"/>
                <w:highlight w:val="none"/>
              </w:rPr>
            </w:pPr>
            <w:r>
              <w:rPr>
                <w:rFonts w:hint="default" w:ascii="Times New Roman" w:hAnsi="Times New Roman" w:cs="Times New Roman"/>
                <w:color w:val="auto"/>
                <w:kern w:val="2"/>
                <w:sz w:val="20"/>
                <w:szCs w:val="20"/>
                <w:highlight w:val="none"/>
              </w:rPr>
              <w:t>公开09表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auto"/>
                <w:kern w:val="2"/>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kern w:val="2"/>
                <w:sz w:val="20"/>
                <w:szCs w:val="20"/>
                <w:highlight w:val="none"/>
              </w:rPr>
              <w:t>：</w:t>
            </w:r>
            <w:r>
              <w:rPr>
                <w:rFonts w:hint="default" w:ascii="Times New Roman" w:hAnsi="Times New Roman" w:cs="Times New Roman"/>
                <w:color w:val="auto"/>
                <w:sz w:val="20"/>
                <w:highlight w:val="none"/>
                <w:u w:color="auto"/>
              </w:rPr>
              <w:t>城口县经济和信息化委员会（本级）</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auto"/>
                <w:kern w:val="2"/>
                <w:sz w:val="20"/>
                <w:szCs w:val="20"/>
                <w:highlight w:val="none"/>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auto"/>
                <w:kern w:val="2"/>
                <w:sz w:val="20"/>
                <w:szCs w:val="20"/>
                <w:highlight w:val="none"/>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auto"/>
                <w:kern w:val="2"/>
                <w:sz w:val="20"/>
                <w:szCs w:val="20"/>
                <w:highlight w:val="none"/>
              </w:rPr>
            </w:pPr>
            <w:r>
              <w:rPr>
                <w:rFonts w:hint="default" w:ascii="Times New Roman" w:hAnsi="Times New Roman" w:cs="Times New Roman"/>
                <w:color w:val="auto"/>
                <w:kern w:val="2"/>
                <w:sz w:val="20"/>
                <w:szCs w:val="20"/>
                <w:highlight w:val="none"/>
              </w:rPr>
              <w:t>单位：万元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40.89</w:t>
            </w: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12.64</w:t>
            </w: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12.64</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40.89</w:t>
            </w: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4.98</w:t>
            </w: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4.98</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w:t>
            </w: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4.98</w:t>
            </w: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4.98</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7.66</w:t>
            </w: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7.66</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7.66</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w:t>
            </w: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3</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56</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511.14</w:t>
            </w: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15.57</w:t>
            </w: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388</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495.57</w:t>
            </w: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461.73</w:t>
            </w: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461.73</w:t>
            </w: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1.16</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auto"/>
                <w:kern w:val="2"/>
                <w:sz w:val="16"/>
                <w:szCs w:val="16"/>
                <w:highlight w:val="none"/>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auto"/>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auto"/>
                <w:kern w:val="2"/>
                <w:sz w:val="16"/>
                <w:szCs w:val="16"/>
                <w:highlight w:val="none"/>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auto"/>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sz w:val="16"/>
                <w:szCs w:val="16"/>
                <w:highlight w:val="none"/>
              </w:rPr>
            </w:pPr>
            <w:r>
              <w:rPr>
                <w:rFonts w:hint="default" w:ascii="Times New Roman" w:hAnsi="Times New Roman" w:cs="Times New Roman"/>
                <w:b/>
                <w:bCs/>
                <w:color w:val="auto"/>
                <w:sz w:val="16"/>
                <w:szCs w:val="16"/>
                <w:highlight w:val="none"/>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37.85</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auto"/>
                <w:sz w:val="16"/>
                <w:szCs w:val="16"/>
                <w:highlight w:val="none"/>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auto"/>
                <w:sz w:val="16"/>
                <w:szCs w:val="16"/>
                <w:highlight w:val="none"/>
              </w:rPr>
            </w:pPr>
          </w:p>
        </w:tc>
      </w:tr>
    </w:tbl>
    <w:p>
      <w:pPr>
        <w:rPr>
          <w:rFonts w:hint="default" w:ascii="Times New Roman" w:hAnsi="Times New Roman" w:cs="Times New Roman"/>
          <w:color w:val="auto"/>
          <w:sz w:val="18"/>
          <w:szCs w:val="18"/>
          <w:highlight w:val="none"/>
        </w:rPr>
        <w:sectPr>
          <w:pgSz w:w="16783" w:h="11850" w:orient="landscape"/>
          <w:pgMar w:top="567" w:right="454" w:bottom="567" w:left="1037" w:header="0" w:footer="283" w:gutter="0"/>
          <w:pgNumType w:fmt="numberInDash"/>
          <w:cols w:space="720" w:num="1"/>
          <w:docGrid w:type="lines" w:linePitch="326" w:charSpace="0"/>
        </w:sectPr>
      </w:pPr>
      <w:r>
        <w:rPr>
          <w:rFonts w:hint="default" w:ascii="Times New Roman" w:hAnsi="Times New Roman" w:cs="Times New Roman"/>
          <w:color w:val="auto"/>
          <w:sz w:val="18"/>
          <w:szCs w:val="18"/>
          <w:highlight w:val="none"/>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color w:val="auto"/>
          <w:sz w:val="18"/>
          <w:szCs w:val="18"/>
          <w:highlight w:val="none"/>
        </w:rPr>
        <w:br w:type="textWrapping"/>
      </w:r>
      <w:r>
        <w:rPr>
          <w:rFonts w:hint="default" w:ascii="Times New Roman" w:hAnsi="Times New Roman" w:cs="Times New Roman"/>
          <w:color w:val="auto"/>
          <w:sz w:val="18"/>
          <w:szCs w:val="18"/>
          <w:highlight w:val="none"/>
        </w:rPr>
        <w:t xml:space="preserve">      2.本套报表金额单位转换时可能存在尾数误差。</w:t>
      </w:r>
      <w:r>
        <w:rPr>
          <w:rFonts w:hint="default" w:ascii="Times New Roman" w:hAnsi="Times New Roman" w:cs="Times New Roman"/>
          <w:color w:val="auto"/>
          <w:sz w:val="18"/>
          <w:szCs w:val="18"/>
          <w:highlight w:val="none"/>
        </w:rPr>
        <w:br w:type="textWrapping"/>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9" w:lineRule="exact"/>
        <w:jc w:val="center"/>
        <w:textAlignment w:val="auto"/>
        <w:rPr>
          <w:rFonts w:hint="default" w:ascii="Times New Roman" w:hAnsi="Times New Roman" w:eastAsia="方正小标宋_GBK" w:cs="Times New Roman"/>
          <w:b w:val="0"/>
          <w:bCs w:val="0"/>
          <w:color w:val="auto"/>
          <w:sz w:val="44"/>
          <w:szCs w:val="44"/>
          <w:highlight w:val="none"/>
        </w:rPr>
      </w:pPr>
      <w:r>
        <w:rPr>
          <w:rFonts w:hint="default" w:ascii="Times New Roman" w:hAnsi="Times New Roman" w:eastAsia="方正小标宋_GBK" w:cs="Times New Roman"/>
          <w:b w:val="0"/>
          <w:bCs w:val="0"/>
          <w:color w:val="auto"/>
          <w:sz w:val="44"/>
          <w:szCs w:val="44"/>
          <w:highlight w:val="none"/>
        </w:rPr>
        <w:t>城口县工业安全和环保节能服务中心</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9" w:lineRule="exact"/>
        <w:jc w:val="center"/>
        <w:textAlignment w:val="auto"/>
        <w:rPr>
          <w:rFonts w:hint="default" w:ascii="Times New Roman" w:hAnsi="Times New Roman" w:eastAsia="方正小标宋_GBK" w:cs="Times New Roman"/>
          <w:b w:val="0"/>
          <w:bCs w:val="0"/>
          <w:color w:val="auto"/>
          <w:sz w:val="44"/>
          <w:szCs w:val="44"/>
          <w:highlight w:val="none"/>
          <w:shd w:val="clear" w:color="auto" w:fill="FFFFFF"/>
        </w:rPr>
      </w:pPr>
      <w:r>
        <w:rPr>
          <w:rFonts w:hint="default" w:ascii="Times New Roman" w:hAnsi="Times New Roman" w:eastAsia="方正小标宋_GBK" w:cs="Times New Roman"/>
          <w:b w:val="0"/>
          <w:bCs w:val="0"/>
          <w:color w:val="auto"/>
          <w:sz w:val="44"/>
          <w:szCs w:val="44"/>
          <w:highlight w:val="none"/>
          <w:shd w:val="clear" w:color="auto" w:fill="FFFFFF"/>
        </w:rPr>
        <w:t>2024年度决算公开说明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3" w:firstLineChars="200"/>
        <w:textAlignment w:val="auto"/>
        <w:rPr>
          <w:rStyle w:val="8"/>
          <w:rFonts w:hint="default" w:ascii="Times New Roman" w:hAnsi="Times New Roman" w:eastAsia="黑体" w:cs="Times New Roman"/>
          <w:color w:val="auto"/>
          <w:sz w:val="32"/>
          <w:szCs w:val="32"/>
          <w:highlight w:val="none"/>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黑体" w:cs="Times New Roman"/>
          <w:color w:val="auto"/>
          <w:sz w:val="32"/>
          <w:szCs w:val="32"/>
          <w:highlight w:val="none"/>
          <w:shd w:val="clear" w:color="auto" w:fill="FFFFFF"/>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一、部门基本情况</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楷体_GBK" w:cs="Times New Roman"/>
          <w:color w:val="auto"/>
          <w:sz w:val="32"/>
          <w:highlight w:val="none"/>
        </w:rPr>
      </w:pPr>
      <w:r>
        <w:rPr>
          <w:rFonts w:hint="default" w:ascii="Times New Roman" w:hAnsi="Times New Roman" w:eastAsia="方正楷体_GBK" w:cs="Times New Roman"/>
          <w:color w:val="auto"/>
          <w:sz w:val="32"/>
          <w:highlight w:val="none"/>
        </w:rPr>
        <w:t>（一）职能职责</w:t>
      </w:r>
    </w:p>
    <w:p>
      <w:pPr>
        <w:pStyle w:val="16"/>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rPr>
        <w:t>协助工业、民爆、燃气等行业和企业加强安全生产管理，推动企业安全生产。协助工业企业落实环境保护主体责任、工业园区落实环境保护监管责任，协助工业企业实施能源节约和清洁生产，推进工业和信息产业绿色制造体系建设。协助开展专业培训、普法宣传，参与拟订相关污染控制政策。</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楷体_GBK" w:cs="Times New Roman"/>
          <w:color w:val="auto"/>
          <w:sz w:val="32"/>
          <w:highlight w:val="none"/>
          <w:lang w:val="en-US" w:eastAsia="zh-CN"/>
        </w:rPr>
      </w:pPr>
      <w:r>
        <w:rPr>
          <w:rFonts w:hint="default" w:ascii="Times New Roman" w:hAnsi="Times New Roman" w:eastAsia="方正楷体_GBK" w:cs="Times New Roman"/>
          <w:color w:val="auto"/>
          <w:sz w:val="32"/>
          <w:highlight w:val="none"/>
        </w:rPr>
        <w:t>（二）</w:t>
      </w:r>
      <w:r>
        <w:rPr>
          <w:rFonts w:hint="default" w:ascii="Times New Roman" w:hAnsi="Times New Roman" w:eastAsia="方正楷体_GBK" w:cs="Times New Roman"/>
          <w:color w:val="auto"/>
          <w:sz w:val="32"/>
          <w:highlight w:val="none"/>
          <w:lang w:eastAsia="zh-CN"/>
        </w:rPr>
        <w:t>机构设置</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rPr>
        <w:t>城口县工业安全和环保节能服务中心，为县经济信息委所属公益一类事业单位，机构规格为正科级</w:t>
      </w: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lang w:val="en-US" w:eastAsia="zh-CN"/>
        </w:rPr>
        <w:t>设</w:t>
      </w:r>
      <w:r>
        <w:rPr>
          <w:rFonts w:hint="default" w:ascii="Times New Roman" w:hAnsi="Times New Roman" w:eastAsia="方正仿宋_GBK" w:cs="Times New Roman"/>
          <w:color w:val="auto"/>
          <w:sz w:val="32"/>
          <w:highlight w:val="none"/>
        </w:rPr>
        <w:t>事业编制1</w:t>
      </w:r>
      <w:r>
        <w:rPr>
          <w:rFonts w:hint="default" w:ascii="Times New Roman" w:hAnsi="Times New Roman" w:eastAsia="方正仿宋_GBK" w:cs="Times New Roman"/>
          <w:color w:val="auto"/>
          <w:sz w:val="32"/>
          <w:highlight w:val="none"/>
          <w:lang w:val="en-US" w:eastAsia="zh-CN"/>
        </w:rPr>
        <w:t>2</w:t>
      </w:r>
      <w:r>
        <w:rPr>
          <w:rFonts w:hint="default" w:ascii="Times New Roman" w:hAnsi="Times New Roman" w:eastAsia="方正仿宋_GBK" w:cs="Times New Roman"/>
          <w:color w:val="auto"/>
          <w:sz w:val="32"/>
          <w:highlight w:val="none"/>
        </w:rPr>
        <w:t>名，领导职数2名。</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二、部门决算收支情况说明</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Fonts w:hint="default" w:ascii="Times New Roman" w:hAnsi="Times New Roman" w:eastAsia="方正楷体_GBK" w:cs="Times New Roman"/>
          <w:color w:val="auto"/>
          <w:sz w:val="32"/>
          <w:szCs w:val="24"/>
          <w:highlight w:val="none"/>
          <w:lang w:val="en-US" w:eastAsia="zh-CN" w:bidi="ar-SA"/>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2024年度收</w:t>
      </w:r>
      <w:r>
        <w:rPr>
          <w:rFonts w:hint="default" w:ascii="Times New Roman" w:hAnsi="Times New Roman" w:eastAsia="方正仿宋_GBK" w:cs="Times New Roman"/>
          <w:color w:val="auto"/>
          <w:sz w:val="32"/>
          <w:szCs w:val="32"/>
          <w:highlight w:val="none"/>
          <w:shd w:val="clear" w:color="auto" w:fill="FFFFFF"/>
          <w:lang w:eastAsia="zh-CN"/>
        </w:rPr>
        <w:t>、支</w:t>
      </w:r>
      <w:r>
        <w:rPr>
          <w:rFonts w:hint="default" w:ascii="Times New Roman" w:hAnsi="Times New Roman" w:eastAsia="方正仿宋_GBK" w:cs="Times New Roman"/>
          <w:color w:val="auto"/>
          <w:sz w:val="32"/>
          <w:szCs w:val="32"/>
          <w:highlight w:val="none"/>
          <w:shd w:val="clear" w:color="auto" w:fill="FFFFFF"/>
        </w:rPr>
        <w:t>总计</w:t>
      </w:r>
      <w:r>
        <w:rPr>
          <w:rFonts w:hint="default" w:ascii="Times New Roman" w:hAnsi="Times New Roman" w:eastAsia="方正仿宋_GBK" w:cs="Times New Roman"/>
          <w:color w:val="auto"/>
          <w:sz w:val="32"/>
          <w:szCs w:val="32"/>
          <w:highlight w:val="none"/>
          <w:shd w:val="clear" w:color="auto" w:fill="FFFFFF"/>
          <w:lang w:eastAsia="zh-CN"/>
        </w:rPr>
        <w:t>均为</w:t>
      </w:r>
      <w:r>
        <w:rPr>
          <w:rFonts w:hint="default" w:ascii="Times New Roman" w:hAnsi="Times New Roman" w:eastAsia="方正仿宋_GBK" w:cs="Times New Roman"/>
          <w:color w:val="auto"/>
          <w:sz w:val="32"/>
          <w:szCs w:val="32"/>
          <w:highlight w:val="none"/>
          <w:shd w:val="clear" w:color="auto" w:fill="FFFFFF"/>
        </w:rPr>
        <w:t>160.44万元。收、支与2023年度相比，增加160.44万元，增长100.0%，主要原因是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r>
        <w:rPr>
          <w:rFonts w:hint="default" w:ascii="Times New Roman" w:hAnsi="Times New Roman" w:eastAsia="方正仿宋_GBK" w:cs="Times New Roman"/>
          <w:color w:val="auto"/>
          <w:sz w:val="32"/>
          <w:szCs w:val="32"/>
          <w:highlight w:val="none"/>
          <w:shd w:val="clear" w:color="auto" w:fill="FFFFFF"/>
        </w:rPr>
        <w:t xml:space="preserve"> </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8"/>
          <w:rFonts w:hint="default" w:ascii="Times New Roman" w:hAnsi="Times New Roman" w:eastAsia="方正仿宋_GBK" w:cs="Times New Roman"/>
          <w:color w:val="auto"/>
          <w:sz w:val="32"/>
          <w:szCs w:val="32"/>
          <w:highlight w:val="none"/>
          <w:shd w:val="clear" w:color="auto" w:fill="FFFFFF"/>
          <w:lang w:val="en-US" w:eastAsia="zh-CN"/>
        </w:rPr>
        <w:t>1</w:t>
      </w:r>
      <w:r>
        <w:rPr>
          <w:rStyle w:val="8"/>
          <w:rFonts w:hint="default" w:ascii="Times New Roman" w:hAnsi="Times New Roman" w:eastAsia="方正仿宋_GBK" w:cs="Times New Roman"/>
          <w:color w:val="auto"/>
          <w:sz w:val="32"/>
          <w:szCs w:val="32"/>
          <w:highlight w:val="none"/>
          <w:shd w:val="clear" w:color="auto" w:fill="FFFFFF"/>
        </w:rPr>
        <w:t>.收入情况。</w:t>
      </w:r>
      <w:r>
        <w:rPr>
          <w:rFonts w:hint="default" w:ascii="Times New Roman" w:hAnsi="Times New Roman" w:eastAsia="方正仿宋_GBK" w:cs="Times New Roman"/>
          <w:color w:val="auto"/>
          <w:sz w:val="32"/>
          <w:szCs w:val="32"/>
          <w:highlight w:val="none"/>
          <w:shd w:val="clear" w:color="auto" w:fill="FFFFFF"/>
        </w:rPr>
        <w:t>2024年度收入合计160.44万元，与2023年度相比，增加160.44万元，增长100.0%，主要原因是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r>
        <w:rPr>
          <w:rFonts w:hint="default" w:ascii="Times New Roman" w:hAnsi="Times New Roman" w:eastAsia="方正仿宋_GBK" w:cs="Times New Roman"/>
          <w:color w:val="auto"/>
          <w:sz w:val="32"/>
          <w:szCs w:val="32"/>
          <w:highlight w:val="none"/>
          <w:shd w:val="clear" w:color="auto" w:fill="FFFFFF"/>
        </w:rPr>
        <w:t>其中：财政拨款收入160.44万元，占100.0%；事业收入0.00万元，占0.0%；经营收入0.00万元，占0.0%；其他收入0.00万元，占0.0%。此外，使用非财政拨款结余（含专用结余）0.00万元，年初结转和结余0.00万元。</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8"/>
          <w:rFonts w:hint="default" w:ascii="Times New Roman" w:hAnsi="Times New Roman" w:eastAsia="方正仿宋_GBK" w:cs="Times New Roman"/>
          <w:color w:val="auto"/>
          <w:sz w:val="32"/>
          <w:szCs w:val="32"/>
          <w:highlight w:val="none"/>
          <w:shd w:val="clear" w:color="auto" w:fill="FFFFFF"/>
          <w:lang w:val="en-US" w:eastAsia="zh-CN"/>
        </w:rPr>
        <w:t>2</w:t>
      </w:r>
      <w:r>
        <w:rPr>
          <w:rStyle w:val="8"/>
          <w:rFonts w:hint="default" w:ascii="Times New Roman" w:hAnsi="Times New Roman" w:eastAsia="方正仿宋_GBK" w:cs="Times New Roman"/>
          <w:color w:val="auto"/>
          <w:sz w:val="32"/>
          <w:szCs w:val="32"/>
          <w:highlight w:val="none"/>
          <w:shd w:val="clear" w:color="auto" w:fill="FFFFFF"/>
        </w:rPr>
        <w:t>.支出情况。</w:t>
      </w:r>
      <w:r>
        <w:rPr>
          <w:rFonts w:hint="default" w:ascii="Times New Roman" w:hAnsi="Times New Roman" w:eastAsia="方正仿宋_GBK" w:cs="Times New Roman"/>
          <w:color w:val="auto"/>
          <w:sz w:val="32"/>
          <w:szCs w:val="32"/>
          <w:highlight w:val="none"/>
          <w:shd w:val="clear" w:color="auto" w:fill="FFFFFF"/>
        </w:rPr>
        <w:t>2024年度支出合计160.44万元，与2023年度相比，增加160.44万元，增长100.0%，主要原因是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r>
        <w:rPr>
          <w:rFonts w:hint="default" w:ascii="Times New Roman" w:hAnsi="Times New Roman" w:eastAsia="方正仿宋_GBK" w:cs="Times New Roman"/>
          <w:color w:val="auto"/>
          <w:sz w:val="32"/>
          <w:szCs w:val="32"/>
          <w:highlight w:val="none"/>
          <w:shd w:val="clear" w:color="auto" w:fill="FFFFFF"/>
        </w:rPr>
        <w:t>其中：基本支出160.44万元，占100.0%；项目支出0.00万元，占0.0%；经营支出</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万元，占0.0%。此外，结余分配0.00万元。</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仿宋_GBK" w:cs="Times New Roman"/>
          <w:color w:val="auto"/>
          <w:sz w:val="32"/>
          <w:szCs w:val="32"/>
          <w:highlight w:val="none"/>
          <w:shd w:val="clear" w:color="auto" w:fill="FFFFFF"/>
          <w:lang w:val="en-US" w:eastAsia="zh-CN"/>
        </w:rPr>
        <w:t>3</w:t>
      </w:r>
      <w:r>
        <w:rPr>
          <w:rStyle w:val="8"/>
          <w:rFonts w:hint="default" w:ascii="Times New Roman" w:hAnsi="Times New Roman" w:eastAsia="方正仿宋_GBK" w:cs="Times New Roman"/>
          <w:color w:val="auto"/>
          <w:sz w:val="32"/>
          <w:szCs w:val="32"/>
          <w:highlight w:val="none"/>
          <w:shd w:val="clear" w:color="auto" w:fill="FFFFFF"/>
        </w:rPr>
        <w:t>.结转结余情况。</w:t>
      </w:r>
      <w:r>
        <w:rPr>
          <w:rFonts w:hint="default" w:ascii="Times New Roman" w:hAnsi="Times New Roman" w:eastAsia="方正仿宋_GBK" w:cs="Times New Roman"/>
          <w:color w:val="auto"/>
          <w:sz w:val="32"/>
          <w:szCs w:val="32"/>
          <w:highlight w:val="none"/>
          <w:shd w:val="clear" w:color="auto" w:fill="FFFFFF"/>
        </w:rPr>
        <w:t>2024年度年末结转和结余0.00万元，与2023年度相比，无增减。</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方正楷体_GBK" w:cs="Times New Roman"/>
          <w:color w:val="auto"/>
          <w:sz w:val="32"/>
          <w:szCs w:val="24"/>
          <w:highlight w:val="none"/>
          <w:lang w:val="en-US" w:eastAsia="zh-CN" w:bidi="ar-SA"/>
        </w:rPr>
      </w:pPr>
      <w:r>
        <w:rPr>
          <w:rFonts w:hint="default" w:ascii="Times New Roman" w:hAnsi="Times New Roman" w:eastAsia="方正楷体_GBK" w:cs="Times New Roman"/>
          <w:color w:val="auto"/>
          <w:sz w:val="32"/>
          <w:szCs w:val="24"/>
          <w:highlight w:val="none"/>
          <w:lang w:val="en-US" w:eastAsia="zh-CN" w:bidi="ar-SA"/>
        </w:rPr>
        <w:t>（二）财政拨款收入支出决算总体情况说明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2024年度财政拨款收、支总计均为160.44万元。与2023年</w:t>
      </w:r>
      <w:r>
        <w:rPr>
          <w:rFonts w:hint="default" w:ascii="Times New Roman" w:hAnsi="Times New Roman" w:eastAsia="方正仿宋_GBK" w:cs="Times New Roman"/>
          <w:color w:val="auto"/>
          <w:sz w:val="32"/>
          <w:szCs w:val="32"/>
          <w:highlight w:val="none"/>
          <w:shd w:val="clear" w:color="auto" w:fill="FFFFFF"/>
          <w:lang w:eastAsia="zh-CN"/>
        </w:rPr>
        <w:t>度</w:t>
      </w:r>
      <w:r>
        <w:rPr>
          <w:rFonts w:hint="default" w:ascii="Times New Roman" w:hAnsi="Times New Roman" w:eastAsia="方正仿宋_GBK" w:cs="Times New Roman"/>
          <w:color w:val="auto"/>
          <w:sz w:val="32"/>
          <w:szCs w:val="32"/>
          <w:highlight w:val="none"/>
          <w:shd w:val="clear" w:color="auto" w:fill="FFFFFF"/>
        </w:rPr>
        <w:t>相比，财政拨款收、支总计各增加160.44万元，增长100.0%。主要原因是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方正楷体_GBK" w:cs="Times New Roman"/>
          <w:color w:val="auto"/>
          <w:sz w:val="32"/>
          <w:szCs w:val="24"/>
          <w:highlight w:val="none"/>
          <w:lang w:val="en-US" w:eastAsia="zh-CN" w:bidi="ar-SA"/>
        </w:rPr>
      </w:pPr>
      <w:r>
        <w:rPr>
          <w:rFonts w:hint="default" w:ascii="Times New Roman" w:hAnsi="Times New Roman" w:eastAsia="方正楷体_GBK" w:cs="Times New Roman"/>
          <w:color w:val="auto"/>
          <w:sz w:val="32"/>
          <w:szCs w:val="24"/>
          <w:highlight w:val="none"/>
          <w:lang w:val="en-US" w:eastAsia="zh-CN" w:bidi="ar-SA"/>
        </w:rPr>
        <w:t>（三）一般公共预算财政拨款收入支出决算情况说明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仿宋_GBK" w:cs="Times New Roman"/>
          <w:color w:val="auto"/>
          <w:sz w:val="32"/>
          <w:szCs w:val="32"/>
          <w:highlight w:val="none"/>
          <w:shd w:val="clear" w:color="auto" w:fill="FFFFFF"/>
        </w:rPr>
        <w:t>1.收入情况。</w:t>
      </w:r>
      <w:r>
        <w:rPr>
          <w:rFonts w:hint="default" w:ascii="Times New Roman" w:hAnsi="Times New Roman" w:eastAsia="方正仿宋_GBK" w:cs="Times New Roman"/>
          <w:color w:val="auto"/>
          <w:sz w:val="32"/>
          <w:szCs w:val="32"/>
          <w:highlight w:val="none"/>
          <w:shd w:val="clear" w:color="auto" w:fill="FFFFFF"/>
        </w:rPr>
        <w:t>2024年度一般公共预算财政拨款收入160.44万元，与2023年度相比，增加160.44万元，增长100.0%。主要原因是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r>
        <w:rPr>
          <w:rFonts w:hint="default" w:ascii="Times New Roman" w:hAnsi="Times New Roman" w:eastAsia="方正仿宋_GBK" w:cs="Times New Roman"/>
          <w:color w:val="auto"/>
          <w:sz w:val="32"/>
          <w:szCs w:val="32"/>
          <w:highlight w:val="none"/>
          <w:shd w:val="clear" w:color="auto" w:fill="FFFFFF"/>
        </w:rPr>
        <w:t>较年初预算数增加160.44万元，增长100.0%。主要原因是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r>
        <w:rPr>
          <w:rFonts w:hint="default" w:ascii="Times New Roman" w:hAnsi="Times New Roman" w:eastAsia="方正仿宋_GBK" w:cs="Times New Roman"/>
          <w:color w:val="auto"/>
          <w:sz w:val="32"/>
          <w:szCs w:val="32"/>
          <w:highlight w:val="none"/>
          <w:shd w:val="clear" w:color="auto" w:fill="FFFFFF"/>
        </w:rPr>
        <w:t>此外，年初财政拨款结转和结余0.00万元。</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8"/>
          <w:rFonts w:hint="default" w:ascii="Times New Roman" w:hAnsi="Times New Roman" w:eastAsia="方正仿宋_GBK" w:cs="Times New Roman"/>
          <w:color w:val="auto"/>
          <w:sz w:val="32"/>
          <w:szCs w:val="32"/>
          <w:highlight w:val="none"/>
          <w:shd w:val="clear" w:color="auto" w:fill="FFFFFF"/>
        </w:rPr>
        <w:t>2.支出情况。</w:t>
      </w:r>
      <w:r>
        <w:rPr>
          <w:rFonts w:hint="default" w:ascii="Times New Roman" w:hAnsi="Times New Roman" w:eastAsia="方正仿宋_GBK" w:cs="Times New Roman"/>
          <w:color w:val="auto"/>
          <w:sz w:val="32"/>
          <w:szCs w:val="32"/>
          <w:highlight w:val="none"/>
          <w:shd w:val="clear" w:color="auto" w:fill="FFFFFF"/>
        </w:rPr>
        <w:t>2024年度一般公共预算财政拨款支出160.44万元，与2023年度相比，增加160.44万元，增长100.0%。主要原因是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r>
        <w:rPr>
          <w:rFonts w:hint="default" w:ascii="Times New Roman" w:hAnsi="Times New Roman" w:eastAsia="方正仿宋_GBK" w:cs="Times New Roman"/>
          <w:color w:val="auto"/>
          <w:sz w:val="32"/>
          <w:szCs w:val="32"/>
          <w:highlight w:val="none"/>
          <w:shd w:val="clear" w:color="auto" w:fill="FFFFFF"/>
        </w:rPr>
        <w:t>较年初预算数增加160.44万元，增长100.0%。主要原因是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一般公共预算财政拨款支出主要</w:t>
      </w:r>
      <w:r>
        <w:rPr>
          <w:rFonts w:hint="default" w:ascii="Times New Roman" w:hAnsi="Times New Roman" w:eastAsia="方正仿宋_GBK" w:cs="Times New Roman"/>
          <w:color w:val="auto"/>
          <w:sz w:val="32"/>
          <w:szCs w:val="32"/>
          <w:highlight w:val="none"/>
          <w:shd w:val="clear" w:color="auto" w:fill="FFFFFF"/>
          <w:lang w:eastAsia="zh-CN"/>
        </w:rPr>
        <w:t>用途如下</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numPr>
          <w:ilvl w:val="0"/>
          <w:numId w:val="2"/>
        </w:numP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社会保障</w:t>
      </w:r>
      <w:r>
        <w:rPr>
          <w:rFonts w:hint="default" w:ascii="Times New Roman" w:hAnsi="Times New Roman" w:eastAsia="方正仿宋_GBK" w:cs="Times New Roman"/>
          <w:color w:val="auto"/>
          <w:sz w:val="32"/>
          <w:szCs w:val="32"/>
          <w:highlight w:val="none"/>
          <w:shd w:val="clear" w:color="auto" w:fill="FFFFFF"/>
          <w:lang w:eastAsia="zh-CN"/>
        </w:rPr>
        <w:t>和</w:t>
      </w:r>
      <w:r>
        <w:rPr>
          <w:rFonts w:hint="default" w:ascii="Times New Roman" w:hAnsi="Times New Roman" w:eastAsia="方正仿宋_GBK" w:cs="Times New Roman"/>
          <w:color w:val="auto"/>
          <w:sz w:val="32"/>
          <w:szCs w:val="32"/>
          <w:highlight w:val="none"/>
          <w:shd w:val="clear" w:color="auto" w:fill="FFFFFF"/>
        </w:rPr>
        <w:t>就业支出15.45万元，占9.6%，较年初预算数增加15.45万元，增长100.0%，主要原因是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p>
    <w:p>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2</w:t>
      </w:r>
      <w:r>
        <w:rPr>
          <w:rFonts w:hint="default" w:ascii="Times New Roman" w:hAnsi="Times New Roman" w:eastAsia="方正仿宋_GBK" w:cs="Times New Roman"/>
          <w:color w:val="auto"/>
          <w:sz w:val="32"/>
          <w:szCs w:val="32"/>
          <w:highlight w:val="none"/>
          <w:shd w:val="clear" w:color="auto" w:fill="FFFFFF"/>
        </w:rPr>
        <w:t>）卫生健康支出8.40万元，占5.2%，较年初预算数增加8.40万元，增长100.0%，主要原因是本年度本单位与机关分离进行独立核算。</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shd w:val="clear" w:color="auto" w:fill="FFFFFF"/>
        </w:rPr>
        <w:t>）资源勘探信息等支出136.59万元，占85.1%，较年初预算数增加136.59万元，增长100.0%，主要原因是本年度本单位与机关分离进行独立核算。</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8"/>
          <w:rFonts w:hint="default" w:ascii="Times New Roman" w:hAnsi="Times New Roman" w:eastAsia="方正仿宋_GBK" w:cs="Times New Roman"/>
          <w:color w:val="auto"/>
          <w:sz w:val="32"/>
          <w:szCs w:val="32"/>
          <w:highlight w:val="none"/>
          <w:shd w:val="clear" w:color="auto" w:fill="FFFFFF"/>
        </w:rPr>
        <w:t>3.结转结余情况。</w:t>
      </w:r>
      <w:r>
        <w:rPr>
          <w:rFonts w:hint="default" w:ascii="Times New Roman" w:hAnsi="Times New Roman" w:eastAsia="方正仿宋_GBK" w:cs="Times New Roman"/>
          <w:color w:val="auto"/>
          <w:sz w:val="32"/>
          <w:szCs w:val="32"/>
          <w:highlight w:val="none"/>
          <w:shd w:val="clear" w:color="auto" w:fill="FFFFFF"/>
        </w:rPr>
        <w:t>2024年度年末一般公共预算财政拨款结转和结余0.00万元，与2023年度相比，无增减。</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Fonts w:hint="default" w:ascii="Times New Roman" w:hAnsi="Times New Roman" w:eastAsia="方正楷体_GBK" w:cs="Times New Roman"/>
          <w:color w:val="auto"/>
          <w:sz w:val="32"/>
          <w:szCs w:val="24"/>
          <w:highlight w:val="none"/>
          <w:lang w:val="en-US" w:eastAsia="zh-CN" w:bidi="ar-SA"/>
        </w:rPr>
        <w:t>（四）一般公共预算财政拨款基本支出决算情况说明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2024年度一般公共财政拨款基本支出160.44万元。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其中：</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人员经费157.57万元，与2023年度相比，增加157.57万元，增长100.0%，主要原因是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r>
        <w:rPr>
          <w:rFonts w:hint="default" w:ascii="Times New Roman" w:hAnsi="Times New Roman" w:eastAsia="方正仿宋_GBK" w:cs="Times New Roman"/>
          <w:color w:val="auto"/>
          <w:sz w:val="32"/>
          <w:szCs w:val="32"/>
          <w:highlight w:val="none"/>
          <w:shd w:val="clear" w:color="auto" w:fill="FFFFFF"/>
        </w:rPr>
        <w:t>。人员经费用途主要包括基本工资</w:t>
      </w:r>
      <w:r>
        <w:rPr>
          <w:rFonts w:hint="default" w:ascii="Times New Roman" w:hAnsi="Times New Roman" w:eastAsia="方正仿宋_GBK" w:cs="Times New Roman"/>
          <w:color w:val="auto"/>
          <w:sz w:val="32"/>
          <w:szCs w:val="32"/>
          <w:highlight w:val="none"/>
          <w:shd w:val="clear" w:color="auto" w:fill="FFFFFF"/>
          <w:lang w:eastAsia="zh-CN"/>
        </w:rPr>
        <w:t>、津贴补贴、绩效工资、社会保障缴费等各项费用支出</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公用经费2.87万元，与2023年度相比，增加2.87万元，增长100.0%，主要原因是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r>
        <w:rPr>
          <w:rFonts w:hint="default" w:ascii="Times New Roman" w:hAnsi="Times New Roman" w:eastAsia="方正仿宋_GBK" w:cs="Times New Roman"/>
          <w:color w:val="auto"/>
          <w:sz w:val="32"/>
          <w:szCs w:val="32"/>
          <w:highlight w:val="none"/>
          <w:shd w:val="clear" w:color="auto" w:fill="FFFFFF"/>
        </w:rPr>
        <w:t>。公用经费用途主要包括括办公费</w:t>
      </w:r>
      <w:r>
        <w:rPr>
          <w:rFonts w:hint="default" w:ascii="Times New Roman" w:hAnsi="Times New Roman" w:eastAsia="方正仿宋_GBK" w:cs="Times New Roman"/>
          <w:color w:val="auto"/>
          <w:sz w:val="32"/>
          <w:szCs w:val="32"/>
          <w:highlight w:val="none"/>
          <w:shd w:val="clear" w:color="auto" w:fill="FFFFFF"/>
          <w:lang w:eastAsia="zh-CN"/>
        </w:rPr>
        <w:t>、印刷费、邮电费、</w:t>
      </w:r>
      <w:r>
        <w:rPr>
          <w:rFonts w:hint="default" w:ascii="Times New Roman" w:hAnsi="Times New Roman" w:eastAsia="方正仿宋_GBK" w:cs="Times New Roman"/>
          <w:color w:val="auto"/>
          <w:sz w:val="32"/>
          <w:szCs w:val="32"/>
          <w:highlight w:val="none"/>
          <w:shd w:val="clear" w:color="auto" w:fill="FFFFFF"/>
        </w:rPr>
        <w:t>维修（护）费</w:t>
      </w:r>
      <w:r>
        <w:rPr>
          <w:rFonts w:hint="default" w:ascii="Times New Roman" w:hAnsi="Times New Roman" w:eastAsia="方正仿宋_GBK" w:cs="Times New Roman"/>
          <w:color w:val="auto"/>
          <w:sz w:val="32"/>
          <w:szCs w:val="32"/>
          <w:highlight w:val="none"/>
          <w:shd w:val="clear" w:color="auto" w:fill="FFFFFF"/>
          <w:lang w:eastAsia="zh-CN"/>
        </w:rPr>
        <w:t>、培训费、工会经费、其他商品和服务支出等</w:t>
      </w:r>
      <w:r>
        <w:rPr>
          <w:rFonts w:hint="default" w:ascii="Times New Roman" w:hAnsi="Times New Roman" w:eastAsia="方正仿宋_GBK" w:cs="Times New Roman"/>
          <w:color w:val="auto"/>
          <w:sz w:val="32"/>
          <w:szCs w:val="32"/>
          <w:highlight w:val="none"/>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Fonts w:hint="default" w:ascii="Times New Roman" w:hAnsi="Times New Roman" w:eastAsia="方正楷体_GBK" w:cs="Times New Roman"/>
          <w:color w:val="auto"/>
          <w:sz w:val="32"/>
          <w:szCs w:val="24"/>
          <w:highlight w:val="none"/>
          <w:lang w:val="en-US" w:eastAsia="zh-CN" w:bidi="ar-SA"/>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本部门2024年度无政府性基金预算财政拨款收支。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方正楷体_GBK" w:cs="Times New Roman"/>
          <w:color w:val="auto"/>
          <w:sz w:val="32"/>
          <w:szCs w:val="24"/>
          <w:highlight w:val="none"/>
          <w:lang w:val="en-US" w:eastAsia="zh-CN" w:bidi="ar-SA"/>
        </w:rPr>
      </w:pPr>
      <w:r>
        <w:rPr>
          <w:rFonts w:hint="default" w:ascii="Times New Roman" w:hAnsi="Times New Roman" w:eastAsia="方正楷体_GBK" w:cs="Times New Roman"/>
          <w:color w:val="auto"/>
          <w:sz w:val="32"/>
          <w:szCs w:val="24"/>
          <w:highlight w:val="none"/>
          <w:lang w:val="en-US" w:eastAsia="zh-CN" w:bidi="ar-SA"/>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本部门2024年度无国有资本经营预算财政拨款支出。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黑体" w:cs="Times New Roman"/>
          <w:color w:val="auto"/>
          <w:sz w:val="32"/>
          <w:szCs w:val="32"/>
          <w:highlight w:val="none"/>
          <w:shd w:val="clear" w:color="auto" w:fill="FFFFFF"/>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三、财政拨款“三公”经费情况说明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方正楷体_GBK" w:cs="Times New Roman"/>
          <w:b w:val="0"/>
          <w:bCs/>
          <w:color w:val="auto"/>
          <w:sz w:val="32"/>
          <w:szCs w:val="32"/>
          <w:highlight w:val="none"/>
          <w:shd w:val="clear" w:color="auto" w:fill="FFFFFF"/>
        </w:rPr>
      </w:pPr>
      <w:r>
        <w:rPr>
          <w:rFonts w:hint="default" w:ascii="Times New Roman" w:hAnsi="Times New Roman" w:eastAsia="方正楷体_GBK" w:cs="Times New Roman"/>
          <w:color w:val="auto"/>
          <w:sz w:val="32"/>
          <w:szCs w:val="24"/>
          <w:highlight w:val="none"/>
          <w:lang w:val="en-US" w:eastAsia="zh-CN" w:bidi="ar-SA"/>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2024年度“三公”经费支出共计0.00万元，较年初预算数无增减。较上年支出数无增减。</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Fonts w:hint="default" w:ascii="Times New Roman" w:hAnsi="Times New Roman" w:eastAsia="方正楷体_GBK" w:cs="Times New Roman"/>
          <w:color w:val="auto"/>
          <w:sz w:val="32"/>
          <w:szCs w:val="24"/>
          <w:highlight w:val="none"/>
          <w:lang w:val="en-US" w:eastAsia="zh-CN" w:bidi="ar-SA"/>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2024年度本部门因公出国（境）费用0.00万元。费用支出较年初预算数无增减。与2023年度相比，无增减。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车购置费0.00万元。费用支出较年初预算数无增减。与2023年度相比，无增减。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车运行维护费0.00万元。费用支出较年初预算数无增减。与2023年度相比，无增减。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公务接待费0.00万元。费用支出较年初预算数无增减，。较上年支出数无增减。</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color w:val="auto"/>
          <w:sz w:val="32"/>
          <w:szCs w:val="32"/>
          <w:highlight w:val="none"/>
          <w:shd w:val="clear" w:color="auto" w:fill="FFFFFF"/>
        </w:rPr>
      </w:pPr>
      <w:r>
        <w:rPr>
          <w:rFonts w:hint="default" w:ascii="Times New Roman" w:hAnsi="Times New Roman" w:eastAsia="方正楷体_GBK" w:cs="Times New Roman"/>
          <w:color w:val="auto"/>
          <w:sz w:val="32"/>
          <w:szCs w:val="24"/>
          <w:highlight w:val="none"/>
          <w:lang w:val="en-US" w:eastAsia="zh-CN" w:bidi="ar-SA"/>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本部门因公出国（境）共计0个团组，0人；公务用车购置0辆，公务车保有量为0辆；国内公务接待0批次0人，其中：国内外事接待0批次，0人；国（境）外公务接待0批次，0人。2024年本部门人均接待费0元，车均购置费0万元，车均维护费0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Fonts w:hint="default" w:ascii="Times New Roman" w:hAnsi="Times New Roman" w:eastAsia="方正楷体_GBK" w:cs="Times New Roman"/>
          <w:color w:val="auto"/>
          <w:sz w:val="32"/>
          <w:szCs w:val="24"/>
          <w:highlight w:val="none"/>
          <w:lang w:val="en-US" w:eastAsia="zh-CN" w:bidi="ar-SA"/>
        </w:rPr>
        <w:t>（一）财政拨款会议费、培训费和差旅费情况说明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本年度会议费支出0.00万元，与2023年度相比，无增减。本年度培训费支出0.10万元，与2023年度相比，增加0.10万元，增长100.0%，主要原因是本年度本单位与机关分离进行独立核算。本年度差旅费支出0.00</w:t>
      </w:r>
      <w:r>
        <w:rPr>
          <w:rFonts w:hint="default" w:ascii="Times New Roman" w:hAnsi="Times New Roman" w:eastAsia="方正仿宋_GBK" w:cs="Times New Roman"/>
          <w:color w:val="auto"/>
          <w:sz w:val="32"/>
          <w:szCs w:val="32"/>
          <w:highlight w:val="none"/>
        </w:rPr>
        <w:t>万元，</w:t>
      </w:r>
      <w:r>
        <w:rPr>
          <w:rFonts w:hint="default" w:ascii="Times New Roman" w:hAnsi="Times New Roman" w:eastAsia="方正仿宋_GBK" w:cs="Times New Roman"/>
          <w:color w:val="auto"/>
          <w:sz w:val="32"/>
          <w:szCs w:val="32"/>
          <w:highlight w:val="none"/>
          <w:shd w:val="clear" w:color="auto" w:fill="FFFFFF"/>
        </w:rPr>
        <w:t>与2023年度相比，无变化。</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方正楷体_GBK" w:cs="Times New Roman"/>
          <w:color w:val="auto"/>
          <w:sz w:val="32"/>
          <w:szCs w:val="24"/>
          <w:highlight w:val="none"/>
          <w:lang w:val="en-US" w:eastAsia="zh-CN" w:bidi="ar-SA"/>
        </w:rPr>
      </w:pPr>
      <w:r>
        <w:rPr>
          <w:rFonts w:hint="default" w:ascii="Times New Roman" w:hAnsi="Times New Roman" w:eastAsia="方正楷体_GBK" w:cs="Times New Roman"/>
          <w:color w:val="auto"/>
          <w:sz w:val="32"/>
          <w:szCs w:val="24"/>
          <w:highlight w:val="none"/>
          <w:lang w:val="en-US" w:eastAsia="zh-CN" w:bidi="ar-SA"/>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按照部门决算列报口径，我</w:t>
      </w:r>
      <w:r>
        <w:rPr>
          <w:rFonts w:hint="default" w:ascii="Times New Roman" w:hAnsi="Times New Roman" w:eastAsia="方正仿宋_GBK" w:cs="Times New Roman"/>
          <w:color w:val="auto"/>
          <w:sz w:val="32"/>
          <w:szCs w:val="32"/>
          <w:highlight w:val="none"/>
          <w:shd w:val="clear" w:color="auto" w:fill="FFFFFF"/>
          <w:lang w:eastAsia="zh-CN"/>
        </w:rPr>
        <w:t>部门</w:t>
      </w:r>
      <w:r>
        <w:rPr>
          <w:rFonts w:hint="default" w:ascii="Times New Roman" w:hAnsi="Times New Roman" w:eastAsia="方正仿宋_GBK" w:cs="Times New Roman"/>
          <w:color w:val="auto"/>
          <w:sz w:val="32"/>
          <w:szCs w:val="32"/>
          <w:highlight w:val="none"/>
          <w:shd w:val="clear" w:color="auto" w:fill="FFFFFF"/>
        </w:rPr>
        <w:t>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方正楷体_GBK" w:cs="Times New Roman"/>
          <w:color w:val="auto"/>
          <w:sz w:val="32"/>
          <w:szCs w:val="24"/>
          <w:highlight w:val="none"/>
          <w:lang w:val="en-US" w:eastAsia="zh-CN" w:bidi="ar-SA"/>
        </w:rPr>
      </w:pPr>
      <w:r>
        <w:rPr>
          <w:rFonts w:hint="default" w:ascii="Times New Roman" w:hAnsi="Times New Roman" w:eastAsia="方正楷体_GBK" w:cs="Times New Roman"/>
          <w:color w:val="auto"/>
          <w:sz w:val="32"/>
          <w:szCs w:val="24"/>
          <w:highlight w:val="none"/>
          <w:lang w:val="en-US" w:eastAsia="zh-CN" w:bidi="ar-SA"/>
        </w:rPr>
        <w:t>（三）国有资产占用情况说明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截至2024年12月31日，本部门共有车辆0辆，其中，副部（省）级及以上领导用车0辆、主要负责人用车0辆、机要通信用车0辆、应急保障用车0辆、执法执勤用车0辆，特种专业技术用车0辆，离退休干部用车0辆。单价100万元（含）以上专用设备0台（套）。</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方正楷体_GBK" w:cs="Times New Roman"/>
          <w:color w:val="auto"/>
          <w:sz w:val="32"/>
          <w:szCs w:val="24"/>
          <w:highlight w:val="none"/>
          <w:lang w:val="en-US" w:eastAsia="zh-CN" w:bidi="ar-SA"/>
        </w:rPr>
      </w:pPr>
      <w:r>
        <w:rPr>
          <w:rFonts w:hint="default" w:ascii="Times New Roman" w:hAnsi="Times New Roman" w:eastAsia="方正楷体_GBK" w:cs="Times New Roman"/>
          <w:color w:val="auto"/>
          <w:sz w:val="32"/>
          <w:szCs w:val="24"/>
          <w:highlight w:val="none"/>
          <w:lang w:val="en-US" w:eastAsia="zh-CN" w:bidi="ar-SA"/>
        </w:rPr>
        <w:t>（四）政府采购支出情况说明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2024年度我部门未发生政府采购事项，无相关经费支出</w:t>
      </w:r>
      <w:r>
        <w:rPr>
          <w:rFonts w:hint="default" w:ascii="Times New Roman" w:hAnsi="Times New Roman" w:eastAsia="方正仿宋_GBK" w:cs="Times New Roman"/>
          <w:color w:val="auto"/>
          <w:sz w:val="32"/>
          <w:szCs w:val="32"/>
          <w:highlight w:val="none"/>
          <w:shd w:val="clear" w:color="auto" w:fill="FFFFFF"/>
          <w:lang w:eastAsia="zh-CN"/>
        </w:rPr>
        <w:t>。</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黑体" w:cs="Times New Roman"/>
          <w:color w:val="auto"/>
          <w:sz w:val="32"/>
          <w:szCs w:val="32"/>
          <w:highlight w:val="none"/>
          <w:shd w:val="clear" w:color="auto" w:fill="FFFFFF"/>
          <w:lang w:val="en-US" w:eastAsia="zh-CN" w:bidi="ar-SA"/>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color w:val="auto"/>
          <w:sz w:val="32"/>
          <w:szCs w:val="24"/>
          <w:highlight w:val="none"/>
          <w:lang w:val="en-US" w:eastAsia="zh-CN" w:bidi="ar-SA"/>
        </w:rPr>
      </w:pPr>
      <w:r>
        <w:rPr>
          <w:rFonts w:hint="default" w:ascii="Times New Roman" w:hAnsi="Times New Roman" w:eastAsia="方正楷体_GBK" w:cs="Times New Roman"/>
          <w:color w:val="auto"/>
          <w:sz w:val="32"/>
          <w:szCs w:val="24"/>
          <w:highlight w:val="none"/>
          <w:lang w:val="en-US" w:eastAsia="zh-CN" w:bidi="ar-SA"/>
        </w:rPr>
        <w:t>（一）单位自评情况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shd w:val="clear" w:fill="FFFFFF"/>
        </w:rPr>
      </w:pPr>
      <w:r>
        <w:rPr>
          <w:rFonts w:hint="default" w:ascii="Times New Roman" w:hAnsi="Times New Roman" w:eastAsia="方正仿宋_GBK" w:cs="Times New Roman"/>
          <w:color w:val="auto"/>
          <w:kern w:val="0"/>
          <w:sz w:val="32"/>
          <w:szCs w:val="32"/>
          <w:highlight w:val="none"/>
          <w:shd w:val="clear" w:fill="FFFFFF"/>
        </w:rPr>
        <w:t>根据预算绩效管理要求，我单位对</w:t>
      </w:r>
      <w:r>
        <w:rPr>
          <w:rFonts w:hint="default" w:ascii="Times New Roman" w:hAnsi="Times New Roman" w:eastAsia="方正仿宋_GBK" w:cs="Times New Roman"/>
          <w:color w:val="auto"/>
          <w:kern w:val="0"/>
          <w:sz w:val="32"/>
          <w:szCs w:val="32"/>
          <w:highlight w:val="none"/>
          <w:shd w:val="clear" w:fill="FFFFFF"/>
          <w:lang w:eastAsia="zh-CN"/>
        </w:rPr>
        <w:t>县</w:t>
      </w:r>
      <w:r>
        <w:rPr>
          <w:rFonts w:hint="default" w:ascii="Times New Roman" w:hAnsi="Times New Roman" w:eastAsia="方正仿宋_GBK" w:cs="Times New Roman"/>
          <w:color w:val="auto"/>
          <w:kern w:val="0"/>
          <w:sz w:val="32"/>
          <w:szCs w:val="32"/>
          <w:highlight w:val="none"/>
          <w:shd w:val="clear" w:fill="FFFFFF"/>
          <w:lang w:val="en-US" w:eastAsia="zh-CN"/>
        </w:rPr>
        <w:t>经济和信息化委员会</w:t>
      </w:r>
      <w:r>
        <w:rPr>
          <w:rFonts w:hint="default" w:ascii="Times New Roman" w:hAnsi="Times New Roman" w:eastAsia="方正仿宋_GBK" w:cs="Times New Roman"/>
          <w:color w:val="auto"/>
          <w:kern w:val="0"/>
          <w:sz w:val="32"/>
          <w:szCs w:val="32"/>
          <w:highlight w:val="none"/>
          <w:shd w:val="clear" w:fill="FFFFFF"/>
          <w:lang w:eastAsia="zh-CN"/>
        </w:rPr>
        <w:t>和</w:t>
      </w:r>
      <w:r>
        <w:rPr>
          <w:rFonts w:hint="default" w:ascii="Times New Roman" w:hAnsi="Times New Roman" w:eastAsia="方正仿宋_GBK" w:cs="Times New Roman"/>
          <w:color w:val="auto"/>
          <w:kern w:val="0"/>
          <w:sz w:val="32"/>
          <w:szCs w:val="32"/>
          <w:highlight w:val="none"/>
          <w:shd w:val="clear" w:fill="FFFFFF"/>
        </w:rPr>
        <w:t>下属事业单位</w:t>
      </w:r>
      <w:r>
        <w:rPr>
          <w:rFonts w:hint="default" w:ascii="Times New Roman" w:hAnsi="Times New Roman" w:eastAsia="方正仿宋_GBK" w:cs="Times New Roman"/>
          <w:color w:val="auto"/>
          <w:kern w:val="0"/>
          <w:sz w:val="32"/>
          <w:szCs w:val="32"/>
          <w:highlight w:val="none"/>
          <w:shd w:val="clear" w:fill="FFFFFF"/>
          <w:lang w:eastAsia="zh-CN"/>
        </w:rPr>
        <w:t>城口县工业安全和环保节能服务中心</w:t>
      </w:r>
      <w:r>
        <w:rPr>
          <w:rFonts w:hint="default" w:ascii="Times New Roman" w:hAnsi="Times New Roman" w:eastAsia="方正仿宋_GBK" w:cs="Times New Roman"/>
          <w:color w:val="auto"/>
          <w:kern w:val="0"/>
          <w:sz w:val="32"/>
          <w:szCs w:val="32"/>
          <w:highlight w:val="none"/>
          <w:shd w:val="clear" w:fill="FFFFFF"/>
          <w:lang w:val="en-US" w:eastAsia="zh-CN"/>
        </w:rPr>
        <w:t>、</w:t>
      </w:r>
      <w:r>
        <w:rPr>
          <w:rFonts w:hint="default" w:ascii="Times New Roman" w:hAnsi="Times New Roman" w:eastAsia="方正仿宋_GBK" w:cs="Times New Roman"/>
          <w:color w:val="auto"/>
          <w:kern w:val="0"/>
          <w:sz w:val="32"/>
          <w:szCs w:val="32"/>
          <w:highlight w:val="none"/>
          <w:shd w:val="clear" w:fill="FFFFFF"/>
          <w:lang w:val="en-US" w:eastAsia="zh-CN"/>
        </w:rPr>
        <w:t>城口县大数据智能化管理服务中心</w:t>
      </w:r>
      <w:r>
        <w:rPr>
          <w:rFonts w:hint="default" w:ascii="Times New Roman" w:hAnsi="Times New Roman" w:eastAsia="方正仿宋_GBK" w:cs="Times New Roman"/>
          <w:color w:val="auto"/>
          <w:kern w:val="0"/>
          <w:sz w:val="32"/>
          <w:szCs w:val="32"/>
          <w:highlight w:val="none"/>
          <w:shd w:val="clear" w:fill="FFFFFF"/>
          <w:lang w:val="en-US" w:eastAsia="zh-CN"/>
        </w:rPr>
        <w:t>、</w:t>
      </w:r>
      <w:r>
        <w:rPr>
          <w:rFonts w:hint="default" w:ascii="Times New Roman" w:hAnsi="Times New Roman" w:eastAsia="方正仿宋_GBK" w:cs="Times New Roman"/>
          <w:color w:val="auto"/>
          <w:kern w:val="0"/>
          <w:sz w:val="32"/>
          <w:szCs w:val="32"/>
          <w:highlight w:val="none"/>
          <w:shd w:val="clear" w:fill="FFFFFF"/>
          <w:lang w:val="en-US" w:eastAsia="zh-CN"/>
        </w:rPr>
        <w:t>城口县招商投资促进中心（城口县生产力促进中心）</w:t>
      </w:r>
      <w:r>
        <w:rPr>
          <w:rFonts w:hint="default" w:ascii="Times New Roman" w:hAnsi="Times New Roman" w:eastAsia="方正仿宋_GBK" w:cs="Times New Roman"/>
          <w:color w:val="auto"/>
          <w:kern w:val="0"/>
          <w:sz w:val="32"/>
          <w:szCs w:val="32"/>
          <w:highlight w:val="none"/>
          <w:shd w:val="clear" w:fill="FFFFFF"/>
        </w:rPr>
        <w:t>进行了部门整体绩效自评。</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color w:val="auto"/>
          <w:sz w:val="32"/>
          <w:szCs w:val="24"/>
          <w:highlight w:val="none"/>
          <w:lang w:val="en-US" w:eastAsia="zh-CN" w:bidi="ar-SA"/>
        </w:rPr>
      </w:pPr>
      <w:r>
        <w:rPr>
          <w:rFonts w:hint="default" w:ascii="Times New Roman" w:hAnsi="Times New Roman" w:eastAsia="方正楷体_GBK" w:cs="Times New Roman"/>
          <w:color w:val="auto"/>
          <w:sz w:val="32"/>
          <w:szCs w:val="24"/>
          <w:highlight w:val="none"/>
          <w:lang w:val="en-US" w:eastAsia="zh-CN" w:bidi="ar-SA"/>
        </w:rPr>
        <w:t>（二）部门绩效评价情况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shd w:val="clear" w:fill="FFFFFF"/>
        </w:rPr>
      </w:pPr>
      <w:r>
        <w:rPr>
          <w:rFonts w:hint="default" w:ascii="Times New Roman" w:hAnsi="Times New Roman" w:eastAsia="方正仿宋_GBK" w:cs="Times New Roman"/>
          <w:color w:val="auto"/>
          <w:kern w:val="0"/>
          <w:sz w:val="32"/>
          <w:szCs w:val="32"/>
          <w:highlight w:val="none"/>
          <w:shd w:val="clear" w:fill="FFFFFF"/>
        </w:rPr>
        <w:t>2024年</w:t>
      </w:r>
      <w:r>
        <w:rPr>
          <w:rFonts w:hint="default" w:ascii="Times New Roman" w:hAnsi="Times New Roman" w:eastAsia="方正仿宋_GBK" w:cs="Times New Roman"/>
          <w:color w:val="auto"/>
          <w:kern w:val="0"/>
          <w:sz w:val="32"/>
          <w:szCs w:val="32"/>
          <w:highlight w:val="none"/>
          <w:shd w:val="clear" w:fill="FFFFFF"/>
          <w:lang w:eastAsia="zh-CN"/>
        </w:rPr>
        <w:t>我单位</w:t>
      </w:r>
      <w:r>
        <w:rPr>
          <w:rFonts w:hint="default" w:ascii="Times New Roman" w:hAnsi="Times New Roman" w:eastAsia="方正仿宋_GBK" w:cs="Times New Roman"/>
          <w:color w:val="auto"/>
          <w:kern w:val="0"/>
          <w:sz w:val="32"/>
          <w:szCs w:val="32"/>
          <w:highlight w:val="none"/>
          <w:shd w:val="clear" w:fill="FFFFFF"/>
        </w:rPr>
        <w:t>无项目支出，因此不涉及绩效评价。</w:t>
      </w:r>
    </w:p>
    <w:p>
      <w:pPr>
        <w:pStyle w:val="16"/>
        <w:keepNext w:val="0"/>
        <w:keepLines w:val="0"/>
        <w:pageBreakBefore w:val="0"/>
        <w:widowControl/>
        <w:kinsoku/>
        <w:wordWrap/>
        <w:overflowPunct/>
        <w:topLinePunct w:val="0"/>
        <w:autoSpaceDE w:val="0"/>
        <w:autoSpaceDN/>
        <w:bidi w:val="0"/>
        <w:adjustRightInd/>
        <w:snapToGrid/>
        <w:spacing w:after="0" w:afterAutospacing="0" w:line="579" w:lineRule="exact"/>
        <w:ind w:left="0" w:firstLine="640" w:firstLineChars="200"/>
        <w:jc w:val="both"/>
        <w:textAlignment w:val="auto"/>
        <w:rPr>
          <w:rFonts w:hint="default" w:ascii="Times New Roman" w:hAnsi="Times New Roman" w:eastAsia="方正仿宋_GBK" w:cs="Times New Roman"/>
          <w:b w:val="0"/>
          <w:bCs w:val="0"/>
          <w:color w:val="auto"/>
          <w:kern w:val="0"/>
          <w:sz w:val="32"/>
          <w:szCs w:val="32"/>
          <w:highlight w:val="none"/>
          <w:shd w:val="clear" w:fill="FFFFFF"/>
        </w:rPr>
      </w:pPr>
      <w:r>
        <w:rPr>
          <w:rFonts w:hint="default" w:ascii="Times New Roman" w:hAnsi="Times New Roman" w:eastAsia="方正楷体_GBK" w:cs="Times New Roman"/>
          <w:color w:val="auto"/>
          <w:kern w:val="0"/>
          <w:sz w:val="32"/>
          <w:szCs w:val="24"/>
          <w:highlight w:val="none"/>
          <w:lang w:val="en-US" w:eastAsia="zh-CN" w:bidi="ar-SA"/>
        </w:rPr>
        <w:t>（三）财政绩效评价情况</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shd w:val="clear" w:fill="FFFFFF"/>
        </w:rPr>
      </w:pPr>
      <w:r>
        <w:rPr>
          <w:rFonts w:hint="default" w:ascii="Times New Roman" w:hAnsi="Times New Roman" w:eastAsia="方正仿宋_GBK" w:cs="Times New Roman"/>
          <w:color w:val="auto"/>
          <w:kern w:val="0"/>
          <w:sz w:val="32"/>
          <w:szCs w:val="32"/>
          <w:highlight w:val="none"/>
          <w:shd w:val="clear" w:fill="FFFFFF"/>
        </w:rPr>
        <w:t>市财政局未委托第三方对我单位开展绩效评价。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kern w:val="0"/>
          <w:sz w:val="32"/>
          <w:szCs w:val="24"/>
          <w:highlight w:val="none"/>
          <w:lang w:val="en-US" w:eastAsia="zh-CN" w:bidi="ar-SA"/>
        </w:rPr>
        <w:t>（一）财政拨款收入：</w:t>
      </w:r>
      <w:r>
        <w:rPr>
          <w:rFonts w:hint="default" w:ascii="Times New Roman" w:hAnsi="Times New Roman" w:eastAsia="方正仿宋_GBK" w:cs="Times New Roman"/>
          <w:color w:val="auto"/>
          <w:kern w:val="0"/>
          <w:sz w:val="32"/>
          <w:szCs w:val="32"/>
          <w:highlight w:val="none"/>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kern w:val="0"/>
          <w:sz w:val="32"/>
          <w:szCs w:val="24"/>
          <w:highlight w:val="none"/>
          <w:lang w:val="en-US" w:eastAsia="zh-CN" w:bidi="ar-SA"/>
        </w:rPr>
        <w:t>（二）事业收入：</w:t>
      </w:r>
      <w:r>
        <w:rPr>
          <w:rFonts w:hint="default" w:ascii="Times New Roman" w:hAnsi="Times New Roman" w:eastAsia="方正仿宋_GBK" w:cs="Times New Roman"/>
          <w:color w:val="auto"/>
          <w:kern w:val="0"/>
          <w:sz w:val="32"/>
          <w:szCs w:val="32"/>
          <w:highlight w:val="none"/>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kern w:val="0"/>
          <w:sz w:val="32"/>
          <w:szCs w:val="24"/>
          <w:highlight w:val="none"/>
          <w:lang w:val="en-US" w:eastAsia="zh-CN" w:bidi="ar-SA"/>
        </w:rPr>
        <w:t>（三）经营收入：</w:t>
      </w:r>
      <w:r>
        <w:rPr>
          <w:rFonts w:hint="default" w:ascii="Times New Roman" w:hAnsi="Times New Roman" w:eastAsia="方正仿宋_GBK" w:cs="Times New Roman"/>
          <w:color w:val="auto"/>
          <w:kern w:val="0"/>
          <w:sz w:val="32"/>
          <w:szCs w:val="32"/>
          <w:highlight w:val="none"/>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kern w:val="0"/>
          <w:sz w:val="32"/>
          <w:szCs w:val="24"/>
          <w:highlight w:val="none"/>
          <w:lang w:val="en-US" w:eastAsia="zh-CN" w:bidi="ar-SA"/>
        </w:rPr>
        <w:t>（四）其他收入：</w:t>
      </w:r>
      <w:r>
        <w:rPr>
          <w:rFonts w:hint="default" w:ascii="Times New Roman" w:hAnsi="Times New Roman" w:eastAsia="方正仿宋_GBK" w:cs="Times New Roman"/>
          <w:color w:val="auto"/>
          <w:kern w:val="0"/>
          <w:sz w:val="32"/>
          <w:szCs w:val="32"/>
          <w:highlight w:val="none"/>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kern w:val="0"/>
          <w:sz w:val="32"/>
          <w:szCs w:val="24"/>
          <w:highlight w:val="none"/>
          <w:lang w:val="en-US" w:eastAsia="zh-CN" w:bidi="ar-SA"/>
        </w:rPr>
        <w:t>（五）使用非财政拨款结余（含专用结余）：</w:t>
      </w:r>
      <w:r>
        <w:rPr>
          <w:rFonts w:hint="default" w:ascii="Times New Roman" w:hAnsi="Times New Roman" w:eastAsia="方正仿宋_GBK" w:cs="Times New Roman"/>
          <w:color w:val="auto"/>
          <w:kern w:val="0"/>
          <w:sz w:val="32"/>
          <w:szCs w:val="32"/>
          <w:highlight w:val="none"/>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kern w:val="0"/>
          <w:sz w:val="32"/>
          <w:szCs w:val="24"/>
          <w:highlight w:val="none"/>
          <w:lang w:val="en-US" w:eastAsia="zh-CN" w:bidi="ar-SA"/>
        </w:rPr>
        <w:t>（六）年初结转和结余：</w:t>
      </w:r>
      <w:r>
        <w:rPr>
          <w:rFonts w:hint="default" w:ascii="Times New Roman" w:hAnsi="Times New Roman" w:eastAsia="方正仿宋_GBK" w:cs="Times New Roman"/>
          <w:color w:val="auto"/>
          <w:kern w:val="0"/>
          <w:sz w:val="32"/>
          <w:szCs w:val="32"/>
          <w:highlight w:val="none"/>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kern w:val="0"/>
          <w:sz w:val="32"/>
          <w:szCs w:val="24"/>
          <w:highlight w:val="none"/>
          <w:lang w:val="en-US" w:eastAsia="zh-CN" w:bidi="ar-SA"/>
        </w:rPr>
        <w:t>（七）结余分配：</w:t>
      </w:r>
      <w:r>
        <w:rPr>
          <w:rFonts w:hint="default" w:ascii="Times New Roman" w:hAnsi="Times New Roman" w:eastAsia="方正仿宋_GBK" w:cs="Times New Roman"/>
          <w:color w:val="auto"/>
          <w:kern w:val="0"/>
          <w:sz w:val="32"/>
          <w:szCs w:val="32"/>
          <w:highlight w:val="none"/>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kern w:val="0"/>
          <w:sz w:val="32"/>
          <w:szCs w:val="24"/>
          <w:highlight w:val="none"/>
          <w:lang w:val="en-US" w:eastAsia="zh-CN" w:bidi="ar-SA"/>
        </w:rPr>
        <w:t>（八）年末结转和结余：</w:t>
      </w:r>
      <w:r>
        <w:rPr>
          <w:rFonts w:hint="default" w:ascii="Times New Roman" w:hAnsi="Times New Roman" w:eastAsia="方正仿宋_GBK" w:cs="Times New Roman"/>
          <w:color w:val="auto"/>
          <w:kern w:val="0"/>
          <w:sz w:val="32"/>
          <w:szCs w:val="32"/>
          <w:highlight w:val="none"/>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kern w:val="0"/>
          <w:sz w:val="32"/>
          <w:szCs w:val="24"/>
          <w:highlight w:val="none"/>
          <w:lang w:val="en-US" w:eastAsia="zh-CN" w:bidi="ar-SA"/>
        </w:rPr>
        <w:t>（九）基本支出：</w:t>
      </w:r>
      <w:r>
        <w:rPr>
          <w:rFonts w:hint="default" w:ascii="Times New Roman" w:hAnsi="Times New Roman" w:eastAsia="方正仿宋_GBK" w:cs="Times New Roman"/>
          <w:color w:val="auto"/>
          <w:kern w:val="0"/>
          <w:sz w:val="32"/>
          <w:szCs w:val="32"/>
          <w:highlight w:val="none"/>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kern w:val="0"/>
          <w:sz w:val="32"/>
          <w:szCs w:val="24"/>
          <w:highlight w:val="none"/>
          <w:lang w:val="en-US" w:eastAsia="zh-CN" w:bidi="ar-SA"/>
        </w:rPr>
        <w:t>（十）项目支出：</w:t>
      </w:r>
      <w:r>
        <w:rPr>
          <w:rFonts w:hint="default" w:ascii="Times New Roman" w:hAnsi="Times New Roman" w:eastAsia="方正仿宋_GBK" w:cs="Times New Roman"/>
          <w:color w:val="auto"/>
          <w:kern w:val="0"/>
          <w:sz w:val="32"/>
          <w:szCs w:val="32"/>
          <w:highlight w:val="none"/>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kern w:val="0"/>
          <w:sz w:val="32"/>
          <w:szCs w:val="24"/>
          <w:highlight w:val="none"/>
          <w:lang w:val="en-US" w:eastAsia="zh-CN" w:bidi="ar-SA"/>
        </w:rPr>
        <w:t>（十一）经营支出：</w:t>
      </w:r>
      <w:r>
        <w:rPr>
          <w:rFonts w:hint="default" w:ascii="Times New Roman" w:hAnsi="Times New Roman" w:eastAsia="方正仿宋_GBK" w:cs="Times New Roman"/>
          <w:color w:val="auto"/>
          <w:kern w:val="0"/>
          <w:sz w:val="32"/>
          <w:szCs w:val="32"/>
          <w:highlight w:val="none"/>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kern w:val="0"/>
          <w:sz w:val="32"/>
          <w:szCs w:val="24"/>
          <w:highlight w:val="none"/>
          <w:lang w:val="en-US" w:eastAsia="zh-CN" w:bidi="ar-SA"/>
        </w:rPr>
        <w:t>（十二）“三公”经费：</w:t>
      </w:r>
      <w:r>
        <w:rPr>
          <w:rFonts w:hint="default" w:ascii="Times New Roman" w:hAnsi="Times New Roman" w:eastAsia="方正仿宋_GBK" w:cs="Times New Roman"/>
          <w:color w:val="auto"/>
          <w:kern w:val="0"/>
          <w:sz w:val="32"/>
          <w:szCs w:val="32"/>
          <w:highlight w:val="none"/>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kern w:val="0"/>
          <w:sz w:val="32"/>
          <w:szCs w:val="24"/>
          <w:highlight w:val="none"/>
          <w:lang w:val="en-US" w:eastAsia="zh-CN" w:bidi="ar-SA"/>
        </w:rPr>
        <w:t>（十三）机关运行经费：</w:t>
      </w:r>
      <w:r>
        <w:rPr>
          <w:rFonts w:hint="default" w:ascii="Times New Roman" w:hAnsi="Times New Roman" w:eastAsia="方正仿宋_GBK" w:cs="Times New Roman"/>
          <w:color w:val="auto"/>
          <w:kern w:val="0"/>
          <w:sz w:val="32"/>
          <w:szCs w:val="32"/>
          <w:highlight w:val="none"/>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kern w:val="0"/>
          <w:sz w:val="32"/>
          <w:szCs w:val="24"/>
          <w:highlight w:val="none"/>
          <w:lang w:val="en-US" w:eastAsia="zh-CN" w:bidi="ar-SA"/>
        </w:rPr>
        <w:t>（十四）工资福利支出（支出经济分类科目类级）：</w:t>
      </w:r>
      <w:r>
        <w:rPr>
          <w:rFonts w:hint="default" w:ascii="Times New Roman" w:hAnsi="Times New Roman" w:eastAsia="方正仿宋_GBK" w:cs="Times New Roman"/>
          <w:color w:val="auto"/>
          <w:kern w:val="0"/>
          <w:sz w:val="32"/>
          <w:szCs w:val="32"/>
          <w:highlight w:val="none"/>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kern w:val="0"/>
          <w:sz w:val="32"/>
          <w:szCs w:val="24"/>
          <w:highlight w:val="none"/>
          <w:lang w:val="en-US" w:eastAsia="zh-CN" w:bidi="ar-SA"/>
        </w:rPr>
        <w:t>（十五）商品和服务支出（支出经济分类科目类级）：</w:t>
      </w:r>
      <w:r>
        <w:rPr>
          <w:rFonts w:hint="default" w:ascii="Times New Roman" w:hAnsi="Times New Roman" w:eastAsia="方正仿宋_GBK" w:cs="Times New Roman"/>
          <w:color w:val="auto"/>
          <w:kern w:val="0"/>
          <w:sz w:val="32"/>
          <w:szCs w:val="32"/>
          <w:highlight w:val="none"/>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kern w:val="0"/>
          <w:sz w:val="32"/>
          <w:szCs w:val="24"/>
          <w:highlight w:val="none"/>
          <w:lang w:val="en-US" w:eastAsia="zh-CN" w:bidi="ar-SA"/>
        </w:rPr>
        <w:t>（十六）对个人和家庭的补助（支出经济分类科目类级）：</w:t>
      </w:r>
      <w:r>
        <w:rPr>
          <w:rFonts w:hint="default" w:ascii="Times New Roman" w:hAnsi="Times New Roman" w:eastAsia="方正仿宋_GBK" w:cs="Times New Roman"/>
          <w:color w:val="auto"/>
          <w:kern w:val="0"/>
          <w:sz w:val="32"/>
          <w:szCs w:val="32"/>
          <w:highlight w:val="none"/>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kern w:val="0"/>
          <w:sz w:val="32"/>
          <w:szCs w:val="24"/>
          <w:highlight w:val="none"/>
          <w:lang w:val="en-US" w:eastAsia="zh-CN" w:bidi="ar-SA"/>
        </w:rPr>
        <w:t>（十七）其他资本性支出（支出经济分类科目类级）：</w:t>
      </w:r>
      <w:r>
        <w:rPr>
          <w:rFonts w:hint="default" w:ascii="Times New Roman" w:hAnsi="Times New Roman" w:eastAsia="方正仿宋_GBK" w:cs="Times New Roman"/>
          <w:color w:val="auto"/>
          <w:kern w:val="0"/>
          <w:sz w:val="32"/>
          <w:szCs w:val="32"/>
          <w:highlight w:val="none"/>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shd w:val="clear" w:fill="FFFFFF"/>
        </w:rPr>
        <w:t>本单位决算公开信息反馈和联系方式：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shd w:val="clear" w:fill="FFFFFF"/>
          <w:lang w:val="en-US" w:eastAsia="zh-CN"/>
        </w:rPr>
        <w:sectPr>
          <w:footerReference r:id="rId7" w:type="default"/>
          <w:pgSz w:w="11915" w:h="16840"/>
          <w:pgMar w:top="2098" w:right="1474" w:bottom="1984" w:left="1587" w:header="851" w:footer="992" w:gutter="0"/>
          <w:pgNumType w:fmt="numberInDash"/>
          <w:cols w:space="720" w:num="1"/>
          <w:docGrid w:type="lines" w:linePitch="312" w:charSpace="0"/>
        </w:sectPr>
      </w:pPr>
      <w:r>
        <w:rPr>
          <w:rFonts w:hint="default" w:ascii="Times New Roman" w:hAnsi="Times New Roman" w:eastAsia="方正仿宋_GBK" w:cs="Times New Roman"/>
          <w:color w:val="auto"/>
          <w:kern w:val="0"/>
          <w:sz w:val="32"/>
          <w:szCs w:val="32"/>
          <w:highlight w:val="none"/>
          <w:shd w:val="clear" w:fill="FFFFFF"/>
          <w:lang w:eastAsia="zh-CN"/>
        </w:rPr>
        <w:t>郑艳玲</w:t>
      </w:r>
      <w:r>
        <w:rPr>
          <w:rFonts w:hint="default" w:ascii="Times New Roman" w:hAnsi="Times New Roman" w:eastAsia="方正仿宋_GBK" w:cs="Times New Roman"/>
          <w:color w:val="auto"/>
          <w:kern w:val="0"/>
          <w:sz w:val="32"/>
          <w:szCs w:val="32"/>
          <w:highlight w:val="none"/>
          <w:shd w:val="clear" w:fill="FFFFFF"/>
        </w:rPr>
        <w:t xml:space="preserve">   023-</w:t>
      </w:r>
      <w:r>
        <w:rPr>
          <w:rFonts w:hint="default" w:ascii="Times New Roman" w:hAnsi="Times New Roman" w:eastAsia="方正仿宋_GBK" w:cs="Times New Roman"/>
          <w:color w:val="auto"/>
          <w:kern w:val="0"/>
          <w:sz w:val="32"/>
          <w:szCs w:val="32"/>
          <w:highlight w:val="none"/>
          <w:shd w:val="clear" w:fill="FFFFFF"/>
          <w:lang w:val="en-US" w:eastAsia="zh-CN"/>
        </w:rPr>
        <w:t>59222380</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20"/>
                <w:szCs w:val="20"/>
                <w:highlight w:val="none"/>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s="Times New Roman"/>
                <w:color w:val="auto"/>
                <w:sz w:val="20"/>
                <w:szCs w:val="20"/>
                <w:highlight w:val="none"/>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20"/>
                <w:szCs w:val="20"/>
                <w:highlight w:val="none"/>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公开01表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2"/>
                <w:szCs w:val="22"/>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城口县工业安全和环保节能服务中心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22"/>
                <w:szCs w:val="22"/>
                <w:highlight w:val="none"/>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160.44</w:t>
            </w: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15.45</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8.40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136.59</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160.44</w:t>
            </w: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160.44</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160.44</w:t>
            </w: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160.44</w:t>
            </w:r>
            <w:r>
              <w:rPr>
                <w:rFonts w:hint="default" w:ascii="Times New Roman" w:hAnsi="Times New Roman" w:cs="Times New Roman"/>
                <w:color w:val="auto"/>
                <w:sz w:val="20"/>
                <w:highlight w:val="none"/>
                <w:u w:color="auto"/>
              </w:rPr>
              <w:t xml:space="preserve"> </w:t>
            </w:r>
          </w:p>
        </w:tc>
      </w:tr>
    </w:tbl>
    <w:p>
      <w:pPr>
        <w:rPr>
          <w:rFonts w:hint="default" w:ascii="Times New Roman" w:hAnsi="Times New Roman" w:cs="Times New Roman"/>
          <w:color w:val="auto"/>
          <w:sz w:val="21"/>
          <w:szCs w:val="21"/>
          <w:highlight w:val="none"/>
        </w:rPr>
      </w:pPr>
    </w:p>
    <w:p>
      <w:pPr>
        <w:spacing w:line="240" w:lineRule="exact"/>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备注：1.本表反映部门本年度的总收支和年末结转结余情况。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tbl>
      <w:tblPr>
        <w:tblStyle w:val="9"/>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收入决算表</w:t>
            </w:r>
          </w:p>
        </w:tc>
      </w:tr>
      <w:tr>
        <w:tblPrEx>
          <w:tblLayout w:type="fixed"/>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城口县工业安全和环保节能服务中心</w:t>
            </w: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公开02表</w:t>
            </w:r>
          </w:p>
        </w:tc>
      </w:tr>
      <w:tr>
        <w:tblPrEx>
          <w:tblLayout w:type="fixed"/>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其他收入</w:t>
            </w:r>
          </w:p>
        </w:tc>
      </w:tr>
      <w:tr>
        <w:tblPrEx>
          <w:tblLayout w:type="fixed"/>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160.44</w:t>
            </w:r>
            <w:r>
              <w:rPr>
                <w:rFonts w:hint="default" w:ascii="Times New Roman" w:hAnsi="Times New Roman" w:cs="Times New Roman"/>
                <w:b/>
                <w:color w:val="auto"/>
                <w:sz w:val="20"/>
                <w:highlight w:val="none"/>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160.44</w:t>
            </w:r>
            <w:r>
              <w:rPr>
                <w:rFonts w:hint="default" w:ascii="Times New Roman" w:hAnsi="Times New Roman" w:cs="Times New Roman"/>
                <w:b/>
                <w:color w:val="auto"/>
                <w:sz w:val="20"/>
                <w:highlight w:val="none"/>
                <w:u w:color="auto"/>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15.45</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15.45</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15.45</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15.45</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10.30</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10.30</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5.15</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5.15</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8.40</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8.40</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8.40</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8.40</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7.24</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7.24</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1.16</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1.16</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资源勘探工业信息等支出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136.59</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136.59</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工业和信息产业监管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136.59</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136.59</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136.59</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136.59</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bl>
    <w:p>
      <w:pPr>
        <w:ind w:left="600" w:hanging="600" w:hangingChars="300"/>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备注：1.本表反映部门本年度取得的各项收入情况。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br w:type="page"/>
      </w:r>
    </w:p>
    <w:tbl>
      <w:tblPr>
        <w:tblStyle w:val="9"/>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支出决算表</w:t>
            </w:r>
          </w:p>
        </w:tc>
      </w:tr>
      <w:tr>
        <w:tblPrEx>
          <w:tblLayout w:type="fixed"/>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 xml:space="preserve">城口县工业安全和环保节能服务中心 </w:t>
            </w: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公开03表</w:t>
            </w:r>
          </w:p>
        </w:tc>
      </w:tr>
      <w:tr>
        <w:tblPrEx>
          <w:tblLayout w:type="fixed"/>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对附属单位补助支出</w:t>
            </w:r>
          </w:p>
        </w:tc>
      </w:tr>
      <w:tr>
        <w:tblPrEx>
          <w:tblLayout w:type="fixed"/>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160.44</w:t>
            </w:r>
            <w:r>
              <w:rPr>
                <w:rFonts w:hint="default" w:ascii="Times New Roman" w:hAnsi="Times New Roman" w:cs="Times New Roman"/>
                <w:b/>
                <w:color w:val="auto"/>
                <w:sz w:val="20"/>
                <w:highlight w:val="none"/>
                <w:u w:color="auto"/>
              </w:rPr>
              <w:t xml:space="preserve"> </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160.44</w:t>
            </w:r>
            <w:r>
              <w:rPr>
                <w:rFonts w:hint="default" w:ascii="Times New Roman" w:hAnsi="Times New Roman" w:cs="Times New Roman"/>
                <w:b/>
                <w:color w:val="auto"/>
                <w:sz w:val="20"/>
                <w:highlight w:val="none"/>
                <w:u w:color="auto"/>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15.45</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15.45</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15.45</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15.45</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10.30</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10.30</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5.15</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5.15</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8.40</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8.40</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8.40</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8.40</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7.24</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7.24</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1.16</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1.16</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资源勘探工业信息等支出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136.59</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136.59</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工业和信息产业监管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136.59</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136.59</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136.59</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136.59</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bl>
    <w:p>
      <w:pP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备注：1.本表反映部门本年度各项支出情况。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p>
      <w:pPr>
        <w:rPr>
          <w:rFonts w:hint="default" w:ascii="Times New Roman" w:hAnsi="Times New Roman" w:cs="Times New Roman"/>
          <w:color w:val="auto"/>
          <w:sz w:val="21"/>
          <w:szCs w:val="21"/>
          <w:highlight w:val="none"/>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城口县工业安全和环保节能服务中心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公开04表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160.44</w:t>
            </w: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15.45</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15.45</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8.40</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8.40</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136.59</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136.59</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160.44</w:t>
            </w: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160.44</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160.44</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160.44</w:t>
            </w: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160.44</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160.44</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bl>
    <w:p>
      <w:pPr>
        <w:spacing w:line="240" w:lineRule="exact"/>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30"/>
        <w:gridCol w:w="4067"/>
        <w:gridCol w:w="3300"/>
        <w:gridCol w:w="3291"/>
        <w:gridCol w:w="3334"/>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一般公共预算财政拨款支出决算表</w:t>
            </w:r>
          </w:p>
        </w:tc>
      </w:tr>
      <w:tr>
        <w:tblPrEx>
          <w:tblLayout w:type="fixed"/>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城口县工业安全和环保节能服务中心</w:t>
            </w:r>
          </w:p>
        </w:tc>
        <w:tc>
          <w:tcPr>
            <w:tcW w:w="329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公开05表</w:t>
            </w:r>
          </w:p>
        </w:tc>
      </w:tr>
      <w:tr>
        <w:tblPrEx>
          <w:tblLayout w:type="fixed"/>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29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本年支出</w:t>
            </w:r>
          </w:p>
        </w:tc>
      </w:tr>
      <w:tr>
        <w:tblPrEx>
          <w:tblLayout w:type="fixed"/>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项目支出</w:t>
            </w:r>
          </w:p>
        </w:tc>
      </w:tr>
      <w:tr>
        <w:tblPrEx>
          <w:tblLayout w:type="fixed"/>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160.44</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160.44</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15.45</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15.45</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15.45</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15.45</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10.30</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10.30</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5.15</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5.15</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8.40</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8.40</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8.40</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8.40</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7.24</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7.24</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1.16</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1.16</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资源勘探工业信息等支出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136.59</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136.59</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工业和信息产业监管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136.59</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136.59</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2150550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136.59</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136.59</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bl>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0"/>
          <w:szCs w:val="20"/>
          <w:highlight w:val="none"/>
        </w:rPr>
        <w:t>备注：1.本表反映部门本年度一般公共预算财政拨款支出情况。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ind w:firstLine="630" w:firstLineChars="3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tbl>
      <w:tblPr>
        <w:tblStyle w:val="9"/>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城口县工业安全和环保节能服务中心</w:t>
            </w:r>
          </w:p>
        </w:tc>
        <w:tc>
          <w:tcPr>
            <w:tcW w:w="1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85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345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公开06表</w:t>
            </w:r>
          </w:p>
        </w:tc>
      </w:tr>
      <w:tr>
        <w:tblPrEx>
          <w:tblLayout w:type="fixed"/>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1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85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345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公用经费</w:t>
            </w:r>
          </w:p>
        </w:tc>
      </w:tr>
      <w:tr>
        <w:tblPrEx>
          <w:tblLayout w:type="fixed"/>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金额</w:t>
            </w:r>
          </w:p>
        </w:tc>
      </w:tr>
      <w:tr>
        <w:tblPrEx>
          <w:tblLayout w:type="fixed"/>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157.57</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2.87</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42.87</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7.92</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81.02</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10.30</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5.15</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7.24</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1.16</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1.92</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0.10</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2.77</w:t>
            </w: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157.57</w:t>
            </w:r>
            <w:r>
              <w:rPr>
                <w:rFonts w:hint="default" w:ascii="Times New Roman" w:hAnsi="Times New Roman" w:cs="Times New Roman"/>
                <w:color w:val="auto"/>
                <w:sz w:val="18"/>
                <w:highlight w:val="none"/>
                <w:u w:color="auto"/>
              </w:rPr>
              <w:t xml:space="preserve"> </w:t>
            </w:r>
          </w:p>
        </w:tc>
        <w:tc>
          <w:tcPr>
            <w:tcW w:w="857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公用经费合计</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2.87</w:t>
            </w:r>
            <w:r>
              <w:rPr>
                <w:rFonts w:hint="default" w:ascii="Times New Roman" w:hAnsi="Times New Roman" w:cs="Times New Roman"/>
                <w:color w:val="auto"/>
                <w:sz w:val="18"/>
                <w:highlight w:val="none"/>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备注：1.本表反映部门本年度一般公共预算财政拨款基本支出明细情况。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城口县工业安全和环保节能服务中心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公开07表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年末结转和结余</w:t>
            </w:r>
          </w:p>
        </w:tc>
      </w:tr>
      <w:tr>
        <w:tblPrEx>
          <w:tblLayout w:type="fixed"/>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auto"/>
                <w:sz w:val="20"/>
                <w:szCs w:val="20"/>
                <w:highlight w:val="none"/>
              </w:rPr>
            </w:pP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auto"/>
                <w:sz w:val="20"/>
                <w:szCs w:val="20"/>
                <w:highlight w:val="none"/>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bl>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0"/>
          <w:szCs w:val="20"/>
          <w:highlight w:val="none"/>
        </w:rPr>
        <w:t>备注：本表反映部门本年度政府性基金预算财政拨款收入支出及结转和结余情况。本部门无政府性基金收支，故本表无数据。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城口县工业安全和环保节能服务中心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公开08表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auto"/>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auto"/>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 xml:space="preserve">0.00 </w:t>
            </w:r>
          </w:p>
        </w:tc>
      </w:tr>
    </w:tbl>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0"/>
          <w:szCs w:val="20"/>
          <w:highlight w:val="none"/>
        </w:rPr>
        <w:t>备注：本表反映部门本年度国有资本经营预算财政拨款支出情况。本部门无国有资本经营收支，故本表无数据。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tbl>
      <w:tblPr>
        <w:tblStyle w:val="9"/>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auto"/>
                <w:kern w:val="2"/>
                <w:sz w:val="32"/>
                <w:szCs w:val="32"/>
                <w:highlight w:val="none"/>
              </w:rPr>
            </w:pPr>
            <w:r>
              <w:rPr>
                <w:rFonts w:hint="default" w:ascii="Times New Roman" w:hAnsi="Times New Roman" w:cs="Times New Roman"/>
                <w:b/>
                <w:color w:val="auto"/>
                <w:kern w:val="2"/>
                <w:sz w:val="32"/>
                <w:szCs w:val="32"/>
                <w:highlight w:val="none"/>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auto"/>
                <w:kern w:val="2"/>
                <w:sz w:val="20"/>
                <w:szCs w:val="20"/>
                <w:highlight w:val="none"/>
              </w:rPr>
            </w:pPr>
          </w:p>
        </w:tc>
        <w:tc>
          <w:tcPr>
            <w:tcW w:w="2402" w:type="dxa"/>
            <w:shd w:val="clear" w:color="auto" w:fill="auto"/>
            <w:noWrap/>
            <w:tcMar>
              <w:top w:w="15" w:type="dxa"/>
              <w:left w:w="15" w:type="dxa"/>
              <w:right w:w="15" w:type="dxa"/>
            </w:tcMar>
            <w:vAlign w:val="bottom"/>
          </w:tcPr>
          <w:p>
            <w:pPr>
              <w:spacing w:line="280" w:lineRule="exact"/>
              <w:jc w:val="center"/>
              <w:rPr>
                <w:rFonts w:hint="default" w:ascii="Times New Roman" w:hAnsi="Times New Roman" w:cs="Times New Roman"/>
                <w:color w:val="auto"/>
                <w:kern w:val="2"/>
                <w:sz w:val="20"/>
                <w:szCs w:val="20"/>
                <w:highlight w:val="none"/>
              </w:rPr>
            </w:pPr>
          </w:p>
        </w:tc>
        <w:tc>
          <w:tcPr>
            <w:tcW w:w="2360" w:type="dxa"/>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auto"/>
                <w:kern w:val="2"/>
                <w:sz w:val="20"/>
                <w:szCs w:val="20"/>
                <w:highlight w:val="none"/>
              </w:rPr>
            </w:pPr>
          </w:p>
        </w:tc>
        <w:tc>
          <w:tcPr>
            <w:tcW w:w="3726"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auto"/>
                <w:kern w:val="2"/>
                <w:sz w:val="20"/>
                <w:szCs w:val="20"/>
                <w:highlight w:val="none"/>
              </w:rPr>
            </w:pPr>
          </w:p>
        </w:tc>
        <w:tc>
          <w:tcPr>
            <w:tcW w:w="2480" w:type="dxa"/>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auto"/>
                <w:kern w:val="2"/>
                <w:sz w:val="20"/>
                <w:szCs w:val="20"/>
                <w:highlight w:val="none"/>
              </w:rPr>
            </w:pPr>
            <w:r>
              <w:rPr>
                <w:rFonts w:hint="default" w:ascii="Times New Roman" w:hAnsi="Times New Roman" w:cs="Times New Roman"/>
                <w:color w:val="auto"/>
                <w:kern w:val="2"/>
                <w:sz w:val="20"/>
                <w:szCs w:val="20"/>
                <w:highlight w:val="none"/>
              </w:rPr>
              <w:t>公开09表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auto"/>
                <w:kern w:val="2"/>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kern w:val="2"/>
                <w:sz w:val="20"/>
                <w:szCs w:val="20"/>
                <w:highlight w:val="none"/>
              </w:rPr>
              <w:t>：</w:t>
            </w:r>
            <w:r>
              <w:rPr>
                <w:rFonts w:hint="default" w:ascii="Times New Roman" w:hAnsi="Times New Roman" w:cs="Times New Roman"/>
                <w:color w:val="auto"/>
                <w:sz w:val="20"/>
                <w:highlight w:val="none"/>
                <w:u w:color="auto"/>
              </w:rPr>
              <w:t>城口县工业安全和环保节能服务中心</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auto"/>
                <w:kern w:val="2"/>
                <w:sz w:val="20"/>
                <w:szCs w:val="20"/>
                <w:highlight w:val="none"/>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auto"/>
                <w:kern w:val="2"/>
                <w:sz w:val="20"/>
                <w:szCs w:val="20"/>
                <w:highlight w:val="none"/>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auto"/>
                <w:kern w:val="2"/>
                <w:sz w:val="20"/>
                <w:szCs w:val="20"/>
                <w:highlight w:val="none"/>
              </w:rPr>
            </w:pPr>
            <w:r>
              <w:rPr>
                <w:rFonts w:hint="default" w:ascii="Times New Roman" w:hAnsi="Times New Roman" w:cs="Times New Roman"/>
                <w:color w:val="auto"/>
                <w:kern w:val="2"/>
                <w:sz w:val="20"/>
                <w:szCs w:val="20"/>
                <w:highlight w:val="none"/>
              </w:rPr>
              <w:t>单位：万元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auto"/>
                <w:kern w:val="2"/>
                <w:sz w:val="16"/>
                <w:szCs w:val="16"/>
                <w:highlight w:val="none"/>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auto"/>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0.10</w:t>
            </w: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auto"/>
                <w:kern w:val="2"/>
                <w:sz w:val="16"/>
                <w:szCs w:val="16"/>
                <w:highlight w:val="none"/>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auto"/>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sz w:val="16"/>
                <w:szCs w:val="16"/>
                <w:highlight w:val="none"/>
              </w:rPr>
            </w:pPr>
            <w:r>
              <w:rPr>
                <w:rFonts w:hint="default" w:ascii="Times New Roman" w:hAnsi="Times New Roman" w:cs="Times New Roman"/>
                <w:b/>
                <w:bCs/>
                <w:color w:val="auto"/>
                <w:sz w:val="16"/>
                <w:szCs w:val="16"/>
                <w:highlight w:val="none"/>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auto"/>
                <w:sz w:val="16"/>
                <w:szCs w:val="16"/>
                <w:highlight w:val="none"/>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auto"/>
                <w:sz w:val="16"/>
                <w:szCs w:val="16"/>
                <w:highlight w:val="none"/>
              </w:rPr>
            </w:pPr>
          </w:p>
        </w:tc>
      </w:tr>
    </w:tbl>
    <w:p>
      <w:pPr>
        <w:rPr>
          <w:rFonts w:hint="default" w:ascii="Times New Roman" w:hAnsi="Times New Roman" w:cs="Times New Roman"/>
          <w:color w:val="auto"/>
          <w:sz w:val="18"/>
          <w:szCs w:val="18"/>
          <w:highlight w:val="none"/>
        </w:rPr>
        <w:sectPr>
          <w:pgSz w:w="16783" w:h="11850" w:orient="landscape"/>
          <w:pgMar w:top="567" w:right="454" w:bottom="567" w:left="1037" w:header="0" w:footer="283" w:gutter="0"/>
          <w:pgNumType w:fmt="numberInDash"/>
          <w:cols w:space="720" w:num="1"/>
          <w:docGrid w:type="lines" w:linePitch="326" w:charSpace="0"/>
        </w:sectPr>
      </w:pPr>
      <w:r>
        <w:rPr>
          <w:rFonts w:hint="default" w:ascii="Times New Roman" w:hAnsi="Times New Roman" w:cs="Times New Roman"/>
          <w:color w:val="auto"/>
          <w:sz w:val="18"/>
          <w:szCs w:val="18"/>
          <w:highlight w:val="none"/>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color w:val="auto"/>
          <w:sz w:val="18"/>
          <w:szCs w:val="18"/>
          <w:highlight w:val="none"/>
        </w:rPr>
        <w:br w:type="textWrapping"/>
      </w:r>
      <w:r>
        <w:rPr>
          <w:rFonts w:hint="default" w:ascii="Times New Roman" w:hAnsi="Times New Roman" w:cs="Times New Roman"/>
          <w:color w:val="auto"/>
          <w:sz w:val="18"/>
          <w:szCs w:val="18"/>
          <w:highlight w:val="none"/>
        </w:rPr>
        <w:t xml:space="preserve">      2.本套报表金额单位转换时可能存在尾数误差。</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9" w:lineRule="exact"/>
        <w:jc w:val="center"/>
        <w:textAlignment w:val="auto"/>
        <w:rPr>
          <w:rFonts w:hint="default" w:ascii="Times New Roman" w:hAnsi="Times New Roman" w:eastAsia="方正小标宋_GBK" w:cs="Times New Roman"/>
          <w:b w:val="0"/>
          <w:bCs w:val="0"/>
          <w:color w:val="auto"/>
          <w:sz w:val="44"/>
          <w:szCs w:val="44"/>
          <w:highlight w:val="none"/>
        </w:rPr>
      </w:pPr>
      <w:r>
        <w:rPr>
          <w:rFonts w:hint="default" w:ascii="Times New Roman" w:hAnsi="Times New Roman" w:eastAsia="方正小标宋_GBK" w:cs="Times New Roman"/>
          <w:b w:val="0"/>
          <w:bCs w:val="0"/>
          <w:color w:val="auto"/>
          <w:sz w:val="44"/>
          <w:szCs w:val="44"/>
          <w:highlight w:val="none"/>
        </w:rPr>
        <w:t>城口县大数据智能化管理服务中心</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9" w:lineRule="exact"/>
        <w:jc w:val="center"/>
        <w:textAlignment w:val="auto"/>
        <w:rPr>
          <w:rFonts w:hint="default" w:ascii="Times New Roman" w:hAnsi="Times New Roman" w:eastAsia="方正小标宋_GBK" w:cs="Times New Roman"/>
          <w:b w:val="0"/>
          <w:bCs w:val="0"/>
          <w:color w:val="auto"/>
          <w:sz w:val="44"/>
          <w:szCs w:val="44"/>
          <w:highlight w:val="none"/>
          <w:shd w:val="clear" w:color="auto" w:fill="FFFFFF"/>
        </w:rPr>
      </w:pPr>
      <w:r>
        <w:rPr>
          <w:rFonts w:hint="default" w:ascii="Times New Roman" w:hAnsi="Times New Roman" w:eastAsia="方正小标宋_GBK" w:cs="Times New Roman"/>
          <w:b w:val="0"/>
          <w:bCs w:val="0"/>
          <w:color w:val="auto"/>
          <w:sz w:val="44"/>
          <w:szCs w:val="44"/>
          <w:highlight w:val="none"/>
          <w:shd w:val="clear" w:color="auto" w:fill="FFFFFF"/>
        </w:rPr>
        <w:t>2024年度决算公开说明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9" w:lineRule="exact"/>
        <w:textAlignment w:val="auto"/>
        <w:rPr>
          <w:rFonts w:hint="default" w:ascii="Times New Roman" w:hAnsi="Times New Roman" w:cs="Times New Roman"/>
          <w:color w:val="auto"/>
          <w:sz w:val="27"/>
          <w:szCs w:val="27"/>
          <w:highlight w:val="none"/>
          <w:shd w:val="clear" w:color="auto" w:fill="FFFF00"/>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一、部门基本情况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方正仿宋_GBK" w:cs="Times New Roman"/>
          <w:b w:val="0"/>
          <w:bCs/>
          <w:color w:val="auto"/>
          <w:sz w:val="32"/>
          <w:szCs w:val="32"/>
          <w:highlight w:val="none"/>
          <w:shd w:val="clear" w:color="auto" w:fill="FFFFFF"/>
          <w:lang w:eastAsia="zh-CN"/>
        </w:rPr>
      </w:pPr>
      <w:r>
        <w:rPr>
          <w:rStyle w:val="8"/>
          <w:rFonts w:hint="default" w:ascii="Times New Roman" w:hAnsi="Times New Roman" w:eastAsia="方正仿宋_GBK" w:cs="Times New Roman"/>
          <w:b w:val="0"/>
          <w:bCs/>
          <w:color w:val="auto"/>
          <w:sz w:val="32"/>
          <w:szCs w:val="32"/>
          <w:highlight w:val="none"/>
          <w:shd w:val="clear" w:color="auto" w:fill="FFFFFF"/>
        </w:rPr>
        <w:t>按照机构改革工作要求，本年7月起将本单位“大数据应用发展管理相关职责”划入县发展改革委，划转县大数据智能化管理服务中心至县发展改革委管理，事业编制3名及实有人员一并划转。</w:t>
      </w:r>
      <w:r>
        <w:rPr>
          <w:rStyle w:val="8"/>
          <w:rFonts w:hint="default" w:ascii="Times New Roman" w:hAnsi="Times New Roman" w:eastAsia="方正仿宋_GBK" w:cs="Times New Roman"/>
          <w:b w:val="0"/>
          <w:bCs/>
          <w:color w:val="auto"/>
          <w:sz w:val="32"/>
          <w:szCs w:val="32"/>
          <w:highlight w:val="none"/>
          <w:shd w:val="clear" w:color="auto" w:fill="FFFFFF"/>
          <w:lang w:eastAsia="zh-CN"/>
        </w:rPr>
        <w:t>划转前职能职责和机构设置如下：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（一）职能职责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指导培育发展大数据智能化产业、信息产业和新兴产业；指导传统产业智能化改造，推进全县信息化应用。指导信息基础设施建设的规划和协调，协调处理电磁干扰事宜，维护空中电波秩序。协助编制全县信息化、大数据和智能化发展规划和年度计划，指导相关行业协会、学会、联盟机构工作，协助推进大数据、人工智能等新一代信息技术和国民经济各领域融合应用。协调全县“数字重庆”云平台建设管理，协调推动下一代网络部署和规模化商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default" w:ascii="Times New Roman" w:hAnsi="Times New Roman" w:eastAsia="方正楷体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rPr>
        <w:t>（二）</w:t>
      </w:r>
      <w:r>
        <w:rPr>
          <w:rFonts w:hint="default" w:ascii="Times New Roman" w:hAnsi="Times New Roman" w:eastAsia="方正楷体_GBK" w:cs="Times New Roman"/>
          <w:color w:val="auto"/>
          <w:sz w:val="32"/>
          <w:szCs w:val="32"/>
          <w:highlight w:val="none"/>
          <w:lang w:eastAsia="zh-CN"/>
        </w:rPr>
        <w:t>机构设置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县大数据智能化管理服务中心，机构性质为公益一类事业单位，机构规格为副科级，隶属县经济信息委管理。</w:t>
      </w:r>
      <w:r>
        <w:rPr>
          <w:rFonts w:hint="default" w:ascii="Times New Roman" w:hAnsi="Times New Roman" w:eastAsia="方正仿宋_GBK" w:cs="Times New Roman"/>
          <w:color w:val="auto"/>
          <w:sz w:val="32"/>
          <w:szCs w:val="32"/>
          <w:highlight w:val="none"/>
          <w:lang w:eastAsia="zh-CN"/>
        </w:rPr>
        <w:t>县大数据智能化管理服务中心事业编制3名；领导职数按 1名核定。</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二、部门决算收支情况说明</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方正楷体_GBK" w:cs="Times New Roman"/>
          <w:color w:val="auto"/>
          <w:sz w:val="32"/>
          <w:szCs w:val="32"/>
          <w:highlight w:val="none"/>
          <w:lang w:val="en-US" w:eastAsia="zh-CN" w:bidi="ar-SA"/>
        </w:rPr>
      </w:pPr>
      <w:r>
        <w:rPr>
          <w:rFonts w:hint="default" w:ascii="Times New Roman" w:hAnsi="Times New Roman" w:eastAsia="方正楷体_GBK" w:cs="Times New Roman"/>
          <w:color w:val="auto"/>
          <w:sz w:val="32"/>
          <w:szCs w:val="32"/>
          <w:highlight w:val="none"/>
          <w:lang w:val="en-US" w:eastAsia="zh-CN" w:bidi="ar-SA"/>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2024年度收</w:t>
      </w:r>
      <w:r>
        <w:rPr>
          <w:rFonts w:hint="default" w:ascii="Times New Roman" w:hAnsi="Times New Roman" w:eastAsia="方正仿宋_GBK" w:cs="Times New Roman"/>
          <w:color w:val="auto"/>
          <w:sz w:val="32"/>
          <w:szCs w:val="32"/>
          <w:highlight w:val="none"/>
          <w:shd w:val="clear" w:color="auto" w:fill="FFFFFF"/>
          <w:lang w:eastAsia="zh-CN"/>
        </w:rPr>
        <w:t>、支</w:t>
      </w:r>
      <w:r>
        <w:rPr>
          <w:rFonts w:hint="default" w:ascii="Times New Roman" w:hAnsi="Times New Roman" w:eastAsia="方正仿宋_GBK" w:cs="Times New Roman"/>
          <w:color w:val="auto"/>
          <w:sz w:val="32"/>
          <w:szCs w:val="32"/>
          <w:highlight w:val="none"/>
          <w:shd w:val="clear" w:color="auto" w:fill="FFFFFF"/>
        </w:rPr>
        <w:t>总计</w:t>
      </w:r>
      <w:r>
        <w:rPr>
          <w:rFonts w:hint="default" w:ascii="Times New Roman" w:hAnsi="Times New Roman" w:eastAsia="方正仿宋_GBK" w:cs="Times New Roman"/>
          <w:color w:val="auto"/>
          <w:sz w:val="32"/>
          <w:szCs w:val="32"/>
          <w:highlight w:val="none"/>
          <w:shd w:val="clear" w:color="auto" w:fill="FFFFFF"/>
          <w:lang w:eastAsia="zh-CN"/>
        </w:rPr>
        <w:t>均为</w:t>
      </w:r>
      <w:r>
        <w:rPr>
          <w:rFonts w:hint="default" w:ascii="Times New Roman" w:hAnsi="Times New Roman" w:eastAsia="方正仿宋_GBK" w:cs="Times New Roman"/>
          <w:color w:val="auto"/>
          <w:sz w:val="32"/>
          <w:szCs w:val="32"/>
          <w:highlight w:val="none"/>
          <w:shd w:val="clear" w:color="auto" w:fill="FFFFFF"/>
        </w:rPr>
        <w:t>22.83万元。收、支与2023年度相比，增加22.83万元，增长100.0%，主要原因是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r>
        <w:rPr>
          <w:rFonts w:hint="default" w:ascii="Times New Roman" w:hAnsi="Times New Roman" w:eastAsia="方正仿宋_GBK" w:cs="Times New Roman"/>
          <w:color w:val="auto"/>
          <w:sz w:val="32"/>
          <w:szCs w:val="32"/>
          <w:highlight w:val="none"/>
          <w:shd w:val="clear" w:color="auto" w:fill="FFFFFF"/>
        </w:rPr>
        <w:t xml:space="preserve"> </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8"/>
          <w:rFonts w:hint="default" w:ascii="Times New Roman" w:hAnsi="Times New Roman" w:eastAsia="方正仿宋_GBK" w:cs="Times New Roman"/>
          <w:color w:val="auto"/>
          <w:sz w:val="32"/>
          <w:szCs w:val="32"/>
          <w:highlight w:val="none"/>
          <w:shd w:val="clear" w:color="auto" w:fill="FFFFFF"/>
          <w:lang w:val="en-US" w:eastAsia="zh-CN"/>
        </w:rPr>
        <w:t>1</w:t>
      </w:r>
      <w:r>
        <w:rPr>
          <w:rStyle w:val="8"/>
          <w:rFonts w:hint="default" w:ascii="Times New Roman" w:hAnsi="Times New Roman" w:eastAsia="方正仿宋_GBK" w:cs="Times New Roman"/>
          <w:color w:val="auto"/>
          <w:sz w:val="32"/>
          <w:szCs w:val="32"/>
          <w:highlight w:val="none"/>
          <w:shd w:val="clear" w:color="auto" w:fill="FFFFFF"/>
        </w:rPr>
        <w:t>.收入情况。</w:t>
      </w:r>
      <w:r>
        <w:rPr>
          <w:rFonts w:hint="default" w:ascii="Times New Roman" w:hAnsi="Times New Roman" w:eastAsia="方正仿宋_GBK" w:cs="Times New Roman"/>
          <w:color w:val="auto"/>
          <w:sz w:val="32"/>
          <w:szCs w:val="32"/>
          <w:highlight w:val="none"/>
          <w:shd w:val="clear" w:color="auto" w:fill="FFFFFF"/>
        </w:rPr>
        <w:t>2024年度收入合计22.83万元，与2023年度相比，增加22.83万元，增长100.0%，主要原因是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r>
        <w:rPr>
          <w:rFonts w:hint="default" w:ascii="Times New Roman" w:hAnsi="Times New Roman" w:eastAsia="方正仿宋_GBK" w:cs="Times New Roman"/>
          <w:color w:val="auto"/>
          <w:sz w:val="32"/>
          <w:szCs w:val="32"/>
          <w:highlight w:val="none"/>
          <w:shd w:val="clear" w:color="auto" w:fill="FFFFFF"/>
        </w:rPr>
        <w:t>其中：财政拨款收入22.83万元，占100.0%；事业收入0.00万元，占0.0%；经营收入0.00万元，占0.0%；其他收入0.00万元，占0.0%。此外，使用非财政拨款结余（含专用结余）0.00万元，年初结转和结余0.00万元。</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8"/>
          <w:rFonts w:hint="default" w:ascii="Times New Roman" w:hAnsi="Times New Roman" w:eastAsia="方正仿宋_GBK" w:cs="Times New Roman"/>
          <w:color w:val="auto"/>
          <w:sz w:val="32"/>
          <w:szCs w:val="32"/>
          <w:highlight w:val="none"/>
          <w:shd w:val="clear" w:color="auto" w:fill="FFFFFF"/>
          <w:lang w:val="en-US" w:eastAsia="zh-CN"/>
        </w:rPr>
        <w:t>2</w:t>
      </w:r>
      <w:r>
        <w:rPr>
          <w:rStyle w:val="8"/>
          <w:rFonts w:hint="default" w:ascii="Times New Roman" w:hAnsi="Times New Roman" w:eastAsia="方正仿宋_GBK" w:cs="Times New Roman"/>
          <w:color w:val="auto"/>
          <w:sz w:val="32"/>
          <w:szCs w:val="32"/>
          <w:highlight w:val="none"/>
          <w:shd w:val="clear" w:color="auto" w:fill="FFFFFF"/>
        </w:rPr>
        <w:t>.支出情况。</w:t>
      </w:r>
      <w:r>
        <w:rPr>
          <w:rFonts w:hint="default" w:ascii="Times New Roman" w:hAnsi="Times New Roman" w:eastAsia="方正仿宋_GBK" w:cs="Times New Roman"/>
          <w:color w:val="auto"/>
          <w:sz w:val="32"/>
          <w:szCs w:val="32"/>
          <w:highlight w:val="none"/>
          <w:shd w:val="clear" w:color="auto" w:fill="FFFFFF"/>
        </w:rPr>
        <w:t>2024年度支出合计22.83万元，与2023年度相比，增加22.83万元，增长100.0%，主要原因是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r>
        <w:rPr>
          <w:rFonts w:hint="default" w:ascii="Times New Roman" w:hAnsi="Times New Roman" w:eastAsia="方正仿宋_GBK" w:cs="Times New Roman"/>
          <w:color w:val="auto"/>
          <w:sz w:val="32"/>
          <w:szCs w:val="32"/>
          <w:highlight w:val="none"/>
          <w:shd w:val="clear" w:color="auto" w:fill="FFFFFF"/>
        </w:rPr>
        <w:t>其中：基本支出22.83万元，占100.0%；项目支出0.00万元，占0.0%；经营支出</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万元，占0.0%。此外，结余分配0.00万元。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仿宋_GBK" w:cs="Times New Roman"/>
          <w:color w:val="auto"/>
          <w:sz w:val="32"/>
          <w:szCs w:val="32"/>
          <w:highlight w:val="none"/>
          <w:shd w:val="clear" w:color="auto" w:fill="FFFFFF"/>
          <w:lang w:val="en-US" w:eastAsia="zh-CN"/>
        </w:rPr>
        <w:t>3</w:t>
      </w:r>
      <w:r>
        <w:rPr>
          <w:rStyle w:val="8"/>
          <w:rFonts w:hint="default" w:ascii="Times New Roman" w:hAnsi="Times New Roman" w:eastAsia="方正仿宋_GBK" w:cs="Times New Roman"/>
          <w:color w:val="auto"/>
          <w:sz w:val="32"/>
          <w:szCs w:val="32"/>
          <w:highlight w:val="none"/>
          <w:shd w:val="clear" w:color="auto" w:fill="FFFFFF"/>
        </w:rPr>
        <w:t>.结转结余情况。</w:t>
      </w:r>
      <w:r>
        <w:rPr>
          <w:rFonts w:hint="default" w:ascii="Times New Roman" w:hAnsi="Times New Roman" w:eastAsia="方正仿宋_GBK" w:cs="Times New Roman"/>
          <w:color w:val="auto"/>
          <w:sz w:val="32"/>
          <w:szCs w:val="32"/>
          <w:highlight w:val="none"/>
          <w:shd w:val="clear" w:color="auto" w:fill="FFFFFF"/>
        </w:rPr>
        <w:t>2024年度年末结转和结余0.00万元，与2023年度相比，无增减。</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Fonts w:hint="default" w:ascii="Times New Roman" w:hAnsi="Times New Roman" w:eastAsia="方正楷体_GBK" w:cs="Times New Roman"/>
          <w:color w:val="auto"/>
          <w:sz w:val="32"/>
          <w:szCs w:val="32"/>
          <w:highlight w:val="none"/>
          <w:lang w:val="en-US" w:eastAsia="zh-CN" w:bidi="ar-SA"/>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2024年度财政拨款收、支总计均为22.83万元。与2023年</w:t>
      </w:r>
      <w:r>
        <w:rPr>
          <w:rFonts w:hint="default" w:ascii="Times New Roman" w:hAnsi="Times New Roman" w:eastAsia="方正仿宋_GBK" w:cs="Times New Roman"/>
          <w:color w:val="auto"/>
          <w:sz w:val="32"/>
          <w:szCs w:val="32"/>
          <w:highlight w:val="none"/>
          <w:shd w:val="clear" w:color="auto" w:fill="FFFFFF"/>
          <w:lang w:eastAsia="zh-CN"/>
        </w:rPr>
        <w:t>度</w:t>
      </w:r>
      <w:r>
        <w:rPr>
          <w:rFonts w:hint="default" w:ascii="Times New Roman" w:hAnsi="Times New Roman" w:eastAsia="方正仿宋_GBK" w:cs="Times New Roman"/>
          <w:color w:val="auto"/>
          <w:sz w:val="32"/>
          <w:szCs w:val="32"/>
          <w:highlight w:val="none"/>
          <w:shd w:val="clear" w:color="auto" w:fill="FFFFFF"/>
        </w:rPr>
        <w:t>相比，财政拨款收、支总计各增加22.83万元，增长100.0%。主要原因是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Fonts w:hint="default" w:ascii="Times New Roman" w:hAnsi="Times New Roman" w:eastAsia="方正楷体_GBK" w:cs="Times New Roman"/>
          <w:color w:val="auto"/>
          <w:sz w:val="32"/>
          <w:szCs w:val="32"/>
          <w:highlight w:val="none"/>
          <w:lang w:val="en-US" w:eastAsia="zh-CN" w:bidi="ar-SA"/>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仿宋_GBK" w:cs="Times New Roman"/>
          <w:color w:val="auto"/>
          <w:sz w:val="32"/>
          <w:szCs w:val="32"/>
          <w:highlight w:val="none"/>
          <w:shd w:val="clear" w:color="auto" w:fill="FFFFFF"/>
        </w:rPr>
        <w:t>1.收入情况。</w:t>
      </w:r>
      <w:r>
        <w:rPr>
          <w:rFonts w:hint="default" w:ascii="Times New Roman" w:hAnsi="Times New Roman" w:eastAsia="方正仿宋_GBK" w:cs="Times New Roman"/>
          <w:color w:val="auto"/>
          <w:sz w:val="32"/>
          <w:szCs w:val="32"/>
          <w:highlight w:val="none"/>
          <w:shd w:val="clear" w:color="auto" w:fill="FFFFFF"/>
        </w:rPr>
        <w:t>2024年度一般公共预算财政拨款收入22.83万元，与2023年度相比，增加22.83万元，增长100.0%。主要原因是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r>
        <w:rPr>
          <w:rFonts w:hint="default" w:ascii="Times New Roman" w:hAnsi="Times New Roman" w:eastAsia="方正仿宋_GBK" w:cs="Times New Roman"/>
          <w:color w:val="auto"/>
          <w:sz w:val="32"/>
          <w:szCs w:val="32"/>
          <w:highlight w:val="none"/>
          <w:shd w:val="clear" w:color="auto" w:fill="FFFFFF"/>
        </w:rPr>
        <w:t>较年初预算数增加22.83万元，增长100.0%。主要原因是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r>
        <w:rPr>
          <w:rFonts w:hint="default" w:ascii="Times New Roman" w:hAnsi="Times New Roman" w:eastAsia="方正仿宋_GBK" w:cs="Times New Roman"/>
          <w:color w:val="auto"/>
          <w:sz w:val="32"/>
          <w:szCs w:val="32"/>
          <w:highlight w:val="none"/>
          <w:shd w:val="clear" w:color="auto" w:fill="FFFFFF"/>
        </w:rPr>
        <w:t>此外，年初财政拨款结转和结余0.00万元。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8"/>
          <w:rFonts w:hint="default" w:ascii="Times New Roman" w:hAnsi="Times New Roman" w:eastAsia="方正仿宋_GBK" w:cs="Times New Roman"/>
          <w:color w:val="auto"/>
          <w:sz w:val="32"/>
          <w:szCs w:val="32"/>
          <w:highlight w:val="none"/>
          <w:shd w:val="clear" w:color="auto" w:fill="FFFFFF"/>
        </w:rPr>
        <w:t>2.支出情况。</w:t>
      </w:r>
      <w:r>
        <w:rPr>
          <w:rFonts w:hint="default" w:ascii="Times New Roman" w:hAnsi="Times New Roman" w:eastAsia="方正仿宋_GBK" w:cs="Times New Roman"/>
          <w:color w:val="auto"/>
          <w:sz w:val="32"/>
          <w:szCs w:val="32"/>
          <w:highlight w:val="none"/>
          <w:shd w:val="clear" w:color="auto" w:fill="FFFFFF"/>
        </w:rPr>
        <w:t>2024年度一般公共预算财政拨款支出22.83万元，与2023年度相比，增加22.83万元，增长100.0%。主要原因是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r>
        <w:rPr>
          <w:rFonts w:hint="default" w:ascii="Times New Roman" w:hAnsi="Times New Roman" w:eastAsia="方正仿宋_GBK" w:cs="Times New Roman"/>
          <w:color w:val="auto"/>
          <w:sz w:val="32"/>
          <w:szCs w:val="32"/>
          <w:highlight w:val="none"/>
          <w:shd w:val="clear" w:color="auto" w:fill="FFFFFF"/>
        </w:rPr>
        <w:t>较年初预算数增加22.83万元，增长100.0%。主要原因是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一般公共预算财政拨款支出主要</w:t>
      </w:r>
      <w:r>
        <w:rPr>
          <w:rFonts w:hint="default" w:ascii="Times New Roman" w:hAnsi="Times New Roman" w:eastAsia="方正仿宋_GBK" w:cs="Times New Roman"/>
          <w:color w:val="auto"/>
          <w:sz w:val="32"/>
          <w:szCs w:val="32"/>
          <w:highlight w:val="none"/>
          <w:shd w:val="clear" w:color="auto" w:fill="FFFFFF"/>
          <w:lang w:eastAsia="zh-CN"/>
        </w:rPr>
        <w:t>用途如下</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1</w:t>
      </w:r>
      <w:r>
        <w:rPr>
          <w:rFonts w:hint="default" w:ascii="Times New Roman" w:hAnsi="Times New Roman" w:eastAsia="方正仿宋_GBK" w:cs="Times New Roman"/>
          <w:color w:val="auto"/>
          <w:sz w:val="32"/>
          <w:szCs w:val="32"/>
          <w:highlight w:val="none"/>
          <w:shd w:val="clear" w:color="auto" w:fill="FFFFFF"/>
        </w:rPr>
        <w:t>）社会保障</w:t>
      </w:r>
      <w:r>
        <w:rPr>
          <w:rFonts w:hint="default" w:ascii="Times New Roman" w:hAnsi="Times New Roman" w:eastAsia="方正仿宋_GBK" w:cs="Times New Roman"/>
          <w:color w:val="auto"/>
          <w:sz w:val="32"/>
          <w:szCs w:val="32"/>
          <w:highlight w:val="none"/>
          <w:shd w:val="clear" w:color="auto" w:fill="FFFFFF"/>
          <w:lang w:eastAsia="zh-CN"/>
        </w:rPr>
        <w:t>和</w:t>
      </w:r>
      <w:r>
        <w:rPr>
          <w:rFonts w:hint="default" w:ascii="Times New Roman" w:hAnsi="Times New Roman" w:eastAsia="方正仿宋_GBK" w:cs="Times New Roman"/>
          <w:color w:val="auto"/>
          <w:sz w:val="32"/>
          <w:szCs w:val="32"/>
          <w:highlight w:val="none"/>
          <w:shd w:val="clear" w:color="auto" w:fill="FFFFFF"/>
        </w:rPr>
        <w:t>就业支出2.60万元，占11.4%，较年初预算数增加2.60万元，增长100.0%，主要原因是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2</w:t>
      </w:r>
      <w:r>
        <w:rPr>
          <w:rFonts w:hint="default" w:ascii="Times New Roman" w:hAnsi="Times New Roman" w:eastAsia="方正仿宋_GBK" w:cs="Times New Roman"/>
          <w:color w:val="auto"/>
          <w:sz w:val="32"/>
          <w:szCs w:val="32"/>
          <w:highlight w:val="none"/>
          <w:shd w:val="clear" w:color="auto" w:fill="FFFFFF"/>
        </w:rPr>
        <w:t>）卫生健康支出1.51万元，占6.6%，较年初预算数增加1.51万元，增长100.0%，主要原因是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shd w:val="clear" w:color="auto" w:fill="FFFFFF"/>
        </w:rPr>
        <w:t>）资源勘探信息等支出18.71万元，占82.0%，较年初预算数增加18.71万元，增长100.0%，主要原因是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Style w:val="8"/>
          <w:rFonts w:hint="default" w:ascii="Times New Roman" w:hAnsi="Times New Roman" w:eastAsia="方正仿宋_GBK" w:cs="Times New Roman"/>
          <w:color w:val="auto"/>
          <w:sz w:val="32"/>
          <w:szCs w:val="32"/>
          <w:highlight w:val="none"/>
          <w:shd w:val="clear" w:color="auto" w:fill="FFFFFF"/>
        </w:rPr>
        <w:t>3.结转结余情况。</w:t>
      </w:r>
      <w:r>
        <w:rPr>
          <w:rFonts w:hint="default" w:ascii="Times New Roman" w:hAnsi="Times New Roman" w:eastAsia="方正仿宋_GBK" w:cs="Times New Roman"/>
          <w:color w:val="auto"/>
          <w:sz w:val="32"/>
          <w:szCs w:val="32"/>
          <w:highlight w:val="none"/>
          <w:shd w:val="clear" w:color="auto" w:fill="FFFFFF"/>
        </w:rPr>
        <w:t>2024年度年末一般公共预算财政拨款结转和结余0.00万元，与2023年度相比，无增减</w:t>
      </w:r>
      <w:r>
        <w:rPr>
          <w:rFonts w:hint="default" w:ascii="Times New Roman" w:hAnsi="Times New Roman" w:eastAsia="方正仿宋_GBK" w:cs="Times New Roman"/>
          <w:color w:val="auto"/>
          <w:sz w:val="32"/>
          <w:szCs w:val="32"/>
          <w:highlight w:val="none"/>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Fonts w:hint="default" w:ascii="Times New Roman" w:hAnsi="Times New Roman" w:eastAsia="方正楷体_GBK" w:cs="Times New Roman"/>
          <w:color w:val="auto"/>
          <w:sz w:val="32"/>
          <w:szCs w:val="32"/>
          <w:highlight w:val="none"/>
          <w:lang w:val="en-US" w:eastAsia="zh-CN" w:bidi="ar-SA"/>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2024年度一般公共财政拨款基本支出22.83万元。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其中：</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人员经费22.83万元，与2023年度相比，增加22.83万元，增长100.0%，主要原因是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r>
        <w:rPr>
          <w:rFonts w:hint="default" w:ascii="Times New Roman" w:hAnsi="Times New Roman" w:eastAsia="方正仿宋_GBK" w:cs="Times New Roman"/>
          <w:color w:val="auto"/>
          <w:sz w:val="32"/>
          <w:szCs w:val="32"/>
          <w:highlight w:val="none"/>
          <w:shd w:val="clear" w:color="auto" w:fill="FFFFFF"/>
        </w:rPr>
        <w:t>人员经费用途主要包括基本工资</w:t>
      </w:r>
      <w:r>
        <w:rPr>
          <w:rFonts w:hint="default" w:ascii="Times New Roman" w:hAnsi="Times New Roman" w:eastAsia="方正仿宋_GBK" w:cs="Times New Roman"/>
          <w:color w:val="auto"/>
          <w:sz w:val="32"/>
          <w:szCs w:val="32"/>
          <w:highlight w:val="none"/>
          <w:shd w:val="clear" w:color="auto" w:fill="FFFFFF"/>
          <w:lang w:eastAsia="zh-CN"/>
        </w:rPr>
        <w:t>、津贴补贴、绩效工资、社会保障缴费等各项费用支出</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公用经费0.00万元，与2023年度相比，无增减。</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Fonts w:hint="default" w:ascii="Times New Roman" w:hAnsi="Times New Roman" w:eastAsia="方正楷体_GBK" w:cs="Times New Roman"/>
          <w:color w:val="auto"/>
          <w:sz w:val="32"/>
          <w:szCs w:val="32"/>
          <w:highlight w:val="none"/>
          <w:lang w:val="en-US" w:eastAsia="zh-CN" w:bidi="ar-SA"/>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本部门2024年度无政府性基金预算财政拨款收支。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Fonts w:hint="default" w:ascii="Times New Roman" w:hAnsi="Times New Roman" w:eastAsia="方正楷体_GBK" w:cs="Times New Roman"/>
          <w:color w:val="auto"/>
          <w:sz w:val="32"/>
          <w:szCs w:val="32"/>
          <w:highlight w:val="none"/>
          <w:lang w:val="en-US" w:eastAsia="zh-CN" w:bidi="ar-SA"/>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本部门2024年度无国有资本经营预算财政拨款支出。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三、财政拨款“三公”经费情况说明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lang w:val="en-US" w:eastAsia="zh-CN"/>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2024年度“三公”经费支出共计0.00万元，较年初预算数无增减。较上年支出数无增减。</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方正楷体_GBK" w:cs="Times New Roman"/>
          <w:color w:val="auto"/>
          <w:sz w:val="32"/>
          <w:szCs w:val="32"/>
          <w:highlight w:val="none"/>
          <w:lang w:val="en-US" w:eastAsia="zh-CN" w:bidi="ar-SA"/>
        </w:rPr>
      </w:pPr>
      <w:r>
        <w:rPr>
          <w:rFonts w:hint="default" w:ascii="Times New Roman" w:hAnsi="Times New Roman" w:eastAsia="方正楷体_GBK" w:cs="Times New Roman"/>
          <w:color w:val="auto"/>
          <w:sz w:val="32"/>
          <w:szCs w:val="32"/>
          <w:highlight w:val="none"/>
          <w:lang w:val="en-US" w:eastAsia="zh-CN" w:bidi="ar-SA"/>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2024年度本部门因公出国（境）费用0.00万元。费用支出较年初预算数无增减。与2023年度相比，无增减。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车购置费0.00万元。费用支出较年初预算数无增减。与2023年度相比，无增减。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车运行维护费0.00万元。费用支出较年初预算数无增减。与2023年度相比，无增减。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公务接待费0.00万元。费用支出较年初预算数无增减，。较上年支出数无增减。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lang w:val="en-US" w:eastAsia="zh-CN"/>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本部门因公出国（境）共计0个团组，0人；公务用车购置0辆，公务车保有量为0辆；国内公务接待0批次0人，其中：国内外事接待0批次，0人；国（境）外公务接待0批次，0人。2024年本部门人均接待费0元，车均购置费0万元，车均维护费0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黑体" w:cs="Times New Roman"/>
          <w:color w:val="auto"/>
          <w:sz w:val="32"/>
          <w:szCs w:val="32"/>
          <w:highlight w:val="none"/>
          <w:shd w:val="clear" w:color="auto" w:fill="FFFFFF"/>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四、其他需要说明的事项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（一）财政拨款会议费、培训费和差旅费情况说明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本年度会议费支出0.00万元，与2023年度相比，无增减。本年度培训费支出0.00万元，与2023年度相比，无变化。本年度差旅费支出0.00</w:t>
      </w:r>
      <w:r>
        <w:rPr>
          <w:rFonts w:hint="default" w:ascii="Times New Roman" w:hAnsi="Times New Roman" w:eastAsia="方正仿宋_GBK" w:cs="Times New Roman"/>
          <w:color w:val="auto"/>
          <w:sz w:val="32"/>
          <w:szCs w:val="32"/>
          <w:highlight w:val="none"/>
        </w:rPr>
        <w:t>万元，</w:t>
      </w:r>
      <w:r>
        <w:rPr>
          <w:rFonts w:hint="default" w:ascii="Times New Roman" w:hAnsi="Times New Roman" w:eastAsia="方正仿宋_GBK" w:cs="Times New Roman"/>
          <w:color w:val="auto"/>
          <w:sz w:val="32"/>
          <w:szCs w:val="32"/>
          <w:highlight w:val="none"/>
          <w:shd w:val="clear" w:color="auto" w:fill="FFFFFF"/>
        </w:rPr>
        <w:t>与2023年度相比，无变化。</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方正楷体_GBK" w:cs="Times New Roman"/>
          <w:color w:val="auto"/>
          <w:sz w:val="32"/>
          <w:szCs w:val="32"/>
          <w:highlight w:val="none"/>
          <w:lang w:val="en-US" w:eastAsia="zh-CN" w:bidi="ar-SA"/>
        </w:rPr>
      </w:pPr>
      <w:r>
        <w:rPr>
          <w:rFonts w:hint="default" w:ascii="Times New Roman" w:hAnsi="Times New Roman" w:eastAsia="方正楷体_GBK" w:cs="Times New Roman"/>
          <w:color w:val="auto"/>
          <w:sz w:val="32"/>
          <w:szCs w:val="32"/>
          <w:highlight w:val="none"/>
          <w:lang w:val="en-US" w:eastAsia="zh-CN" w:bidi="ar-SA"/>
        </w:rPr>
        <w:t>（二）机关运行经费情况说明</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按照部门决算列报口径，我</w:t>
      </w:r>
      <w:r>
        <w:rPr>
          <w:rFonts w:hint="default" w:ascii="Times New Roman" w:hAnsi="Times New Roman" w:eastAsia="方正仿宋_GBK" w:cs="Times New Roman"/>
          <w:color w:val="auto"/>
          <w:sz w:val="32"/>
          <w:szCs w:val="32"/>
          <w:highlight w:val="none"/>
          <w:shd w:val="clear" w:color="auto" w:fill="FFFFFF"/>
          <w:lang w:eastAsia="zh-CN"/>
        </w:rPr>
        <w:t>部门</w:t>
      </w:r>
      <w:r>
        <w:rPr>
          <w:rFonts w:hint="default" w:ascii="Times New Roman" w:hAnsi="Times New Roman" w:eastAsia="方正仿宋_GBK" w:cs="Times New Roman"/>
          <w:color w:val="auto"/>
          <w:sz w:val="32"/>
          <w:szCs w:val="32"/>
          <w:highlight w:val="none"/>
          <w:shd w:val="clear" w:color="auto" w:fill="FFFFFF"/>
        </w:rPr>
        <w:t>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方正楷体_GBK" w:cs="Times New Roman"/>
          <w:color w:val="auto"/>
          <w:sz w:val="32"/>
          <w:szCs w:val="32"/>
          <w:highlight w:val="none"/>
          <w:lang w:val="en-US" w:eastAsia="zh-CN" w:bidi="ar-SA"/>
        </w:rPr>
      </w:pPr>
      <w:r>
        <w:rPr>
          <w:rFonts w:hint="default" w:ascii="Times New Roman" w:hAnsi="Times New Roman" w:eastAsia="方正楷体_GBK" w:cs="Times New Roman"/>
          <w:color w:val="auto"/>
          <w:sz w:val="32"/>
          <w:szCs w:val="32"/>
          <w:highlight w:val="none"/>
          <w:lang w:val="en-US" w:eastAsia="zh-CN" w:bidi="ar-SA"/>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截至2024年12月31日，本部门共有车辆0辆，其中，副部（省）级及以上领导用车0辆、主要负责人用车0辆、机要通信用车0辆、应急保障用车0辆、执法执勤用车0辆，特种专业技术用车0辆，离退休干部用车0辆。单价100万元（含）以上专用设备0台（套）。</w:t>
      </w:r>
    </w:p>
    <w:p>
      <w:pPr>
        <w:pStyle w:val="11"/>
        <w:keepNext w:val="0"/>
        <w:keepLines w:val="0"/>
        <w:pageBreakBefore w:val="0"/>
        <w:widowControl/>
        <w:kinsoku/>
        <w:wordWrap/>
        <w:overflowPunct/>
        <w:topLinePunct w:val="0"/>
        <w:autoSpaceDE w:val="0"/>
        <w:autoSpaceDN/>
        <w:bidi w:val="0"/>
        <w:adjustRightInd/>
        <w:snapToGrid/>
        <w:spacing w:line="579"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Fonts w:hint="default" w:ascii="Times New Roman" w:hAnsi="Times New Roman" w:eastAsia="方正楷体_GBK" w:cs="Times New Roman"/>
          <w:color w:val="auto"/>
          <w:sz w:val="32"/>
          <w:szCs w:val="32"/>
          <w:highlight w:val="none"/>
          <w:lang w:val="en-US" w:eastAsia="zh-CN" w:bidi="ar-SA"/>
        </w:rPr>
        <w:t>（四）政府采购支出情况说明</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b/>
          <w:bCs/>
          <w:color w:val="auto"/>
          <w:sz w:val="32"/>
          <w:szCs w:val="32"/>
          <w:highlight w:val="none"/>
          <w:shd w:val="clear" w:color="auto" w:fill="FFFFFF"/>
          <w:lang w:val="en-US" w:eastAsia="zh-CN"/>
        </w:rPr>
      </w:pPr>
      <w:r>
        <w:rPr>
          <w:rFonts w:hint="default" w:ascii="Times New Roman" w:hAnsi="Times New Roman" w:eastAsia="方正仿宋_GBK" w:cs="Times New Roman"/>
          <w:color w:val="auto"/>
          <w:sz w:val="32"/>
          <w:szCs w:val="32"/>
          <w:highlight w:val="none"/>
          <w:shd w:val="clear" w:color="auto" w:fill="FFFFFF"/>
        </w:rPr>
        <w:t>2024年度我部门未发生政府采购事项，无相关经费支出</w:t>
      </w:r>
      <w:r>
        <w:rPr>
          <w:rFonts w:hint="default" w:ascii="Times New Roman" w:hAnsi="Times New Roman" w:eastAsia="方正仿宋_GBK" w:cs="Times New Roman"/>
          <w:color w:val="auto"/>
          <w:sz w:val="32"/>
          <w:szCs w:val="32"/>
          <w:highlight w:val="none"/>
          <w:shd w:val="clear" w:color="auto" w:fill="FFFFFF"/>
          <w:lang w:eastAsia="zh-CN"/>
        </w:rPr>
        <w:t>。</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黑体" w:cs="Times New Roman"/>
          <w:color w:val="auto"/>
          <w:sz w:val="32"/>
          <w:szCs w:val="32"/>
          <w:highlight w:val="none"/>
          <w:shd w:val="clear" w:color="auto" w:fill="FFFFFF"/>
          <w:lang w:val="en-US" w:eastAsia="zh-CN" w:bidi="ar-SA"/>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color w:val="auto"/>
          <w:sz w:val="32"/>
          <w:szCs w:val="32"/>
          <w:highlight w:val="none"/>
          <w:lang w:val="en-US" w:eastAsia="zh-CN" w:bidi="ar-SA"/>
        </w:rPr>
      </w:pPr>
      <w:r>
        <w:rPr>
          <w:rFonts w:hint="default" w:ascii="Times New Roman" w:hAnsi="Times New Roman" w:eastAsia="方正楷体_GBK" w:cs="Times New Roman"/>
          <w:color w:val="auto"/>
          <w:sz w:val="32"/>
          <w:szCs w:val="32"/>
          <w:highlight w:val="none"/>
          <w:lang w:val="en-US" w:eastAsia="zh-CN" w:bidi="ar-SA"/>
        </w:rPr>
        <w:t>（一）单位自评情况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shd w:val="clear" w:fill="FFFFFF"/>
        </w:rPr>
      </w:pPr>
      <w:r>
        <w:rPr>
          <w:rFonts w:hint="default" w:ascii="Times New Roman" w:hAnsi="Times New Roman" w:eastAsia="方正仿宋_GBK" w:cs="Times New Roman"/>
          <w:color w:val="auto"/>
          <w:kern w:val="0"/>
          <w:sz w:val="32"/>
          <w:szCs w:val="32"/>
          <w:highlight w:val="none"/>
          <w:shd w:val="clear" w:fill="FFFFFF"/>
        </w:rPr>
        <w:t>根据预算绩效管理要求，我单位对</w:t>
      </w:r>
      <w:r>
        <w:rPr>
          <w:rFonts w:hint="default" w:ascii="Times New Roman" w:hAnsi="Times New Roman" w:eastAsia="方正仿宋_GBK" w:cs="Times New Roman"/>
          <w:color w:val="auto"/>
          <w:kern w:val="0"/>
          <w:sz w:val="32"/>
          <w:szCs w:val="32"/>
          <w:highlight w:val="none"/>
          <w:shd w:val="clear" w:fill="FFFFFF"/>
          <w:lang w:eastAsia="zh-CN"/>
        </w:rPr>
        <w:t>县</w:t>
      </w:r>
      <w:r>
        <w:rPr>
          <w:rFonts w:hint="default" w:ascii="Times New Roman" w:hAnsi="Times New Roman" w:eastAsia="方正仿宋_GBK" w:cs="Times New Roman"/>
          <w:color w:val="auto"/>
          <w:kern w:val="0"/>
          <w:sz w:val="32"/>
          <w:szCs w:val="32"/>
          <w:highlight w:val="none"/>
          <w:shd w:val="clear" w:fill="FFFFFF"/>
          <w:lang w:val="en-US" w:eastAsia="zh-CN"/>
        </w:rPr>
        <w:t>经济和信息化委员会</w:t>
      </w:r>
      <w:r>
        <w:rPr>
          <w:rFonts w:hint="default" w:ascii="Times New Roman" w:hAnsi="Times New Roman" w:eastAsia="方正仿宋_GBK" w:cs="Times New Roman"/>
          <w:color w:val="auto"/>
          <w:kern w:val="0"/>
          <w:sz w:val="32"/>
          <w:szCs w:val="32"/>
          <w:highlight w:val="none"/>
          <w:shd w:val="clear" w:fill="FFFFFF"/>
          <w:lang w:eastAsia="zh-CN"/>
        </w:rPr>
        <w:t>和</w:t>
      </w:r>
      <w:r>
        <w:rPr>
          <w:rFonts w:hint="default" w:ascii="Times New Roman" w:hAnsi="Times New Roman" w:eastAsia="方正仿宋_GBK" w:cs="Times New Roman"/>
          <w:color w:val="auto"/>
          <w:kern w:val="0"/>
          <w:sz w:val="32"/>
          <w:szCs w:val="32"/>
          <w:highlight w:val="none"/>
          <w:shd w:val="clear" w:fill="FFFFFF"/>
        </w:rPr>
        <w:t>下属事业单位</w:t>
      </w:r>
      <w:r>
        <w:rPr>
          <w:rFonts w:hint="default" w:ascii="Times New Roman" w:hAnsi="Times New Roman" w:eastAsia="方正仿宋_GBK" w:cs="Times New Roman"/>
          <w:color w:val="auto"/>
          <w:kern w:val="0"/>
          <w:sz w:val="32"/>
          <w:szCs w:val="32"/>
          <w:highlight w:val="none"/>
          <w:shd w:val="clear" w:fill="FFFFFF"/>
          <w:lang w:eastAsia="zh-CN"/>
        </w:rPr>
        <w:t>城口县工业安全和环保节能服务中心</w:t>
      </w:r>
      <w:r>
        <w:rPr>
          <w:rFonts w:hint="default" w:ascii="Times New Roman" w:hAnsi="Times New Roman" w:eastAsia="方正仿宋_GBK" w:cs="Times New Roman"/>
          <w:color w:val="auto"/>
          <w:kern w:val="0"/>
          <w:sz w:val="32"/>
          <w:szCs w:val="32"/>
          <w:highlight w:val="none"/>
          <w:shd w:val="clear" w:fill="FFFFFF"/>
          <w:lang w:val="en-US" w:eastAsia="zh-CN"/>
        </w:rPr>
        <w:t>、城口县大数据智能化管理服务中心、城口县招商投资促进中心（城口县生产力促进中心）</w:t>
      </w:r>
      <w:r>
        <w:rPr>
          <w:rFonts w:hint="default" w:ascii="Times New Roman" w:hAnsi="Times New Roman" w:eastAsia="方正仿宋_GBK" w:cs="Times New Roman"/>
          <w:color w:val="auto"/>
          <w:kern w:val="0"/>
          <w:sz w:val="32"/>
          <w:szCs w:val="32"/>
          <w:highlight w:val="none"/>
          <w:shd w:val="clear" w:fill="FFFFFF"/>
        </w:rPr>
        <w:t>进行了部门整体绩效自评。</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color w:val="auto"/>
          <w:sz w:val="32"/>
          <w:szCs w:val="32"/>
          <w:highlight w:val="none"/>
          <w:lang w:val="en-US" w:eastAsia="zh-CN" w:bidi="ar-SA"/>
        </w:rPr>
      </w:pPr>
      <w:r>
        <w:rPr>
          <w:rFonts w:hint="default" w:ascii="Times New Roman" w:hAnsi="Times New Roman" w:eastAsia="方正楷体_GBK" w:cs="Times New Roman"/>
          <w:color w:val="auto"/>
          <w:sz w:val="32"/>
          <w:szCs w:val="32"/>
          <w:highlight w:val="none"/>
          <w:lang w:val="en-US" w:eastAsia="zh-CN" w:bidi="ar-SA"/>
        </w:rPr>
        <w:t>（二）部门绩效评价情况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shd w:val="clear" w:fill="FFFFFF"/>
        </w:rPr>
      </w:pPr>
      <w:r>
        <w:rPr>
          <w:rFonts w:hint="default" w:ascii="Times New Roman" w:hAnsi="Times New Roman" w:eastAsia="方正仿宋_GBK" w:cs="Times New Roman"/>
          <w:color w:val="auto"/>
          <w:kern w:val="0"/>
          <w:sz w:val="32"/>
          <w:szCs w:val="32"/>
          <w:highlight w:val="none"/>
          <w:shd w:val="clear" w:fill="FFFFFF"/>
        </w:rPr>
        <w:t>2024年</w:t>
      </w:r>
      <w:r>
        <w:rPr>
          <w:rFonts w:hint="default" w:ascii="Times New Roman" w:hAnsi="Times New Roman" w:eastAsia="方正仿宋_GBK" w:cs="Times New Roman"/>
          <w:color w:val="auto"/>
          <w:kern w:val="0"/>
          <w:sz w:val="32"/>
          <w:szCs w:val="32"/>
          <w:highlight w:val="none"/>
          <w:shd w:val="clear" w:fill="FFFFFF"/>
          <w:lang w:eastAsia="zh-CN"/>
        </w:rPr>
        <w:t>我单位</w:t>
      </w:r>
      <w:r>
        <w:rPr>
          <w:rFonts w:hint="default" w:ascii="Times New Roman" w:hAnsi="Times New Roman" w:eastAsia="方正仿宋_GBK" w:cs="Times New Roman"/>
          <w:color w:val="auto"/>
          <w:kern w:val="0"/>
          <w:sz w:val="32"/>
          <w:szCs w:val="32"/>
          <w:highlight w:val="none"/>
          <w:shd w:val="clear" w:fill="FFFFFF"/>
        </w:rPr>
        <w:t>无项目支出，因此不涉及绩效评价。</w:t>
      </w:r>
    </w:p>
    <w:p>
      <w:pPr>
        <w:pStyle w:val="16"/>
        <w:keepNext w:val="0"/>
        <w:keepLines w:val="0"/>
        <w:pageBreakBefore w:val="0"/>
        <w:widowControl/>
        <w:kinsoku/>
        <w:wordWrap/>
        <w:overflowPunct/>
        <w:topLinePunct w:val="0"/>
        <w:autoSpaceDE w:val="0"/>
        <w:autoSpaceDN/>
        <w:bidi w:val="0"/>
        <w:adjustRightInd/>
        <w:snapToGrid/>
        <w:spacing w:after="0" w:afterAutospacing="0" w:line="579" w:lineRule="exact"/>
        <w:ind w:left="0" w:firstLine="640" w:firstLineChars="200"/>
        <w:jc w:val="both"/>
        <w:textAlignment w:val="auto"/>
        <w:rPr>
          <w:rFonts w:hint="default" w:ascii="Times New Roman" w:hAnsi="Times New Roman" w:eastAsia="方正楷体_GBK" w:cs="Times New Roman"/>
          <w:color w:val="auto"/>
          <w:kern w:val="0"/>
          <w:sz w:val="32"/>
          <w:szCs w:val="32"/>
          <w:highlight w:val="none"/>
          <w:lang w:val="en-US" w:eastAsia="zh-CN" w:bidi="ar-SA"/>
        </w:rPr>
      </w:pPr>
      <w:r>
        <w:rPr>
          <w:rFonts w:hint="default" w:ascii="Times New Roman" w:hAnsi="Times New Roman" w:eastAsia="方正楷体_GBK" w:cs="Times New Roman"/>
          <w:color w:val="auto"/>
          <w:kern w:val="0"/>
          <w:sz w:val="32"/>
          <w:szCs w:val="32"/>
          <w:highlight w:val="none"/>
          <w:lang w:val="en-US" w:eastAsia="zh-CN" w:bidi="ar-SA"/>
        </w:rPr>
        <w:t>（三）财政绩效评价情况</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黑体" w:cs="Times New Roman"/>
          <w:color w:val="auto"/>
          <w:sz w:val="32"/>
          <w:szCs w:val="32"/>
          <w:highlight w:val="none"/>
          <w:shd w:val="clear" w:color="auto" w:fill="FFFFFF"/>
          <w:lang w:val="en-US" w:eastAsia="zh-CN" w:bidi="ar-SA"/>
        </w:rPr>
      </w:pPr>
      <w:r>
        <w:rPr>
          <w:rFonts w:hint="default" w:ascii="Times New Roman" w:hAnsi="Times New Roman" w:eastAsia="方正仿宋_GBK" w:cs="Times New Roman"/>
          <w:color w:val="auto"/>
          <w:kern w:val="0"/>
          <w:sz w:val="32"/>
          <w:szCs w:val="32"/>
          <w:highlight w:val="none"/>
          <w:shd w:val="clear" w:fill="FFFFFF"/>
        </w:rPr>
        <w:t>市财政局未委托第三方对我单位开展绩效评价。</w:t>
      </w:r>
      <w:r>
        <w:rPr>
          <w:rStyle w:val="13"/>
          <w:rFonts w:hint="default" w:ascii="Times New Roman" w:hAnsi="Times New Roman" w:eastAsia="方正仿宋_GBK" w:cs="Times New Roman"/>
          <w:b/>
          <w:bCs/>
          <w:color w:val="auto"/>
          <w:sz w:val="32"/>
          <w:szCs w:val="32"/>
          <w:highlight w:val="none"/>
          <w:shd w:val="clear" w:fill="FFFFFF"/>
        </w:rPr>
        <w:t xml:space="preserve"> </w:t>
      </w:r>
      <w:r>
        <w:rPr>
          <w:rStyle w:val="13"/>
          <w:rFonts w:hint="default" w:ascii="Times New Roman" w:hAnsi="Times New Roman" w:eastAsia="方正仿宋_GBK" w:cs="Times New Roman"/>
          <w:b/>
          <w:bCs/>
          <w:color w:val="auto"/>
          <w:sz w:val="32"/>
          <w:szCs w:val="32"/>
          <w:highlight w:val="none"/>
          <w:shd w:val="clear" w:fill="FFFFFF"/>
          <w:lang w:val="en-US" w:eastAsia="zh-CN"/>
        </w:rPr>
        <w:t xml:space="preserve">  </w:t>
      </w:r>
      <w:r>
        <w:rPr>
          <w:rStyle w:val="8"/>
          <w:rFonts w:hint="default" w:ascii="Times New Roman" w:hAnsi="Times New Roman" w:eastAsia="黑体" w:cs="Times New Roman"/>
          <w:color w:val="auto"/>
          <w:sz w:val="32"/>
          <w:szCs w:val="32"/>
          <w:highlight w:val="none"/>
          <w:shd w:val="clear" w:color="auto" w:fill="FFFFFF"/>
          <w:lang w:val="en-US" w:eastAsia="zh-CN" w:bidi="ar-SA"/>
        </w:rPr>
        <w:t xml:space="preserve"> </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lang w:val="en-US" w:eastAsia="zh-CN" w:bidi="ar-SA"/>
        </w:rPr>
        <w:t>（一）财政拨款收入：</w:t>
      </w:r>
      <w:r>
        <w:rPr>
          <w:rFonts w:hint="default" w:ascii="Times New Roman" w:hAnsi="Times New Roman" w:eastAsia="方正仿宋_GBK" w:cs="Times New Roman"/>
          <w:color w:val="auto"/>
          <w:kern w:val="0"/>
          <w:sz w:val="32"/>
          <w:szCs w:val="32"/>
          <w:highlight w:val="none"/>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lang w:val="en-US" w:eastAsia="zh-CN" w:bidi="ar-SA"/>
        </w:rPr>
        <w:t>（二）事业收入：</w:t>
      </w:r>
      <w:r>
        <w:rPr>
          <w:rFonts w:hint="default" w:ascii="Times New Roman" w:hAnsi="Times New Roman" w:eastAsia="方正仿宋_GBK" w:cs="Times New Roman"/>
          <w:color w:val="auto"/>
          <w:kern w:val="0"/>
          <w:sz w:val="32"/>
          <w:szCs w:val="32"/>
          <w:highlight w:val="none"/>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lang w:val="en-US" w:eastAsia="zh-CN" w:bidi="ar-SA"/>
        </w:rPr>
        <w:t>（三）经营收入：</w:t>
      </w:r>
      <w:r>
        <w:rPr>
          <w:rFonts w:hint="default" w:ascii="Times New Roman" w:hAnsi="Times New Roman" w:eastAsia="方正仿宋_GBK" w:cs="Times New Roman"/>
          <w:color w:val="auto"/>
          <w:kern w:val="0"/>
          <w:sz w:val="32"/>
          <w:szCs w:val="32"/>
          <w:highlight w:val="none"/>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lang w:val="en-US" w:eastAsia="zh-CN" w:bidi="ar-SA"/>
        </w:rPr>
        <w:t>（四）其他收入：</w:t>
      </w:r>
      <w:r>
        <w:rPr>
          <w:rFonts w:hint="default" w:ascii="Times New Roman" w:hAnsi="Times New Roman" w:eastAsia="方正仿宋_GBK" w:cs="Times New Roman"/>
          <w:color w:val="auto"/>
          <w:kern w:val="0"/>
          <w:sz w:val="32"/>
          <w:szCs w:val="32"/>
          <w:highlight w:val="none"/>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lang w:val="en-US" w:eastAsia="zh-CN" w:bidi="ar-SA"/>
        </w:rPr>
        <w:t>（五）使用非财政拨款结余（含专用结余）：</w:t>
      </w:r>
      <w:r>
        <w:rPr>
          <w:rFonts w:hint="default" w:ascii="Times New Roman" w:hAnsi="Times New Roman" w:eastAsia="方正仿宋_GBK" w:cs="Times New Roman"/>
          <w:color w:val="auto"/>
          <w:kern w:val="0"/>
          <w:sz w:val="32"/>
          <w:szCs w:val="32"/>
          <w:highlight w:val="none"/>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lang w:val="en-US" w:eastAsia="zh-CN" w:bidi="ar-SA"/>
        </w:rPr>
        <w:t>（六）年初结转和结余：</w:t>
      </w:r>
      <w:r>
        <w:rPr>
          <w:rFonts w:hint="default" w:ascii="Times New Roman" w:hAnsi="Times New Roman" w:eastAsia="方正仿宋_GBK" w:cs="Times New Roman"/>
          <w:color w:val="auto"/>
          <w:kern w:val="0"/>
          <w:sz w:val="32"/>
          <w:szCs w:val="32"/>
          <w:highlight w:val="none"/>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lang w:val="en-US" w:eastAsia="zh-CN" w:bidi="ar-SA"/>
        </w:rPr>
        <w:t>（七）结余分配：</w:t>
      </w:r>
      <w:r>
        <w:rPr>
          <w:rFonts w:hint="default" w:ascii="Times New Roman" w:hAnsi="Times New Roman" w:eastAsia="方正仿宋_GBK" w:cs="Times New Roman"/>
          <w:color w:val="auto"/>
          <w:kern w:val="0"/>
          <w:sz w:val="32"/>
          <w:szCs w:val="32"/>
          <w:highlight w:val="none"/>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lang w:val="en-US" w:eastAsia="zh-CN" w:bidi="ar-SA"/>
        </w:rPr>
        <w:t>（八）年末结转和结余：</w:t>
      </w:r>
      <w:r>
        <w:rPr>
          <w:rFonts w:hint="default" w:ascii="Times New Roman" w:hAnsi="Times New Roman" w:eastAsia="方正仿宋_GBK" w:cs="Times New Roman"/>
          <w:color w:val="auto"/>
          <w:kern w:val="0"/>
          <w:sz w:val="32"/>
          <w:szCs w:val="32"/>
          <w:highlight w:val="none"/>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lang w:val="en-US" w:eastAsia="zh-CN" w:bidi="ar-SA"/>
        </w:rPr>
        <w:t>（九）基本支出：</w:t>
      </w:r>
      <w:r>
        <w:rPr>
          <w:rFonts w:hint="default" w:ascii="Times New Roman" w:hAnsi="Times New Roman" w:eastAsia="方正仿宋_GBK" w:cs="Times New Roman"/>
          <w:color w:val="auto"/>
          <w:kern w:val="0"/>
          <w:sz w:val="32"/>
          <w:szCs w:val="32"/>
          <w:highlight w:val="none"/>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lang w:val="en-US" w:eastAsia="zh-CN" w:bidi="ar-SA"/>
        </w:rPr>
        <w:t>（十）项目支出：</w:t>
      </w:r>
      <w:r>
        <w:rPr>
          <w:rFonts w:hint="default" w:ascii="Times New Roman" w:hAnsi="Times New Roman" w:eastAsia="方正仿宋_GBK" w:cs="Times New Roman"/>
          <w:color w:val="auto"/>
          <w:kern w:val="0"/>
          <w:sz w:val="32"/>
          <w:szCs w:val="32"/>
          <w:highlight w:val="none"/>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lang w:val="en-US" w:eastAsia="zh-CN" w:bidi="ar-SA"/>
        </w:rPr>
        <w:t>（十一）经营支出：</w:t>
      </w:r>
      <w:r>
        <w:rPr>
          <w:rFonts w:hint="default" w:ascii="Times New Roman" w:hAnsi="Times New Roman" w:eastAsia="方正仿宋_GBK" w:cs="Times New Roman"/>
          <w:color w:val="auto"/>
          <w:kern w:val="0"/>
          <w:sz w:val="32"/>
          <w:szCs w:val="32"/>
          <w:highlight w:val="none"/>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lang w:val="en-US" w:eastAsia="zh-CN" w:bidi="ar-SA"/>
        </w:rPr>
        <w:t>（十二）“三公”经费：</w:t>
      </w:r>
      <w:r>
        <w:rPr>
          <w:rFonts w:hint="default" w:ascii="Times New Roman" w:hAnsi="Times New Roman" w:eastAsia="方正仿宋_GBK" w:cs="Times New Roman"/>
          <w:color w:val="auto"/>
          <w:kern w:val="0"/>
          <w:sz w:val="32"/>
          <w:szCs w:val="32"/>
          <w:highlight w:val="none"/>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lang w:val="en-US" w:eastAsia="zh-CN" w:bidi="ar-SA"/>
        </w:rPr>
        <w:t>（十三）机关运行经费：</w:t>
      </w:r>
      <w:r>
        <w:rPr>
          <w:rFonts w:hint="default" w:ascii="Times New Roman" w:hAnsi="Times New Roman" w:eastAsia="方正仿宋_GBK" w:cs="Times New Roman"/>
          <w:color w:val="auto"/>
          <w:kern w:val="0"/>
          <w:sz w:val="32"/>
          <w:szCs w:val="32"/>
          <w:highlight w:val="none"/>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lang w:val="en-US" w:eastAsia="zh-CN" w:bidi="ar-SA"/>
        </w:rPr>
        <w:t>（十四）工资福利支出（支出经济分类科目类级）：</w:t>
      </w:r>
      <w:r>
        <w:rPr>
          <w:rFonts w:hint="default" w:ascii="Times New Roman" w:hAnsi="Times New Roman" w:eastAsia="方正仿宋_GBK" w:cs="Times New Roman"/>
          <w:color w:val="auto"/>
          <w:kern w:val="0"/>
          <w:sz w:val="32"/>
          <w:szCs w:val="32"/>
          <w:highlight w:val="none"/>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lang w:val="en-US" w:eastAsia="zh-CN" w:bidi="ar-SA"/>
        </w:rPr>
        <w:t>（十五）商品和服务支出（支出经济分类科目类级）：</w:t>
      </w:r>
      <w:r>
        <w:rPr>
          <w:rFonts w:hint="default" w:ascii="Times New Roman" w:hAnsi="Times New Roman" w:eastAsia="方正仿宋_GBK" w:cs="Times New Roman"/>
          <w:color w:val="auto"/>
          <w:kern w:val="0"/>
          <w:sz w:val="32"/>
          <w:szCs w:val="32"/>
          <w:highlight w:val="none"/>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lang w:val="en-US" w:eastAsia="zh-CN" w:bidi="ar-SA"/>
        </w:rPr>
        <w:t>（十六）对个人和家庭的补助（支出经济分类科目类级）：</w:t>
      </w:r>
      <w:r>
        <w:rPr>
          <w:rFonts w:hint="default" w:ascii="Times New Roman" w:hAnsi="Times New Roman" w:eastAsia="方正仿宋_GBK" w:cs="Times New Roman"/>
          <w:color w:val="auto"/>
          <w:kern w:val="0"/>
          <w:sz w:val="32"/>
          <w:szCs w:val="32"/>
          <w:highlight w:val="none"/>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32"/>
          <w:highlight w:val="none"/>
          <w:lang w:val="en-US" w:eastAsia="zh-CN" w:bidi="ar-SA"/>
        </w:rPr>
        <w:t>（十七）其他资本性支出（支出经济分类科目类级）：</w:t>
      </w:r>
      <w:r>
        <w:rPr>
          <w:rFonts w:hint="default" w:ascii="Times New Roman" w:hAnsi="Times New Roman" w:eastAsia="方正仿宋_GBK" w:cs="Times New Roman"/>
          <w:color w:val="auto"/>
          <w:kern w:val="0"/>
          <w:sz w:val="32"/>
          <w:szCs w:val="32"/>
          <w:highlight w:val="none"/>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shd w:val="clear" w:fill="FFFFFF"/>
        </w:rPr>
        <w:t>本单位决算公开信息反馈和联系方式：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color w:val="auto"/>
          <w:kern w:val="0"/>
          <w:sz w:val="32"/>
          <w:szCs w:val="32"/>
          <w:highlight w:val="none"/>
          <w:shd w:val="clear" w:fill="FFFFFF"/>
          <w:lang w:val="en-US" w:eastAsia="zh-CN"/>
        </w:rPr>
        <w:sectPr>
          <w:footerReference r:id="rId8"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color w:val="auto"/>
          <w:kern w:val="0"/>
          <w:sz w:val="32"/>
          <w:szCs w:val="32"/>
          <w:highlight w:val="none"/>
          <w:shd w:val="clear" w:fill="FFFFFF"/>
          <w:lang w:eastAsia="zh-CN"/>
        </w:rPr>
        <w:t>郑艳玲</w:t>
      </w:r>
      <w:r>
        <w:rPr>
          <w:rFonts w:hint="default" w:ascii="Times New Roman" w:hAnsi="Times New Roman" w:eastAsia="方正仿宋_GBK" w:cs="Times New Roman"/>
          <w:color w:val="auto"/>
          <w:kern w:val="0"/>
          <w:sz w:val="32"/>
          <w:szCs w:val="32"/>
          <w:highlight w:val="none"/>
          <w:shd w:val="clear" w:fill="FFFFFF"/>
        </w:rPr>
        <w:t xml:space="preserve">   023-</w:t>
      </w:r>
      <w:r>
        <w:rPr>
          <w:rFonts w:hint="default" w:ascii="Times New Roman" w:hAnsi="Times New Roman" w:eastAsia="方正仿宋_GBK" w:cs="Times New Roman"/>
          <w:color w:val="auto"/>
          <w:kern w:val="0"/>
          <w:sz w:val="32"/>
          <w:szCs w:val="32"/>
          <w:highlight w:val="none"/>
          <w:shd w:val="clear" w:fill="FFFFFF"/>
          <w:lang w:val="en-US" w:eastAsia="zh-CN"/>
        </w:rPr>
        <w:t>59222380</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20"/>
                <w:szCs w:val="20"/>
                <w:highlight w:val="none"/>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s="Times New Roman"/>
                <w:color w:val="auto"/>
                <w:sz w:val="20"/>
                <w:szCs w:val="20"/>
                <w:highlight w:val="none"/>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20"/>
                <w:szCs w:val="20"/>
                <w:highlight w:val="none"/>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公开01表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2"/>
                <w:szCs w:val="22"/>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城口县大数据智能化管理服务中心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22"/>
                <w:szCs w:val="22"/>
                <w:highlight w:val="none"/>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22.83</w:t>
            </w: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2.60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1.51</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18.71</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22.83</w:t>
            </w: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22.83</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22.83</w:t>
            </w: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22.83</w:t>
            </w:r>
            <w:r>
              <w:rPr>
                <w:rFonts w:hint="default" w:ascii="Times New Roman" w:hAnsi="Times New Roman" w:cs="Times New Roman"/>
                <w:color w:val="auto"/>
                <w:sz w:val="20"/>
                <w:highlight w:val="none"/>
                <w:u w:color="auto"/>
              </w:rPr>
              <w:t xml:space="preserve"> </w:t>
            </w:r>
          </w:p>
        </w:tc>
      </w:tr>
    </w:tbl>
    <w:p>
      <w:pPr>
        <w:rPr>
          <w:rFonts w:hint="default" w:ascii="Times New Roman" w:hAnsi="Times New Roman" w:cs="Times New Roman"/>
          <w:color w:val="auto"/>
          <w:sz w:val="21"/>
          <w:szCs w:val="21"/>
          <w:highlight w:val="none"/>
        </w:rPr>
      </w:pPr>
    </w:p>
    <w:p>
      <w:pPr>
        <w:spacing w:line="240" w:lineRule="exact"/>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备注：1.本表反映部门本年度的总收支和年末结转结余情况。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tbl>
      <w:tblPr>
        <w:tblStyle w:val="9"/>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收入决算表</w:t>
            </w:r>
          </w:p>
        </w:tc>
      </w:tr>
      <w:tr>
        <w:tblPrEx>
          <w:tblLayout w:type="fixed"/>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城口县大数据智能化管理服务中心</w:t>
            </w: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公开02表</w:t>
            </w:r>
          </w:p>
        </w:tc>
      </w:tr>
      <w:tr>
        <w:tblPrEx>
          <w:tblLayout w:type="fixed"/>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其他收入</w:t>
            </w:r>
          </w:p>
        </w:tc>
      </w:tr>
      <w:tr>
        <w:tblPrEx>
          <w:tblLayout w:type="fixed"/>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22.83</w:t>
            </w:r>
            <w:r>
              <w:rPr>
                <w:rFonts w:hint="default" w:ascii="Times New Roman" w:hAnsi="Times New Roman" w:cs="Times New Roman"/>
                <w:b/>
                <w:color w:val="auto"/>
                <w:sz w:val="20"/>
                <w:highlight w:val="none"/>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22.83</w:t>
            </w:r>
            <w:r>
              <w:rPr>
                <w:rFonts w:hint="default" w:ascii="Times New Roman" w:hAnsi="Times New Roman" w:cs="Times New Roman"/>
                <w:b/>
                <w:color w:val="auto"/>
                <w:sz w:val="20"/>
                <w:highlight w:val="none"/>
                <w:u w:color="auto"/>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2.60</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2.60</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2.60</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2.60</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1.74</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1.74</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0.87</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0.87</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1.51</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1.51</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1.51</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1.51</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1.32</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1.32</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0.20</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0.20</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资源勘探工业信息等支出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18.71</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18.71</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工业和信息产业监管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18.71</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18.71</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18.71</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18.71</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bl>
    <w:p>
      <w:pPr>
        <w:ind w:left="600" w:hanging="600" w:hangingChars="300"/>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备注：1.本表反映部门本年度取得的各项收入情况。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br w:type="page"/>
      </w:r>
    </w:p>
    <w:tbl>
      <w:tblPr>
        <w:tblStyle w:val="9"/>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支出决算表</w:t>
            </w:r>
          </w:p>
        </w:tc>
      </w:tr>
      <w:tr>
        <w:tblPrEx>
          <w:tblLayout w:type="fixed"/>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 xml:space="preserve">城口县大数据智能化管理服务中心 </w:t>
            </w: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公开03表</w:t>
            </w:r>
          </w:p>
        </w:tc>
      </w:tr>
      <w:tr>
        <w:tblPrEx>
          <w:tblLayout w:type="fixed"/>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对附属单位补助支出</w:t>
            </w:r>
          </w:p>
        </w:tc>
      </w:tr>
      <w:tr>
        <w:tblPrEx>
          <w:tblLayout w:type="fixed"/>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22.83</w:t>
            </w:r>
            <w:r>
              <w:rPr>
                <w:rFonts w:hint="default" w:ascii="Times New Roman" w:hAnsi="Times New Roman" w:cs="Times New Roman"/>
                <w:b/>
                <w:color w:val="auto"/>
                <w:sz w:val="20"/>
                <w:highlight w:val="none"/>
                <w:u w:color="auto"/>
              </w:rPr>
              <w:t xml:space="preserve"> </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22.83</w:t>
            </w:r>
            <w:r>
              <w:rPr>
                <w:rFonts w:hint="default" w:ascii="Times New Roman" w:hAnsi="Times New Roman" w:cs="Times New Roman"/>
                <w:b/>
                <w:color w:val="auto"/>
                <w:sz w:val="20"/>
                <w:highlight w:val="none"/>
                <w:u w:color="auto"/>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2.60</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2.60</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2.60</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2.60</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1.74</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1.74</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0.87</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0.87</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1.51</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1.51</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1.51</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1.51</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1.32</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1.32</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0.20</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0.20</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资源勘探工业信息等支出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18.71</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18.71</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工业和信息产业监管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18.71</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18.71</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18.71</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18.71</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bl>
    <w:p>
      <w:pP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备注：1.本表反映部门本年度各项支出情况。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p>
      <w:pPr>
        <w:rPr>
          <w:rFonts w:hint="default" w:ascii="Times New Roman" w:hAnsi="Times New Roman" w:cs="Times New Roman"/>
          <w:color w:val="auto"/>
          <w:sz w:val="21"/>
          <w:szCs w:val="21"/>
          <w:highlight w:val="none"/>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城口县大数据智能化管理服务中心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公开04表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22.83</w:t>
            </w: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2.60</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2.60</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1.51</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1.51</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18.71</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18.71</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22.83</w:t>
            </w: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22.83</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22.83</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22.83</w:t>
            </w: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22.83</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22.83</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bl>
    <w:p>
      <w:pPr>
        <w:spacing w:line="240" w:lineRule="exact"/>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30"/>
        <w:gridCol w:w="4067"/>
        <w:gridCol w:w="3300"/>
        <w:gridCol w:w="3291"/>
        <w:gridCol w:w="3334"/>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一般公共预算财政拨款支出决算表</w:t>
            </w:r>
          </w:p>
        </w:tc>
      </w:tr>
      <w:tr>
        <w:tblPrEx>
          <w:tblLayout w:type="fixed"/>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城口县大数据智能化管理服务中心</w:t>
            </w:r>
          </w:p>
        </w:tc>
        <w:tc>
          <w:tcPr>
            <w:tcW w:w="329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公开05表</w:t>
            </w:r>
          </w:p>
        </w:tc>
      </w:tr>
      <w:tr>
        <w:tblPrEx>
          <w:tblLayout w:type="fixed"/>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29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本年支出</w:t>
            </w:r>
          </w:p>
        </w:tc>
      </w:tr>
      <w:tr>
        <w:tblPrEx>
          <w:tblLayout w:type="fixed"/>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项目支出</w:t>
            </w:r>
          </w:p>
        </w:tc>
      </w:tr>
      <w:tr>
        <w:tblPrEx>
          <w:tblLayout w:type="fixed"/>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22.83</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22.83</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2.60</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2.60</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2.60</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2.60</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1.74</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1.74</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0.87</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0.87</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1.51</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1.51</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1.51</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1.51</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1.32</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1.32</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0.20</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0.20</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资源勘探工业信息等支出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18.71</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18.71</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工业和信息产业监管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18.71</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18.71</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2150550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18.71</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18.71</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bl>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0"/>
          <w:szCs w:val="20"/>
          <w:highlight w:val="none"/>
        </w:rPr>
        <w:t>备注：1.本表反映部门本年度一般公共预算财政拨款支出情况。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ind w:firstLine="630" w:firstLineChars="3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tbl>
      <w:tblPr>
        <w:tblStyle w:val="9"/>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城口县大数据智能化管理服务中心</w:t>
            </w:r>
          </w:p>
        </w:tc>
        <w:tc>
          <w:tcPr>
            <w:tcW w:w="1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85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345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公开06表</w:t>
            </w:r>
          </w:p>
        </w:tc>
      </w:tr>
      <w:tr>
        <w:tblPrEx>
          <w:tblLayout w:type="fixed"/>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1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85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345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公用经费</w:t>
            </w:r>
          </w:p>
        </w:tc>
      </w:tr>
      <w:tr>
        <w:tblPrEx>
          <w:tblLayout w:type="fixed"/>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金额</w:t>
            </w:r>
          </w:p>
        </w:tc>
      </w:tr>
      <w:tr>
        <w:tblPrEx>
          <w:tblLayout w:type="fixed"/>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22.83</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4.95</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0.85</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12.44</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1.74</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0.87</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1.32</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0.20</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0.48</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22.83</w:t>
            </w:r>
            <w:r>
              <w:rPr>
                <w:rFonts w:hint="default" w:ascii="Times New Roman" w:hAnsi="Times New Roman" w:cs="Times New Roman"/>
                <w:color w:val="auto"/>
                <w:sz w:val="18"/>
                <w:highlight w:val="none"/>
                <w:u w:color="auto"/>
              </w:rPr>
              <w:t xml:space="preserve"> </w:t>
            </w:r>
          </w:p>
        </w:tc>
        <w:tc>
          <w:tcPr>
            <w:tcW w:w="857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公用经费合计</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备注：1.本表反映部门本年度一般公共预算财政拨款基本支出明细情况。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城口县大数据智能化管理服务中心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公开07表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年末结转和结余</w:t>
            </w:r>
          </w:p>
        </w:tc>
      </w:tr>
      <w:tr>
        <w:tblPrEx>
          <w:tblLayout w:type="fixed"/>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auto"/>
                <w:sz w:val="20"/>
                <w:szCs w:val="20"/>
                <w:highlight w:val="none"/>
              </w:rPr>
            </w:pP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auto"/>
                <w:sz w:val="20"/>
                <w:szCs w:val="20"/>
                <w:highlight w:val="none"/>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bl>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0"/>
          <w:szCs w:val="20"/>
          <w:highlight w:val="none"/>
        </w:rPr>
        <w:t>备注：本表反映部门本年度政府性基金预算财政拨款收入支出及结转和结余情况。本部门无政府性基金收支，故本表无数据。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城口县大数据智能化管理服务中心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公开08表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auto"/>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auto"/>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 xml:space="preserve">0.00 </w:t>
            </w:r>
          </w:p>
        </w:tc>
      </w:tr>
    </w:tbl>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0"/>
          <w:szCs w:val="20"/>
          <w:highlight w:val="none"/>
        </w:rPr>
        <w:t>备注：本表反映部门本年度国有资本经营预算财政拨款支出情况。本部门无国有资本经营收支，故本表无数据。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tbl>
      <w:tblPr>
        <w:tblStyle w:val="9"/>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auto"/>
                <w:kern w:val="2"/>
                <w:sz w:val="32"/>
                <w:szCs w:val="32"/>
                <w:highlight w:val="none"/>
              </w:rPr>
            </w:pPr>
            <w:r>
              <w:rPr>
                <w:rFonts w:hint="default" w:ascii="Times New Roman" w:hAnsi="Times New Roman" w:cs="Times New Roman"/>
                <w:b/>
                <w:color w:val="auto"/>
                <w:kern w:val="2"/>
                <w:sz w:val="32"/>
                <w:szCs w:val="32"/>
                <w:highlight w:val="none"/>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auto"/>
                <w:kern w:val="2"/>
                <w:sz w:val="20"/>
                <w:szCs w:val="20"/>
                <w:highlight w:val="none"/>
              </w:rPr>
            </w:pPr>
          </w:p>
        </w:tc>
        <w:tc>
          <w:tcPr>
            <w:tcW w:w="2402" w:type="dxa"/>
            <w:shd w:val="clear" w:color="auto" w:fill="auto"/>
            <w:noWrap/>
            <w:tcMar>
              <w:top w:w="15" w:type="dxa"/>
              <w:left w:w="15" w:type="dxa"/>
              <w:right w:w="15" w:type="dxa"/>
            </w:tcMar>
            <w:vAlign w:val="bottom"/>
          </w:tcPr>
          <w:p>
            <w:pPr>
              <w:spacing w:line="280" w:lineRule="exact"/>
              <w:jc w:val="center"/>
              <w:rPr>
                <w:rFonts w:hint="default" w:ascii="Times New Roman" w:hAnsi="Times New Roman" w:cs="Times New Roman"/>
                <w:color w:val="auto"/>
                <w:kern w:val="2"/>
                <w:sz w:val="20"/>
                <w:szCs w:val="20"/>
                <w:highlight w:val="none"/>
              </w:rPr>
            </w:pPr>
          </w:p>
        </w:tc>
        <w:tc>
          <w:tcPr>
            <w:tcW w:w="2360" w:type="dxa"/>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auto"/>
                <w:kern w:val="2"/>
                <w:sz w:val="20"/>
                <w:szCs w:val="20"/>
                <w:highlight w:val="none"/>
              </w:rPr>
            </w:pPr>
          </w:p>
        </w:tc>
        <w:tc>
          <w:tcPr>
            <w:tcW w:w="3726"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auto"/>
                <w:kern w:val="2"/>
                <w:sz w:val="20"/>
                <w:szCs w:val="20"/>
                <w:highlight w:val="none"/>
              </w:rPr>
            </w:pPr>
          </w:p>
        </w:tc>
        <w:tc>
          <w:tcPr>
            <w:tcW w:w="2480" w:type="dxa"/>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auto"/>
                <w:kern w:val="2"/>
                <w:sz w:val="20"/>
                <w:szCs w:val="20"/>
                <w:highlight w:val="none"/>
              </w:rPr>
            </w:pPr>
            <w:r>
              <w:rPr>
                <w:rFonts w:hint="default" w:ascii="Times New Roman" w:hAnsi="Times New Roman" w:cs="Times New Roman"/>
                <w:color w:val="auto"/>
                <w:kern w:val="2"/>
                <w:sz w:val="20"/>
                <w:szCs w:val="20"/>
                <w:highlight w:val="none"/>
              </w:rPr>
              <w:t>公开09表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auto"/>
                <w:kern w:val="2"/>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kern w:val="2"/>
                <w:sz w:val="20"/>
                <w:szCs w:val="20"/>
                <w:highlight w:val="none"/>
              </w:rPr>
              <w:t>：</w:t>
            </w:r>
            <w:r>
              <w:rPr>
                <w:rFonts w:hint="default" w:ascii="Times New Roman" w:hAnsi="Times New Roman" w:cs="Times New Roman"/>
                <w:color w:val="auto"/>
                <w:sz w:val="20"/>
                <w:highlight w:val="none"/>
                <w:u w:color="auto"/>
              </w:rPr>
              <w:t>城口县大数据智能化管理服务中心</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auto"/>
                <w:kern w:val="2"/>
                <w:sz w:val="20"/>
                <w:szCs w:val="20"/>
                <w:highlight w:val="none"/>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auto"/>
                <w:kern w:val="2"/>
                <w:sz w:val="20"/>
                <w:szCs w:val="20"/>
                <w:highlight w:val="none"/>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auto"/>
                <w:kern w:val="2"/>
                <w:sz w:val="20"/>
                <w:szCs w:val="20"/>
                <w:highlight w:val="none"/>
              </w:rPr>
            </w:pPr>
            <w:r>
              <w:rPr>
                <w:rFonts w:hint="default" w:ascii="Times New Roman" w:hAnsi="Times New Roman" w:cs="Times New Roman"/>
                <w:color w:val="auto"/>
                <w:kern w:val="2"/>
                <w:sz w:val="20"/>
                <w:szCs w:val="20"/>
                <w:highlight w:val="none"/>
              </w:rPr>
              <w:t>单位：万元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auto"/>
                <w:kern w:val="2"/>
                <w:sz w:val="16"/>
                <w:szCs w:val="16"/>
                <w:highlight w:val="none"/>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auto"/>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auto"/>
                <w:kern w:val="2"/>
                <w:sz w:val="16"/>
                <w:szCs w:val="16"/>
                <w:highlight w:val="none"/>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auto"/>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sz w:val="16"/>
                <w:szCs w:val="16"/>
                <w:highlight w:val="none"/>
              </w:rPr>
            </w:pPr>
            <w:r>
              <w:rPr>
                <w:rFonts w:hint="default" w:ascii="Times New Roman" w:hAnsi="Times New Roman" w:cs="Times New Roman"/>
                <w:b/>
                <w:bCs/>
                <w:color w:val="auto"/>
                <w:sz w:val="16"/>
                <w:szCs w:val="16"/>
                <w:highlight w:val="none"/>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auto"/>
                <w:sz w:val="16"/>
                <w:szCs w:val="16"/>
                <w:highlight w:val="none"/>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auto"/>
                <w:sz w:val="16"/>
                <w:szCs w:val="16"/>
                <w:highlight w:val="none"/>
              </w:rPr>
            </w:pPr>
          </w:p>
        </w:tc>
      </w:tr>
    </w:tbl>
    <w:p>
      <w:pPr>
        <w:rPr>
          <w:rFonts w:hint="default" w:ascii="Times New Roman" w:hAnsi="Times New Roman" w:cs="Times New Roman"/>
          <w:color w:val="auto"/>
          <w:sz w:val="18"/>
          <w:szCs w:val="18"/>
          <w:highlight w:val="none"/>
        </w:rPr>
        <w:sectPr>
          <w:pgSz w:w="16783" w:h="11850" w:orient="landscape"/>
          <w:pgMar w:top="567" w:right="454" w:bottom="567" w:left="1037" w:header="0" w:footer="283" w:gutter="0"/>
          <w:pgNumType w:fmt="numberInDash"/>
          <w:cols w:space="720" w:num="1"/>
          <w:docGrid w:type="lines" w:linePitch="326" w:charSpace="0"/>
        </w:sectPr>
      </w:pPr>
      <w:r>
        <w:rPr>
          <w:rFonts w:hint="default" w:ascii="Times New Roman" w:hAnsi="Times New Roman" w:cs="Times New Roman"/>
          <w:color w:val="auto"/>
          <w:sz w:val="18"/>
          <w:szCs w:val="18"/>
          <w:highlight w:val="none"/>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color w:val="auto"/>
          <w:sz w:val="18"/>
          <w:szCs w:val="18"/>
          <w:highlight w:val="none"/>
        </w:rPr>
        <w:br w:type="textWrapping"/>
      </w:r>
      <w:r>
        <w:rPr>
          <w:rFonts w:hint="default" w:ascii="Times New Roman" w:hAnsi="Times New Roman" w:cs="Times New Roman"/>
          <w:color w:val="auto"/>
          <w:sz w:val="18"/>
          <w:szCs w:val="18"/>
          <w:highlight w:val="none"/>
        </w:rPr>
        <w:t xml:space="preserve">      2.本套报表金额单位转换时可能存在尾数误差。</w:t>
      </w:r>
    </w:p>
    <w:p>
      <w:pPr>
        <w:pStyle w:val="6"/>
        <w:keepNext w:val="0"/>
        <w:keepLines w:val="0"/>
        <w:pageBreakBefore w:val="0"/>
        <w:kinsoku/>
        <w:wordWrap/>
        <w:overflowPunct/>
        <w:topLinePunct w:val="0"/>
        <w:autoSpaceDE/>
        <w:autoSpaceDN/>
        <w:bidi w:val="0"/>
        <w:adjustRightInd/>
        <w:snapToGrid/>
        <w:spacing w:before="0" w:beforeAutospacing="0" w:after="0" w:afterAutospacing="0" w:line="550" w:lineRule="exact"/>
        <w:jc w:val="center"/>
        <w:textAlignment w:val="auto"/>
        <w:rPr>
          <w:rFonts w:hint="default" w:ascii="Times New Roman" w:hAnsi="Times New Roman" w:eastAsia="方正小标宋_GBK" w:cs="Times New Roman"/>
          <w:b w:val="0"/>
          <w:bCs w:val="0"/>
          <w:color w:val="auto"/>
          <w:sz w:val="44"/>
          <w:szCs w:val="44"/>
          <w:highlight w:val="none"/>
        </w:rPr>
      </w:pPr>
      <w:r>
        <w:rPr>
          <w:rFonts w:hint="default" w:ascii="Times New Roman" w:hAnsi="Times New Roman" w:eastAsia="方正小标宋_GBK" w:cs="Times New Roman"/>
          <w:b w:val="0"/>
          <w:bCs w:val="0"/>
          <w:color w:val="auto"/>
          <w:sz w:val="44"/>
          <w:szCs w:val="44"/>
          <w:highlight w:val="none"/>
        </w:rPr>
        <w:t>城口县招商投资促进中心</w:t>
      </w:r>
    </w:p>
    <w:p>
      <w:pPr>
        <w:pStyle w:val="6"/>
        <w:keepNext w:val="0"/>
        <w:keepLines w:val="0"/>
        <w:pageBreakBefore w:val="0"/>
        <w:kinsoku/>
        <w:wordWrap/>
        <w:overflowPunct/>
        <w:topLinePunct w:val="0"/>
        <w:autoSpaceDE/>
        <w:autoSpaceDN/>
        <w:bidi w:val="0"/>
        <w:adjustRightInd/>
        <w:snapToGrid/>
        <w:spacing w:before="0" w:beforeAutospacing="0" w:after="0" w:afterAutospacing="0" w:line="550" w:lineRule="exact"/>
        <w:jc w:val="center"/>
        <w:textAlignment w:val="auto"/>
        <w:rPr>
          <w:rFonts w:hint="default" w:ascii="Times New Roman" w:hAnsi="Times New Roman" w:eastAsia="方正小标宋_GBK" w:cs="Times New Roman"/>
          <w:b w:val="0"/>
          <w:bCs w:val="0"/>
          <w:color w:val="auto"/>
          <w:sz w:val="44"/>
          <w:szCs w:val="44"/>
          <w:highlight w:val="none"/>
        </w:rPr>
      </w:pPr>
      <w:r>
        <w:rPr>
          <w:rFonts w:hint="default" w:ascii="Times New Roman" w:hAnsi="Times New Roman" w:eastAsia="方正小标宋_GBK" w:cs="Times New Roman"/>
          <w:b w:val="0"/>
          <w:bCs w:val="0"/>
          <w:color w:val="auto"/>
          <w:sz w:val="44"/>
          <w:szCs w:val="44"/>
          <w:highlight w:val="none"/>
        </w:rPr>
        <w:t>（城口县生产力促进中心）</w:t>
      </w:r>
    </w:p>
    <w:p>
      <w:pPr>
        <w:pStyle w:val="6"/>
        <w:keepNext w:val="0"/>
        <w:keepLines w:val="0"/>
        <w:pageBreakBefore w:val="0"/>
        <w:kinsoku/>
        <w:wordWrap/>
        <w:overflowPunct/>
        <w:topLinePunct w:val="0"/>
        <w:autoSpaceDE/>
        <w:autoSpaceDN/>
        <w:bidi w:val="0"/>
        <w:adjustRightInd/>
        <w:snapToGrid/>
        <w:spacing w:before="0" w:beforeAutospacing="0" w:after="0" w:afterAutospacing="0" w:line="550" w:lineRule="exact"/>
        <w:jc w:val="center"/>
        <w:textAlignment w:val="auto"/>
        <w:rPr>
          <w:rFonts w:hint="default" w:ascii="Times New Roman" w:hAnsi="Times New Roman" w:eastAsia="方正小标宋_GBK" w:cs="Times New Roman"/>
          <w:b w:val="0"/>
          <w:bCs w:val="0"/>
          <w:color w:val="auto"/>
          <w:sz w:val="44"/>
          <w:szCs w:val="44"/>
          <w:highlight w:val="none"/>
          <w:shd w:val="clear" w:color="auto" w:fill="FFFFFF"/>
        </w:rPr>
      </w:pPr>
      <w:r>
        <w:rPr>
          <w:rFonts w:hint="default" w:ascii="Times New Roman" w:hAnsi="Times New Roman" w:eastAsia="方正小标宋_GBK" w:cs="Times New Roman"/>
          <w:b w:val="0"/>
          <w:bCs w:val="0"/>
          <w:color w:val="auto"/>
          <w:sz w:val="44"/>
          <w:szCs w:val="44"/>
          <w:highlight w:val="none"/>
          <w:shd w:val="clear" w:color="auto" w:fill="FFFFFF"/>
        </w:rPr>
        <w:t>2024年度决算公开说明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50" w:lineRule="exact"/>
        <w:textAlignment w:val="auto"/>
        <w:rPr>
          <w:rFonts w:hint="default" w:ascii="Times New Roman" w:hAnsi="Times New Roman" w:cs="Times New Roman"/>
          <w:color w:val="auto"/>
          <w:sz w:val="27"/>
          <w:szCs w:val="27"/>
          <w:highlight w:val="none"/>
          <w:shd w:val="clear" w:color="auto" w:fill="FFFF00"/>
        </w:rPr>
      </w:pP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50" w:lineRule="exact"/>
        <w:ind w:firstLine="640" w:firstLineChars="200"/>
        <w:jc w:val="both"/>
        <w:textAlignment w:val="auto"/>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一、部门基本情况</w:t>
      </w:r>
    </w:p>
    <w:p>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jc w:val="both"/>
        <w:textAlignment w:val="auto"/>
        <w:rPr>
          <w:rFonts w:hint="default" w:ascii="Times New Roman" w:hAnsi="Times New Roman" w:eastAsia="方正楷体_GBK" w:cs="Times New Roman"/>
          <w:color w:val="auto"/>
          <w:sz w:val="32"/>
          <w:highlight w:val="none"/>
        </w:rPr>
      </w:pPr>
      <w:r>
        <w:rPr>
          <w:rFonts w:hint="default" w:ascii="Times New Roman" w:hAnsi="Times New Roman" w:eastAsia="方正楷体_GBK" w:cs="Times New Roman"/>
          <w:color w:val="auto"/>
          <w:sz w:val="32"/>
          <w:highlight w:val="none"/>
        </w:rPr>
        <w:t>（一）职能职责</w:t>
      </w:r>
    </w:p>
    <w:p>
      <w:pPr>
        <w:pStyle w:val="16"/>
        <w:keepNext w:val="0"/>
        <w:keepLines w:val="0"/>
        <w:pageBreakBefore w:val="0"/>
        <w:widowControl w:val="0"/>
        <w:tabs>
          <w:tab w:val="center" w:pos="4153"/>
          <w:tab w:val="left" w:pos="7275"/>
        </w:tabs>
        <w:kinsoku/>
        <w:wordWrap/>
        <w:overflowPunct/>
        <w:topLinePunct w:val="0"/>
        <w:autoSpaceDE/>
        <w:autoSpaceDN/>
        <w:bidi w:val="0"/>
        <w:adjustRightInd/>
        <w:snapToGrid/>
        <w:spacing w:line="550" w:lineRule="exact"/>
        <w:ind w:left="0" w:firstLine="640" w:firstLineChars="200"/>
        <w:jc w:val="both"/>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rPr>
        <w:t>城口县招商投资促进中心贯彻落实中央，市委、市政府和县委、县政府关于招商投资工作安排部署，坚持和加强党对招商投资工作的集中统一领导，主要职责是：</w:t>
      </w:r>
    </w:p>
    <w:p>
      <w:pPr>
        <w:pStyle w:val="16"/>
        <w:keepNext w:val="0"/>
        <w:keepLines w:val="0"/>
        <w:pageBreakBefore w:val="0"/>
        <w:widowControl w:val="0"/>
        <w:tabs>
          <w:tab w:val="center" w:pos="4153"/>
          <w:tab w:val="left" w:pos="7275"/>
        </w:tabs>
        <w:kinsoku/>
        <w:wordWrap/>
        <w:overflowPunct/>
        <w:topLinePunct w:val="0"/>
        <w:autoSpaceDE/>
        <w:autoSpaceDN/>
        <w:bidi w:val="0"/>
        <w:adjustRightInd/>
        <w:snapToGrid/>
        <w:spacing w:line="550" w:lineRule="exact"/>
        <w:ind w:left="0" w:firstLine="640" w:firstLineChars="200"/>
        <w:jc w:val="both"/>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lang w:val="en-US" w:eastAsia="zh-CN"/>
        </w:rPr>
        <w:t>1.</w:t>
      </w:r>
      <w:r>
        <w:rPr>
          <w:rFonts w:hint="default" w:ascii="Times New Roman" w:hAnsi="Times New Roman" w:eastAsia="方正仿宋_GBK" w:cs="Times New Roman"/>
          <w:color w:val="auto"/>
          <w:sz w:val="32"/>
          <w:highlight w:val="none"/>
        </w:rPr>
        <w:t>贯彻执行县委、县政府关于对外开放、招商引资工作的政策和规定；为全县性重大招商引资活动和重大投资洽谈活动提供服务保障；承担组织策划包装招商引资项目，建立和管理招商引资项目库，参与招商引资推介、洽谈和协调等事务性工作。</w:t>
      </w:r>
    </w:p>
    <w:p>
      <w:pPr>
        <w:pStyle w:val="16"/>
        <w:keepNext w:val="0"/>
        <w:keepLines w:val="0"/>
        <w:pageBreakBefore w:val="0"/>
        <w:widowControl w:val="0"/>
        <w:tabs>
          <w:tab w:val="center" w:pos="4153"/>
          <w:tab w:val="left" w:pos="7275"/>
        </w:tabs>
        <w:kinsoku/>
        <w:wordWrap/>
        <w:overflowPunct/>
        <w:topLinePunct w:val="0"/>
        <w:autoSpaceDE/>
        <w:autoSpaceDN/>
        <w:bidi w:val="0"/>
        <w:adjustRightInd/>
        <w:snapToGrid/>
        <w:spacing w:line="550" w:lineRule="exact"/>
        <w:ind w:left="0" w:firstLine="640" w:firstLineChars="200"/>
        <w:jc w:val="both"/>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lang w:val="en-US" w:eastAsia="zh-CN"/>
        </w:rPr>
        <w:t>2.</w:t>
      </w:r>
      <w:r>
        <w:rPr>
          <w:rFonts w:hint="default" w:ascii="Times New Roman" w:hAnsi="Times New Roman" w:eastAsia="方正仿宋_GBK" w:cs="Times New Roman"/>
          <w:color w:val="auto"/>
          <w:sz w:val="32"/>
          <w:highlight w:val="none"/>
        </w:rPr>
        <w:t>承担提出改善我县投资环境的政策措施的建议，协调处理全县境内外投资商投诉的事务性工作；受理客商投诉事项，建立健全客商投诉受理平台；承担营销全县整体经济形象，宣传招商引资政策和投资发展环境等事务性工作。</w:t>
      </w:r>
    </w:p>
    <w:p>
      <w:pPr>
        <w:pStyle w:val="16"/>
        <w:keepNext w:val="0"/>
        <w:keepLines w:val="0"/>
        <w:pageBreakBefore w:val="0"/>
        <w:widowControl w:val="0"/>
        <w:tabs>
          <w:tab w:val="center" w:pos="4153"/>
          <w:tab w:val="left" w:pos="7275"/>
        </w:tabs>
        <w:kinsoku/>
        <w:wordWrap/>
        <w:overflowPunct/>
        <w:topLinePunct w:val="0"/>
        <w:autoSpaceDE/>
        <w:autoSpaceDN/>
        <w:bidi w:val="0"/>
        <w:adjustRightInd/>
        <w:snapToGrid/>
        <w:spacing w:line="550" w:lineRule="exact"/>
        <w:ind w:left="0" w:firstLine="640" w:firstLineChars="200"/>
        <w:jc w:val="both"/>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lang w:val="en-US" w:eastAsia="zh-CN"/>
        </w:rPr>
        <w:t>3.</w:t>
      </w:r>
      <w:r>
        <w:rPr>
          <w:rFonts w:hint="default" w:ascii="Times New Roman" w:hAnsi="Times New Roman" w:eastAsia="方正仿宋_GBK" w:cs="Times New Roman"/>
          <w:color w:val="auto"/>
          <w:sz w:val="32"/>
          <w:highlight w:val="none"/>
        </w:rPr>
        <w:t>承担建设和管理全县招商信息网，发布招商引资信息，搭建招商引资平台；承担全县招商引资有关数据的统计、分析和编报的事务性工作。</w:t>
      </w:r>
    </w:p>
    <w:p>
      <w:pPr>
        <w:pStyle w:val="16"/>
        <w:keepNext w:val="0"/>
        <w:keepLines w:val="0"/>
        <w:pageBreakBefore w:val="0"/>
        <w:widowControl w:val="0"/>
        <w:tabs>
          <w:tab w:val="center" w:pos="4153"/>
          <w:tab w:val="left" w:pos="7275"/>
        </w:tabs>
        <w:kinsoku/>
        <w:wordWrap/>
        <w:overflowPunct/>
        <w:topLinePunct w:val="0"/>
        <w:autoSpaceDE/>
        <w:autoSpaceDN/>
        <w:bidi w:val="0"/>
        <w:adjustRightInd/>
        <w:snapToGrid/>
        <w:spacing w:line="550" w:lineRule="exact"/>
        <w:ind w:left="0" w:firstLine="640" w:firstLineChars="200"/>
        <w:jc w:val="both"/>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lang w:val="en-US" w:eastAsia="zh-CN"/>
        </w:rPr>
        <w:t>4.</w:t>
      </w:r>
      <w:r>
        <w:rPr>
          <w:rFonts w:hint="default" w:ascii="Times New Roman" w:hAnsi="Times New Roman" w:eastAsia="方正仿宋_GBK" w:cs="Times New Roman"/>
          <w:color w:val="auto"/>
          <w:sz w:val="32"/>
          <w:highlight w:val="none"/>
        </w:rPr>
        <w:t>承担对投资者提供咨询及信息引导等综合服务，综合协调重大招商项目的组织实施；承担外地在本县设立办事机构的服务工作。</w:t>
      </w:r>
    </w:p>
    <w:p>
      <w:pPr>
        <w:pStyle w:val="16"/>
        <w:keepNext w:val="0"/>
        <w:keepLines w:val="0"/>
        <w:pageBreakBefore w:val="0"/>
        <w:widowControl w:val="0"/>
        <w:tabs>
          <w:tab w:val="center" w:pos="4153"/>
          <w:tab w:val="left" w:pos="7275"/>
        </w:tabs>
        <w:kinsoku/>
        <w:wordWrap/>
        <w:overflowPunct/>
        <w:topLinePunct w:val="0"/>
        <w:autoSpaceDE/>
        <w:autoSpaceDN/>
        <w:bidi w:val="0"/>
        <w:adjustRightInd/>
        <w:snapToGrid/>
        <w:spacing w:line="550" w:lineRule="exact"/>
        <w:ind w:left="0" w:firstLine="640" w:firstLineChars="200"/>
        <w:jc w:val="both"/>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lang w:val="en-US" w:eastAsia="zh-CN"/>
        </w:rPr>
        <w:t>5.</w:t>
      </w:r>
      <w:r>
        <w:rPr>
          <w:rFonts w:hint="default" w:ascii="Times New Roman" w:hAnsi="Times New Roman" w:eastAsia="方正仿宋_GBK" w:cs="Times New Roman"/>
          <w:color w:val="auto"/>
          <w:sz w:val="32"/>
          <w:highlight w:val="none"/>
        </w:rPr>
        <w:t>为新技术、新产品和新工艺进行推广与人员培训提供支撑服务；承担科技项目包装与申报，企业诊断，科技型企业孵化的事务性工作；承担组织企业与高等院校、科研院所的交流与合作，构建产业技术创新战略联盟的事务性工作；为科技投融资、产权交易、对外合作、人才引进等提供支撑服务。</w:t>
      </w:r>
    </w:p>
    <w:p>
      <w:pPr>
        <w:pStyle w:val="16"/>
        <w:keepNext w:val="0"/>
        <w:keepLines w:val="0"/>
        <w:pageBreakBefore w:val="0"/>
        <w:widowControl w:val="0"/>
        <w:tabs>
          <w:tab w:val="center" w:pos="4153"/>
          <w:tab w:val="left" w:pos="7275"/>
        </w:tabs>
        <w:kinsoku/>
        <w:wordWrap/>
        <w:overflowPunct/>
        <w:topLinePunct w:val="0"/>
        <w:autoSpaceDE/>
        <w:autoSpaceDN/>
        <w:bidi w:val="0"/>
        <w:adjustRightInd/>
        <w:snapToGrid/>
        <w:spacing w:line="550" w:lineRule="exact"/>
        <w:ind w:left="0" w:firstLine="640" w:firstLineChars="200"/>
        <w:jc w:val="both"/>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lang w:val="en-US" w:eastAsia="zh-CN"/>
        </w:rPr>
        <w:t>6.</w:t>
      </w:r>
      <w:r>
        <w:rPr>
          <w:rFonts w:hint="default" w:ascii="Times New Roman" w:hAnsi="Times New Roman" w:eastAsia="方正仿宋_GBK" w:cs="Times New Roman"/>
          <w:color w:val="auto"/>
          <w:sz w:val="32"/>
          <w:highlight w:val="none"/>
        </w:rPr>
        <w:t>完成主管部门交办的其他工作。</w:t>
      </w:r>
    </w:p>
    <w:p>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jc w:val="both"/>
        <w:textAlignment w:val="auto"/>
        <w:rPr>
          <w:rFonts w:hint="default" w:ascii="Times New Roman" w:hAnsi="Times New Roman" w:eastAsia="方正楷体_GBK" w:cs="Times New Roman"/>
          <w:color w:val="auto"/>
          <w:sz w:val="32"/>
          <w:highlight w:val="none"/>
          <w:lang w:val="en-US" w:eastAsia="zh-CN"/>
        </w:rPr>
      </w:pPr>
      <w:r>
        <w:rPr>
          <w:rFonts w:hint="default" w:ascii="Times New Roman" w:hAnsi="Times New Roman" w:eastAsia="方正楷体_GBK" w:cs="Times New Roman"/>
          <w:color w:val="auto"/>
          <w:sz w:val="32"/>
          <w:highlight w:val="none"/>
        </w:rPr>
        <w:t>（二）</w:t>
      </w:r>
      <w:r>
        <w:rPr>
          <w:rFonts w:hint="default" w:ascii="Times New Roman" w:hAnsi="Times New Roman" w:eastAsia="方正楷体_GBK" w:cs="Times New Roman"/>
          <w:color w:val="auto"/>
          <w:sz w:val="32"/>
          <w:highlight w:val="none"/>
          <w:lang w:eastAsia="zh-CN"/>
        </w:rPr>
        <w:t>机构设置</w:t>
      </w:r>
    </w:p>
    <w:p>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jc w:val="both"/>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rPr>
        <w:t>城口县招商投资促进中心（挂城口县生产力促进中心牌子），为县经济信息委所属公益一类事业单位，机构规格为正科级</w:t>
      </w: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lang w:val="en-US" w:eastAsia="zh-CN"/>
        </w:rPr>
        <w:t>设事业编制10名，领导职数2名。</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50" w:lineRule="exact"/>
        <w:ind w:firstLine="640" w:firstLineChars="200"/>
        <w:jc w:val="both"/>
        <w:textAlignment w:val="auto"/>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二、部门决算收支情况说明</w:t>
      </w:r>
    </w:p>
    <w:p>
      <w:pPr>
        <w:pStyle w:val="11"/>
        <w:keepNext w:val="0"/>
        <w:keepLines w:val="0"/>
        <w:pageBreakBefore w:val="0"/>
        <w:widowControl/>
        <w:kinsoku/>
        <w:wordWrap/>
        <w:overflowPunct/>
        <w:topLinePunct w:val="0"/>
        <w:autoSpaceDE w:val="0"/>
        <w:autoSpaceDN/>
        <w:bidi w:val="0"/>
        <w:adjustRightInd/>
        <w:snapToGrid/>
        <w:spacing w:line="550" w:lineRule="exact"/>
        <w:ind w:firstLine="640" w:firstLineChars="200"/>
        <w:jc w:val="both"/>
        <w:textAlignment w:val="auto"/>
        <w:rPr>
          <w:rFonts w:hint="default" w:ascii="Times New Roman" w:hAnsi="Times New Roman" w:eastAsia="方正楷体_GBK" w:cs="Times New Roman"/>
          <w:color w:val="auto"/>
          <w:sz w:val="32"/>
          <w:szCs w:val="24"/>
          <w:highlight w:val="none"/>
          <w:lang w:val="en-US" w:eastAsia="zh-CN" w:bidi="ar-SA"/>
        </w:rPr>
      </w:pPr>
      <w:r>
        <w:rPr>
          <w:rFonts w:hint="default" w:ascii="Times New Roman" w:hAnsi="Times New Roman" w:eastAsia="方正楷体_GBK" w:cs="Times New Roman"/>
          <w:color w:val="auto"/>
          <w:sz w:val="32"/>
          <w:szCs w:val="24"/>
          <w:highlight w:val="none"/>
          <w:lang w:val="en-US" w:eastAsia="zh-CN" w:bidi="ar-SA"/>
        </w:rPr>
        <w:t>（一）收入支出决算总体情况说明</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2024年度收</w:t>
      </w:r>
      <w:r>
        <w:rPr>
          <w:rFonts w:hint="default" w:ascii="Times New Roman" w:hAnsi="Times New Roman" w:eastAsia="方正仿宋_GBK" w:cs="Times New Roman"/>
          <w:color w:val="auto"/>
          <w:sz w:val="32"/>
          <w:szCs w:val="32"/>
          <w:highlight w:val="none"/>
          <w:shd w:val="clear" w:color="auto" w:fill="FFFFFF"/>
          <w:lang w:eastAsia="zh-CN"/>
        </w:rPr>
        <w:t>、支</w:t>
      </w:r>
      <w:r>
        <w:rPr>
          <w:rFonts w:hint="default" w:ascii="Times New Roman" w:hAnsi="Times New Roman" w:eastAsia="方正仿宋_GBK" w:cs="Times New Roman"/>
          <w:color w:val="auto"/>
          <w:sz w:val="32"/>
          <w:szCs w:val="32"/>
          <w:highlight w:val="none"/>
          <w:shd w:val="clear" w:color="auto" w:fill="FFFFFF"/>
        </w:rPr>
        <w:t>总计</w:t>
      </w:r>
      <w:r>
        <w:rPr>
          <w:rFonts w:hint="default" w:ascii="Times New Roman" w:hAnsi="Times New Roman" w:eastAsia="方正仿宋_GBK" w:cs="Times New Roman"/>
          <w:color w:val="auto"/>
          <w:sz w:val="32"/>
          <w:szCs w:val="32"/>
          <w:highlight w:val="none"/>
          <w:shd w:val="clear" w:color="auto" w:fill="FFFFFF"/>
          <w:lang w:eastAsia="zh-CN"/>
        </w:rPr>
        <w:t>均为</w:t>
      </w:r>
      <w:r>
        <w:rPr>
          <w:rFonts w:hint="default" w:ascii="Times New Roman" w:hAnsi="Times New Roman" w:eastAsia="方正仿宋_GBK" w:cs="Times New Roman"/>
          <w:color w:val="auto"/>
          <w:sz w:val="32"/>
          <w:szCs w:val="32"/>
          <w:highlight w:val="none"/>
          <w:shd w:val="clear" w:color="auto" w:fill="FFFFFF"/>
        </w:rPr>
        <w:t>72.48万元。收、支与2023年度相比，增加72.48万元，增长100.0%，主要原因是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8"/>
          <w:rFonts w:hint="default" w:ascii="Times New Roman" w:hAnsi="Times New Roman" w:eastAsia="方正仿宋_GBK" w:cs="Times New Roman"/>
          <w:color w:val="auto"/>
          <w:sz w:val="32"/>
          <w:szCs w:val="32"/>
          <w:highlight w:val="none"/>
          <w:shd w:val="clear" w:color="auto" w:fill="FFFFFF"/>
          <w:lang w:val="en-US" w:eastAsia="zh-CN"/>
        </w:rPr>
        <w:t>1</w:t>
      </w:r>
      <w:r>
        <w:rPr>
          <w:rStyle w:val="8"/>
          <w:rFonts w:hint="default" w:ascii="Times New Roman" w:hAnsi="Times New Roman" w:eastAsia="方正仿宋_GBK" w:cs="Times New Roman"/>
          <w:color w:val="auto"/>
          <w:sz w:val="32"/>
          <w:szCs w:val="32"/>
          <w:highlight w:val="none"/>
          <w:shd w:val="clear" w:color="auto" w:fill="FFFFFF"/>
        </w:rPr>
        <w:t>.收入情况。</w:t>
      </w:r>
      <w:r>
        <w:rPr>
          <w:rFonts w:hint="default" w:ascii="Times New Roman" w:hAnsi="Times New Roman" w:eastAsia="方正仿宋_GBK" w:cs="Times New Roman"/>
          <w:color w:val="auto"/>
          <w:sz w:val="32"/>
          <w:szCs w:val="32"/>
          <w:highlight w:val="none"/>
          <w:shd w:val="clear" w:color="auto" w:fill="FFFFFF"/>
        </w:rPr>
        <w:t>2024年度收入合计72.48万元，与2023年度相比，增加72.48万元，增长100.0%，主要原因是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r>
        <w:rPr>
          <w:rFonts w:hint="default" w:ascii="Times New Roman" w:hAnsi="Times New Roman" w:eastAsia="方正仿宋_GBK" w:cs="Times New Roman"/>
          <w:color w:val="auto"/>
          <w:sz w:val="32"/>
          <w:szCs w:val="32"/>
          <w:highlight w:val="none"/>
          <w:shd w:val="clear" w:color="auto" w:fill="FFFFFF"/>
        </w:rPr>
        <w:t>其中：财政拨款收入72.48万元，占100.0%；事业收入0.00万元，占0.0%；经营收入0.00万元，占0.0%；其他收入0.00万元，占0.0%。此外，使用非财政拨款结余（含专用结余）0.00万元，年初结转和结余0.00万元。</w:t>
      </w:r>
    </w:p>
    <w:p>
      <w:pPr>
        <w:pStyle w:val="6"/>
        <w:keepNext w:val="0"/>
        <w:keepLines w:val="0"/>
        <w:pageBreakBefore w:val="0"/>
        <w:kinsoku/>
        <w:wordWrap/>
        <w:overflowPunct/>
        <w:topLinePunct w:val="0"/>
        <w:autoSpaceDN/>
        <w:bidi w:val="0"/>
        <w:adjustRightInd/>
        <w:snapToGrid w:val="0"/>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8"/>
          <w:rFonts w:hint="default" w:ascii="Times New Roman" w:hAnsi="Times New Roman" w:eastAsia="方正仿宋_GBK" w:cs="Times New Roman"/>
          <w:color w:val="auto"/>
          <w:sz w:val="32"/>
          <w:szCs w:val="32"/>
          <w:highlight w:val="none"/>
          <w:shd w:val="clear" w:color="auto" w:fill="FFFFFF"/>
          <w:lang w:val="en-US" w:eastAsia="zh-CN"/>
        </w:rPr>
        <w:t>2</w:t>
      </w:r>
      <w:r>
        <w:rPr>
          <w:rStyle w:val="8"/>
          <w:rFonts w:hint="default" w:ascii="Times New Roman" w:hAnsi="Times New Roman" w:eastAsia="方正仿宋_GBK" w:cs="Times New Roman"/>
          <w:color w:val="auto"/>
          <w:sz w:val="32"/>
          <w:szCs w:val="32"/>
          <w:highlight w:val="none"/>
          <w:shd w:val="clear" w:color="auto" w:fill="FFFFFF"/>
        </w:rPr>
        <w:t>.支出情况。</w:t>
      </w:r>
      <w:r>
        <w:rPr>
          <w:rFonts w:hint="default" w:ascii="Times New Roman" w:hAnsi="Times New Roman" w:eastAsia="方正仿宋_GBK" w:cs="Times New Roman"/>
          <w:color w:val="auto"/>
          <w:sz w:val="32"/>
          <w:szCs w:val="32"/>
          <w:highlight w:val="none"/>
          <w:shd w:val="clear" w:color="auto" w:fill="FFFFFF"/>
        </w:rPr>
        <w:t>2024年度支出合计72.48万元，与2023年度相比，增加72.48万元，增长100.0%，主要原因是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r>
        <w:rPr>
          <w:rFonts w:hint="default" w:ascii="Times New Roman" w:hAnsi="Times New Roman" w:eastAsia="方正仿宋_GBK" w:cs="Times New Roman"/>
          <w:color w:val="auto"/>
          <w:sz w:val="32"/>
          <w:szCs w:val="32"/>
          <w:highlight w:val="none"/>
          <w:shd w:val="clear" w:color="auto" w:fill="FFFFFF"/>
        </w:rPr>
        <w:t>其中：基本支出72.48万元，占100.0%；项目支出0.00万元，占0.0%；经营支出</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万元，占0.0%。此外，结余分配0.00万元。</w:t>
      </w:r>
    </w:p>
    <w:p>
      <w:pPr>
        <w:pStyle w:val="6"/>
        <w:keepNext w:val="0"/>
        <w:keepLines w:val="0"/>
        <w:pageBreakBefore w:val="0"/>
        <w:kinsoku/>
        <w:wordWrap/>
        <w:overflowPunct/>
        <w:topLinePunct w:val="0"/>
        <w:autoSpaceDN/>
        <w:bidi w:val="0"/>
        <w:adjustRightInd/>
        <w:snapToGrid w:val="0"/>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仿宋_GBK" w:cs="Times New Roman"/>
          <w:color w:val="auto"/>
          <w:sz w:val="32"/>
          <w:szCs w:val="32"/>
          <w:highlight w:val="none"/>
          <w:shd w:val="clear" w:color="auto" w:fill="FFFFFF"/>
          <w:lang w:val="en-US" w:eastAsia="zh-CN"/>
        </w:rPr>
        <w:t>3</w:t>
      </w:r>
      <w:r>
        <w:rPr>
          <w:rStyle w:val="8"/>
          <w:rFonts w:hint="default" w:ascii="Times New Roman" w:hAnsi="Times New Roman" w:eastAsia="方正仿宋_GBK" w:cs="Times New Roman"/>
          <w:color w:val="auto"/>
          <w:sz w:val="32"/>
          <w:szCs w:val="32"/>
          <w:highlight w:val="none"/>
          <w:shd w:val="clear" w:color="auto" w:fill="FFFFFF"/>
        </w:rPr>
        <w:t>.结转结余情况。</w:t>
      </w:r>
      <w:r>
        <w:rPr>
          <w:rFonts w:hint="default" w:ascii="Times New Roman" w:hAnsi="Times New Roman" w:eastAsia="方正仿宋_GBK" w:cs="Times New Roman"/>
          <w:color w:val="auto"/>
          <w:sz w:val="32"/>
          <w:szCs w:val="32"/>
          <w:highlight w:val="none"/>
          <w:shd w:val="clear" w:color="auto" w:fill="FFFFFF"/>
        </w:rPr>
        <w:t>2024年度年末结转和结余0.00万元，与2023年度相比，无增减。</w:t>
      </w:r>
    </w:p>
    <w:p>
      <w:pPr>
        <w:pStyle w:val="11"/>
        <w:keepNext w:val="0"/>
        <w:keepLines w:val="0"/>
        <w:pageBreakBefore w:val="0"/>
        <w:widowControl/>
        <w:kinsoku/>
        <w:wordWrap/>
        <w:overflowPunct/>
        <w:topLinePunct w:val="0"/>
        <w:autoSpaceDE w:val="0"/>
        <w:autoSpaceDN/>
        <w:bidi w:val="0"/>
        <w:adjustRightInd/>
        <w:snapToGrid/>
        <w:spacing w:line="550" w:lineRule="exact"/>
        <w:ind w:firstLine="640" w:firstLineChars="200"/>
        <w:jc w:val="both"/>
        <w:textAlignment w:val="auto"/>
        <w:rPr>
          <w:rFonts w:hint="default" w:ascii="Times New Roman" w:hAnsi="Times New Roman" w:eastAsia="方正楷体_GBK" w:cs="Times New Roman"/>
          <w:color w:val="auto"/>
          <w:sz w:val="32"/>
          <w:szCs w:val="24"/>
          <w:highlight w:val="none"/>
          <w:lang w:val="en-US" w:eastAsia="zh-CN" w:bidi="ar-SA"/>
        </w:rPr>
      </w:pPr>
      <w:r>
        <w:rPr>
          <w:rFonts w:hint="default" w:ascii="Times New Roman" w:hAnsi="Times New Roman" w:eastAsia="方正楷体_GBK" w:cs="Times New Roman"/>
          <w:color w:val="auto"/>
          <w:sz w:val="32"/>
          <w:szCs w:val="24"/>
          <w:highlight w:val="none"/>
          <w:lang w:val="en-US" w:eastAsia="zh-CN" w:bidi="ar-SA"/>
        </w:rPr>
        <w:t>（二）财政拨款收入支出决算总体情况说明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2024年度财政拨款收、支总计均为72.48万元。与2023年</w:t>
      </w:r>
      <w:r>
        <w:rPr>
          <w:rFonts w:hint="default" w:ascii="Times New Roman" w:hAnsi="Times New Roman" w:eastAsia="方正仿宋_GBK" w:cs="Times New Roman"/>
          <w:color w:val="auto"/>
          <w:sz w:val="32"/>
          <w:szCs w:val="32"/>
          <w:highlight w:val="none"/>
          <w:shd w:val="clear" w:color="auto" w:fill="FFFFFF"/>
          <w:lang w:eastAsia="zh-CN"/>
        </w:rPr>
        <w:t>度</w:t>
      </w:r>
      <w:r>
        <w:rPr>
          <w:rFonts w:hint="default" w:ascii="Times New Roman" w:hAnsi="Times New Roman" w:eastAsia="方正仿宋_GBK" w:cs="Times New Roman"/>
          <w:color w:val="auto"/>
          <w:sz w:val="32"/>
          <w:szCs w:val="32"/>
          <w:highlight w:val="none"/>
          <w:shd w:val="clear" w:color="auto" w:fill="FFFFFF"/>
        </w:rPr>
        <w:t>相比，财政拨款收、支总计各增加72.48万元，增长100.0%。主要原因是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p>
    <w:p>
      <w:pPr>
        <w:pStyle w:val="11"/>
        <w:keepNext w:val="0"/>
        <w:keepLines w:val="0"/>
        <w:pageBreakBefore w:val="0"/>
        <w:widowControl/>
        <w:kinsoku/>
        <w:wordWrap/>
        <w:overflowPunct/>
        <w:topLinePunct w:val="0"/>
        <w:autoSpaceDE w:val="0"/>
        <w:autoSpaceDN/>
        <w:bidi w:val="0"/>
        <w:adjustRightInd/>
        <w:snapToGrid/>
        <w:spacing w:line="550" w:lineRule="exact"/>
        <w:ind w:firstLine="640" w:firstLineChars="200"/>
        <w:jc w:val="both"/>
        <w:textAlignment w:val="auto"/>
        <w:rPr>
          <w:rFonts w:hint="default" w:ascii="Times New Roman" w:hAnsi="Times New Roman" w:eastAsia="方正楷体_GBK" w:cs="Times New Roman"/>
          <w:color w:val="auto"/>
          <w:sz w:val="32"/>
          <w:szCs w:val="24"/>
          <w:highlight w:val="none"/>
          <w:lang w:val="en-US" w:eastAsia="zh-CN" w:bidi="ar-SA"/>
        </w:rPr>
      </w:pPr>
      <w:r>
        <w:rPr>
          <w:rFonts w:hint="default" w:ascii="Times New Roman" w:hAnsi="Times New Roman" w:eastAsia="方正楷体_GBK" w:cs="Times New Roman"/>
          <w:color w:val="auto"/>
          <w:sz w:val="32"/>
          <w:szCs w:val="24"/>
          <w:highlight w:val="none"/>
          <w:lang w:val="en-US" w:eastAsia="zh-CN" w:bidi="ar-SA"/>
        </w:rPr>
        <w:t>（三）一般公共预算财政拨款收入支出决算情况说明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仿宋_GBK" w:cs="Times New Roman"/>
          <w:color w:val="auto"/>
          <w:sz w:val="32"/>
          <w:szCs w:val="32"/>
          <w:highlight w:val="none"/>
          <w:shd w:val="clear" w:color="auto" w:fill="FFFFFF"/>
        </w:rPr>
        <w:t>1.收入情况。</w:t>
      </w:r>
      <w:r>
        <w:rPr>
          <w:rFonts w:hint="default" w:ascii="Times New Roman" w:hAnsi="Times New Roman" w:eastAsia="方正仿宋_GBK" w:cs="Times New Roman"/>
          <w:color w:val="auto"/>
          <w:sz w:val="32"/>
          <w:szCs w:val="32"/>
          <w:highlight w:val="none"/>
          <w:shd w:val="clear" w:color="auto" w:fill="FFFFFF"/>
        </w:rPr>
        <w:t>2024年度一般公共预算财政拨款收入72.48万元，与2023年度相比，增加72.48万元，增长100.0%。主要原因是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r>
        <w:rPr>
          <w:rFonts w:hint="default" w:ascii="Times New Roman" w:hAnsi="Times New Roman" w:eastAsia="方正仿宋_GBK" w:cs="Times New Roman"/>
          <w:color w:val="auto"/>
          <w:sz w:val="32"/>
          <w:szCs w:val="32"/>
          <w:highlight w:val="none"/>
          <w:shd w:val="clear" w:color="auto" w:fill="FFFFFF"/>
        </w:rPr>
        <w:t>较年初预算数增加72.48万元，增长100.0%。主要原因是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r>
        <w:rPr>
          <w:rFonts w:hint="default" w:ascii="Times New Roman" w:hAnsi="Times New Roman" w:eastAsia="方正仿宋_GBK" w:cs="Times New Roman"/>
          <w:color w:val="auto"/>
          <w:sz w:val="32"/>
          <w:szCs w:val="32"/>
          <w:highlight w:val="none"/>
          <w:shd w:val="clear" w:color="auto" w:fill="FFFFFF"/>
        </w:rPr>
        <w:t>此外，年初财政拨款结转和结余0.00万元。</w:t>
      </w:r>
    </w:p>
    <w:p>
      <w:pPr>
        <w:pStyle w:val="6"/>
        <w:keepNext w:val="0"/>
        <w:keepLines w:val="0"/>
        <w:pageBreakBefore w:val="0"/>
        <w:kinsoku/>
        <w:wordWrap/>
        <w:overflowPunct/>
        <w:topLinePunct w:val="0"/>
        <w:autoSpaceDN/>
        <w:bidi w:val="0"/>
        <w:adjustRightInd/>
        <w:snapToGrid w:val="0"/>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8"/>
          <w:rFonts w:hint="default" w:ascii="Times New Roman" w:hAnsi="Times New Roman" w:eastAsia="方正仿宋_GBK" w:cs="Times New Roman"/>
          <w:color w:val="auto"/>
          <w:sz w:val="32"/>
          <w:szCs w:val="32"/>
          <w:highlight w:val="none"/>
          <w:shd w:val="clear" w:color="auto" w:fill="FFFFFF"/>
        </w:rPr>
        <w:t>2.支出情况。</w:t>
      </w:r>
      <w:r>
        <w:rPr>
          <w:rFonts w:hint="default" w:ascii="Times New Roman" w:hAnsi="Times New Roman" w:eastAsia="方正仿宋_GBK" w:cs="Times New Roman"/>
          <w:color w:val="auto"/>
          <w:sz w:val="32"/>
          <w:szCs w:val="32"/>
          <w:highlight w:val="none"/>
          <w:shd w:val="clear" w:color="auto" w:fill="FFFFFF"/>
        </w:rPr>
        <w:t>2024年度一般公共预算财政拨款支出72.48万元，与2023年度相比，增加72.48万元，增长100.0%。主要原因是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r>
        <w:rPr>
          <w:rFonts w:hint="default" w:ascii="Times New Roman" w:hAnsi="Times New Roman" w:eastAsia="方正仿宋_GBK" w:cs="Times New Roman"/>
          <w:color w:val="auto"/>
          <w:sz w:val="32"/>
          <w:szCs w:val="32"/>
          <w:highlight w:val="none"/>
          <w:shd w:val="clear" w:color="auto" w:fill="FFFFFF"/>
        </w:rPr>
        <w:t>较年初预算数增加72.48万元，增长100.0%。主要原因是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一般公共预算财政拨款支出主要</w:t>
      </w:r>
      <w:r>
        <w:rPr>
          <w:rFonts w:hint="default" w:ascii="Times New Roman" w:hAnsi="Times New Roman" w:eastAsia="方正仿宋_GBK" w:cs="Times New Roman"/>
          <w:color w:val="auto"/>
          <w:sz w:val="32"/>
          <w:szCs w:val="32"/>
          <w:highlight w:val="none"/>
          <w:shd w:val="clear" w:color="auto" w:fill="FFFFFF"/>
          <w:lang w:eastAsia="zh-CN"/>
        </w:rPr>
        <w:t>用途如下</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1</w:t>
      </w:r>
      <w:r>
        <w:rPr>
          <w:rFonts w:hint="default" w:ascii="Times New Roman" w:hAnsi="Times New Roman" w:eastAsia="方正仿宋_GBK" w:cs="Times New Roman"/>
          <w:color w:val="auto"/>
          <w:sz w:val="32"/>
          <w:szCs w:val="32"/>
          <w:highlight w:val="none"/>
          <w:shd w:val="clear" w:color="auto" w:fill="FFFFFF"/>
        </w:rPr>
        <w:t>）社会保障</w:t>
      </w:r>
      <w:r>
        <w:rPr>
          <w:rFonts w:hint="default" w:ascii="Times New Roman" w:hAnsi="Times New Roman" w:eastAsia="方正仿宋_GBK" w:cs="Times New Roman"/>
          <w:color w:val="auto"/>
          <w:sz w:val="32"/>
          <w:szCs w:val="32"/>
          <w:highlight w:val="none"/>
          <w:shd w:val="clear" w:color="auto" w:fill="FFFFFF"/>
          <w:lang w:eastAsia="zh-CN"/>
        </w:rPr>
        <w:t>和</w:t>
      </w:r>
      <w:r>
        <w:rPr>
          <w:rFonts w:hint="default" w:ascii="Times New Roman" w:hAnsi="Times New Roman" w:eastAsia="方正仿宋_GBK" w:cs="Times New Roman"/>
          <w:color w:val="auto"/>
          <w:sz w:val="32"/>
          <w:szCs w:val="32"/>
          <w:highlight w:val="none"/>
          <w:shd w:val="clear" w:color="auto" w:fill="FFFFFF"/>
        </w:rPr>
        <w:t>就业支出5.05万元，占7.0%，较年初预算数增加5.05万元，增长100.0%，主要原因是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p>
    <w:p>
      <w:pPr>
        <w:pStyle w:val="6"/>
        <w:keepNext w:val="0"/>
        <w:keepLines w:val="0"/>
        <w:pageBreakBefore w:val="0"/>
        <w:kinsoku/>
        <w:wordWrap/>
        <w:overflowPunct/>
        <w:topLinePunct w:val="0"/>
        <w:autoSpaceDN/>
        <w:bidi w:val="0"/>
        <w:adjustRightInd/>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2</w:t>
      </w:r>
      <w:r>
        <w:rPr>
          <w:rFonts w:hint="default" w:ascii="Times New Roman" w:hAnsi="Times New Roman" w:eastAsia="方正仿宋_GBK" w:cs="Times New Roman"/>
          <w:color w:val="auto"/>
          <w:sz w:val="32"/>
          <w:szCs w:val="32"/>
          <w:highlight w:val="none"/>
          <w:shd w:val="clear" w:color="auto" w:fill="FFFFFF"/>
        </w:rPr>
        <w:t>）卫生健康支出3.06万元，占4.2%，较年初预算数增加3.06万元，增长100.0%，主要原因是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p>
    <w:p>
      <w:pPr>
        <w:pStyle w:val="6"/>
        <w:keepNext w:val="0"/>
        <w:keepLines w:val="0"/>
        <w:pageBreakBefore w:val="0"/>
        <w:kinsoku/>
        <w:wordWrap/>
        <w:overflowPunct/>
        <w:topLinePunct w:val="0"/>
        <w:autoSpaceDN/>
        <w:bidi w:val="0"/>
        <w:adjustRightInd/>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shd w:val="clear" w:color="auto" w:fill="FFFFFF"/>
        </w:rPr>
        <w:t>）资源勘探信息等支出64.37万元，占88.8%，较年初预算数增加64.37万元，增长100.0%，主要原因是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p>
    <w:p>
      <w:pPr>
        <w:pStyle w:val="6"/>
        <w:keepNext w:val="0"/>
        <w:keepLines w:val="0"/>
        <w:pageBreakBefore w:val="0"/>
        <w:kinsoku/>
        <w:wordWrap/>
        <w:overflowPunct/>
        <w:topLinePunct w:val="0"/>
        <w:autoSpaceDN/>
        <w:bidi w:val="0"/>
        <w:adjustRightInd/>
        <w:snapToGrid w:val="0"/>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Style w:val="8"/>
          <w:rFonts w:hint="default" w:ascii="Times New Roman" w:hAnsi="Times New Roman" w:eastAsia="方正仿宋_GBK" w:cs="Times New Roman"/>
          <w:color w:val="auto"/>
          <w:sz w:val="32"/>
          <w:szCs w:val="32"/>
          <w:highlight w:val="none"/>
          <w:shd w:val="clear" w:color="auto" w:fill="FFFFFF"/>
        </w:rPr>
        <w:t>3.结转结余情况。</w:t>
      </w:r>
      <w:r>
        <w:rPr>
          <w:rFonts w:hint="default" w:ascii="Times New Roman" w:hAnsi="Times New Roman" w:eastAsia="方正仿宋_GBK" w:cs="Times New Roman"/>
          <w:color w:val="auto"/>
          <w:sz w:val="32"/>
          <w:szCs w:val="32"/>
          <w:highlight w:val="none"/>
          <w:shd w:val="clear" w:color="auto" w:fill="FFFFFF"/>
        </w:rPr>
        <w:t>2024年度年末一般公共预算财政拨款结转和结余0.00万元，与2023年度相比，无增减</w:t>
      </w:r>
      <w:r>
        <w:rPr>
          <w:rFonts w:hint="default" w:ascii="Times New Roman" w:hAnsi="Times New Roman" w:eastAsia="方正仿宋_GBK" w:cs="Times New Roman"/>
          <w:color w:val="auto"/>
          <w:sz w:val="32"/>
          <w:szCs w:val="32"/>
          <w:highlight w:val="none"/>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50" w:lineRule="exact"/>
        <w:ind w:firstLine="640" w:firstLineChars="200"/>
        <w:jc w:val="both"/>
        <w:textAlignment w:val="auto"/>
        <w:rPr>
          <w:rFonts w:hint="default" w:ascii="Times New Roman" w:hAnsi="Times New Roman" w:eastAsia="方正楷体_GBK" w:cs="Times New Roman"/>
          <w:color w:val="auto"/>
          <w:sz w:val="32"/>
          <w:szCs w:val="24"/>
          <w:highlight w:val="none"/>
          <w:lang w:val="en-US" w:eastAsia="zh-CN" w:bidi="ar-SA"/>
        </w:rPr>
      </w:pPr>
      <w:r>
        <w:rPr>
          <w:rFonts w:hint="default" w:ascii="Times New Roman" w:hAnsi="Times New Roman" w:eastAsia="方正楷体_GBK" w:cs="Times New Roman"/>
          <w:color w:val="auto"/>
          <w:sz w:val="32"/>
          <w:szCs w:val="24"/>
          <w:highlight w:val="none"/>
          <w:lang w:val="en-US" w:eastAsia="zh-CN" w:bidi="ar-SA"/>
        </w:rPr>
        <w:t>（四）一般公共预算财政拨款基本支出决算情况说明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2024年度一般公共财政拨款基本支出72.48万元。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其中：</w:t>
      </w:r>
    </w:p>
    <w:p>
      <w:pPr>
        <w:pStyle w:val="6"/>
        <w:keepNext w:val="0"/>
        <w:keepLines w:val="0"/>
        <w:pageBreakBefore w:val="0"/>
        <w:kinsoku/>
        <w:wordWrap/>
        <w:overflowPunct/>
        <w:topLinePunct w:val="0"/>
        <w:autoSpaceDN/>
        <w:bidi w:val="0"/>
        <w:adjustRightInd/>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人员经费72.48万元，与2023年度相比，增加72.48万元，增长100.0%，主要原因是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本年度本单位与机关分离进行独立核算。</w:t>
      </w:r>
      <w:r>
        <w:rPr>
          <w:rFonts w:hint="default" w:ascii="Times New Roman" w:hAnsi="Times New Roman" w:eastAsia="方正仿宋_GBK" w:cs="Times New Roman"/>
          <w:color w:val="auto"/>
          <w:sz w:val="32"/>
          <w:szCs w:val="32"/>
          <w:highlight w:val="none"/>
          <w:shd w:val="clear" w:color="auto" w:fill="FFFFFF"/>
        </w:rPr>
        <w:t>人员经费用途主要包括基本工资</w:t>
      </w:r>
      <w:r>
        <w:rPr>
          <w:rFonts w:hint="default" w:ascii="Times New Roman" w:hAnsi="Times New Roman" w:eastAsia="方正仿宋_GBK" w:cs="Times New Roman"/>
          <w:color w:val="auto"/>
          <w:sz w:val="32"/>
          <w:szCs w:val="32"/>
          <w:highlight w:val="none"/>
          <w:shd w:val="clear" w:color="auto" w:fill="FFFFFF"/>
          <w:lang w:eastAsia="zh-CN"/>
        </w:rPr>
        <w:t>、津贴补贴、绩效工资、社会保障缴费等各项费用支出</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公用经费0.00万元，与2023年度相比，无增减</w:t>
      </w:r>
      <w:r>
        <w:rPr>
          <w:rFonts w:hint="default" w:ascii="Times New Roman" w:hAnsi="Times New Roman" w:eastAsia="方正仿宋_GBK" w:cs="Times New Roman"/>
          <w:color w:val="auto"/>
          <w:sz w:val="32"/>
          <w:szCs w:val="32"/>
          <w:highlight w:val="none"/>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50" w:lineRule="exact"/>
        <w:ind w:firstLine="640" w:firstLineChars="200"/>
        <w:jc w:val="both"/>
        <w:textAlignment w:val="auto"/>
        <w:rPr>
          <w:rFonts w:hint="default" w:ascii="Times New Roman" w:hAnsi="Times New Roman" w:eastAsia="方正楷体_GBK" w:cs="Times New Roman"/>
          <w:color w:val="auto"/>
          <w:sz w:val="32"/>
          <w:szCs w:val="24"/>
          <w:highlight w:val="none"/>
          <w:lang w:val="en-US" w:eastAsia="zh-CN" w:bidi="ar-SA"/>
        </w:rPr>
      </w:pPr>
      <w:r>
        <w:rPr>
          <w:rFonts w:hint="default" w:ascii="Times New Roman" w:hAnsi="Times New Roman" w:eastAsia="方正楷体_GBK" w:cs="Times New Roman"/>
          <w:color w:val="auto"/>
          <w:sz w:val="32"/>
          <w:szCs w:val="24"/>
          <w:highlight w:val="none"/>
          <w:lang w:val="en-US" w:eastAsia="zh-CN" w:bidi="ar-SA"/>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本部门2024年度无政府性基金预算财政拨款收支。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50"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Fonts w:hint="default" w:ascii="Times New Roman" w:hAnsi="Times New Roman" w:eastAsia="方正楷体_GBK" w:cs="Times New Roman"/>
          <w:color w:val="auto"/>
          <w:sz w:val="32"/>
          <w:szCs w:val="24"/>
          <w:highlight w:val="none"/>
          <w:lang w:val="en-US" w:eastAsia="zh-CN" w:bidi="ar-SA"/>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本部门2024年度无国有资本经营预算财政拨款支出。</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50" w:lineRule="exact"/>
        <w:ind w:firstLine="640" w:firstLineChars="200"/>
        <w:jc w:val="both"/>
        <w:textAlignment w:val="auto"/>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三、财政拨款“三公”经费情况说明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Style w:val="8"/>
          <w:rFonts w:hint="default" w:ascii="Times New Roman" w:hAnsi="Times New Roman" w:eastAsia="方正楷体_GBK" w:cs="Times New Roman"/>
          <w:b w:val="0"/>
          <w:bCs/>
          <w:color w:val="auto"/>
          <w:sz w:val="32"/>
          <w:szCs w:val="32"/>
          <w:highlight w:val="none"/>
          <w:shd w:val="clear" w:color="auto" w:fill="FFFFFF"/>
        </w:rPr>
      </w:pPr>
      <w:r>
        <w:rPr>
          <w:rFonts w:hint="default" w:ascii="Times New Roman" w:hAnsi="Times New Roman" w:eastAsia="方正楷体_GBK" w:cs="Times New Roman"/>
          <w:color w:val="auto"/>
          <w:sz w:val="32"/>
          <w:szCs w:val="24"/>
          <w:highlight w:val="none"/>
          <w:lang w:val="en-US" w:eastAsia="zh-CN" w:bidi="ar-SA"/>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2024年度“三公”经费支出共计0.00万元，较年初预算数无增减。较上年支出数无增减。</w:t>
      </w:r>
    </w:p>
    <w:p>
      <w:pPr>
        <w:pStyle w:val="11"/>
        <w:keepNext w:val="0"/>
        <w:keepLines w:val="0"/>
        <w:pageBreakBefore w:val="0"/>
        <w:widowControl/>
        <w:kinsoku/>
        <w:wordWrap/>
        <w:overflowPunct/>
        <w:topLinePunct w:val="0"/>
        <w:autoSpaceDE w:val="0"/>
        <w:autoSpaceDN/>
        <w:bidi w:val="0"/>
        <w:adjustRightInd/>
        <w:snapToGrid/>
        <w:spacing w:line="550" w:lineRule="exact"/>
        <w:ind w:firstLine="640" w:firstLineChars="200"/>
        <w:jc w:val="both"/>
        <w:textAlignment w:val="auto"/>
        <w:rPr>
          <w:rFonts w:hint="default" w:ascii="Times New Roman" w:hAnsi="Times New Roman" w:eastAsia="方正楷体_GBK" w:cs="Times New Roman"/>
          <w:color w:val="auto"/>
          <w:sz w:val="32"/>
          <w:szCs w:val="24"/>
          <w:highlight w:val="none"/>
          <w:lang w:val="en-US" w:eastAsia="zh-CN" w:bidi="ar-SA"/>
        </w:rPr>
      </w:pPr>
      <w:r>
        <w:rPr>
          <w:rFonts w:hint="default" w:ascii="Times New Roman" w:hAnsi="Times New Roman" w:eastAsia="方正楷体_GBK" w:cs="Times New Roman"/>
          <w:color w:val="auto"/>
          <w:sz w:val="32"/>
          <w:szCs w:val="24"/>
          <w:highlight w:val="none"/>
          <w:lang w:val="en-US" w:eastAsia="zh-CN" w:bidi="ar-SA"/>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2024年度本部门因公出国（境）费用0.00万元。费用支出较年初预算数无增减。与2023年度相比，无增减。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车购置费0.00万元。费用支出较年初预算数无增减。与2023年度相比，无增减。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车运行维护费0.00万元。费用支出较年初预算数无增减。与2023年度相比，无增减。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公务接待费0.00万元。费用支出较年初预算数无增减，。较上年支出数无增减。</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楷体_GBK" w:cs="Times New Roman"/>
          <w:color w:val="auto"/>
          <w:sz w:val="32"/>
          <w:szCs w:val="24"/>
          <w:highlight w:val="none"/>
          <w:lang w:val="en-US" w:eastAsia="zh-CN" w:bidi="ar-SA"/>
        </w:rPr>
      </w:pPr>
      <w:r>
        <w:rPr>
          <w:rFonts w:hint="default" w:ascii="Times New Roman" w:hAnsi="Times New Roman" w:eastAsia="方正楷体_GBK" w:cs="Times New Roman"/>
          <w:color w:val="auto"/>
          <w:sz w:val="32"/>
          <w:szCs w:val="24"/>
          <w:highlight w:val="none"/>
          <w:lang w:val="en-US" w:eastAsia="zh-CN" w:bidi="ar-SA"/>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本部门因公出国（境）共计0个团组，0人；公务用车购置0辆，公务车保有量为0辆；国内公务接待0批次0人，其中：国内外事接待0批次，0人；国（境）外公务接待0批次，0人。2024年本部门人均接待费0元，车均购置费0万元，车均维护费0万元。</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50" w:lineRule="exact"/>
        <w:ind w:firstLine="640" w:firstLineChars="200"/>
        <w:jc w:val="both"/>
        <w:textAlignment w:val="auto"/>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楷体_GBK" w:cs="Times New Roman"/>
          <w:color w:val="auto"/>
          <w:sz w:val="32"/>
          <w:szCs w:val="24"/>
          <w:highlight w:val="none"/>
          <w:lang w:val="en-US" w:eastAsia="zh-CN" w:bidi="ar-SA"/>
        </w:rPr>
      </w:pPr>
      <w:r>
        <w:rPr>
          <w:rFonts w:hint="default" w:ascii="Times New Roman" w:hAnsi="Times New Roman" w:eastAsia="方正楷体_GBK" w:cs="Times New Roman"/>
          <w:color w:val="auto"/>
          <w:sz w:val="32"/>
          <w:szCs w:val="24"/>
          <w:highlight w:val="none"/>
          <w:lang w:val="en-US" w:eastAsia="zh-CN" w:bidi="ar-SA"/>
        </w:rPr>
        <w:t>（一）财政拨款会议费、培训费和差旅费情况说明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shd w:val="clear" w:color="auto" w:fill="FFFFFF"/>
        </w:rPr>
        <w:t>本年度会议费支出0.00万元，与2023年度相比，无增减。本年度培训费支出0.00万元，与2023年度相比，无变化。本年度差旅费支出0.00</w:t>
      </w:r>
      <w:r>
        <w:rPr>
          <w:rFonts w:hint="default" w:ascii="Times New Roman" w:hAnsi="Times New Roman" w:eastAsia="方正仿宋_GBK" w:cs="Times New Roman"/>
          <w:color w:val="auto"/>
          <w:sz w:val="32"/>
          <w:szCs w:val="32"/>
          <w:highlight w:val="none"/>
        </w:rPr>
        <w:t>万元，</w:t>
      </w:r>
      <w:r>
        <w:rPr>
          <w:rFonts w:hint="default" w:ascii="Times New Roman" w:hAnsi="Times New Roman" w:eastAsia="方正仿宋_GBK" w:cs="Times New Roman"/>
          <w:color w:val="auto"/>
          <w:sz w:val="32"/>
          <w:szCs w:val="32"/>
          <w:highlight w:val="none"/>
          <w:shd w:val="clear" w:color="auto" w:fill="FFFFFF"/>
        </w:rPr>
        <w:t>与2023年度相比，无变化</w:t>
      </w:r>
      <w:r>
        <w:rPr>
          <w:rFonts w:hint="default" w:ascii="Times New Roman" w:hAnsi="Times New Roman" w:eastAsia="方正仿宋_GBK" w:cs="Times New Roman"/>
          <w:color w:val="auto"/>
          <w:sz w:val="32"/>
          <w:szCs w:val="32"/>
          <w:highlight w:val="none"/>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50" w:lineRule="exact"/>
        <w:ind w:firstLine="640" w:firstLineChars="200"/>
        <w:jc w:val="both"/>
        <w:textAlignment w:val="auto"/>
        <w:rPr>
          <w:rFonts w:hint="default" w:ascii="Times New Roman" w:hAnsi="Times New Roman" w:eastAsia="方正楷体_GBK" w:cs="Times New Roman"/>
          <w:color w:val="auto"/>
          <w:sz w:val="32"/>
          <w:szCs w:val="24"/>
          <w:highlight w:val="none"/>
          <w:lang w:val="en-US" w:eastAsia="zh-CN" w:bidi="ar-SA"/>
        </w:rPr>
      </w:pPr>
      <w:r>
        <w:rPr>
          <w:rFonts w:hint="default" w:ascii="Times New Roman" w:hAnsi="Times New Roman" w:eastAsia="方正楷体_GBK" w:cs="Times New Roman"/>
          <w:color w:val="auto"/>
          <w:sz w:val="32"/>
          <w:szCs w:val="24"/>
          <w:highlight w:val="none"/>
          <w:lang w:val="en-US" w:eastAsia="zh-CN" w:bidi="ar-SA"/>
        </w:rPr>
        <w:t>（二）机关运行经费情况说明</w:t>
      </w:r>
    </w:p>
    <w:p>
      <w:pPr>
        <w:pStyle w:val="11"/>
        <w:keepNext w:val="0"/>
        <w:keepLines w:val="0"/>
        <w:pageBreakBefore w:val="0"/>
        <w:widowControl/>
        <w:kinsoku/>
        <w:wordWrap/>
        <w:overflowPunct/>
        <w:topLinePunct w:val="0"/>
        <w:autoSpaceDE w:val="0"/>
        <w:autoSpaceDN/>
        <w:bidi w:val="0"/>
        <w:adjustRightInd/>
        <w:snapToGrid/>
        <w:spacing w:line="55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按照部门决算列报口径，我</w:t>
      </w:r>
      <w:r>
        <w:rPr>
          <w:rFonts w:hint="default" w:ascii="Times New Roman" w:hAnsi="Times New Roman" w:eastAsia="方正仿宋_GBK" w:cs="Times New Roman"/>
          <w:color w:val="auto"/>
          <w:sz w:val="32"/>
          <w:szCs w:val="32"/>
          <w:highlight w:val="none"/>
          <w:shd w:val="clear" w:color="auto" w:fill="FFFFFF"/>
          <w:lang w:eastAsia="zh-CN"/>
        </w:rPr>
        <w:t>部门</w:t>
      </w:r>
      <w:r>
        <w:rPr>
          <w:rFonts w:hint="default" w:ascii="Times New Roman" w:hAnsi="Times New Roman" w:eastAsia="方正仿宋_GBK" w:cs="Times New Roman"/>
          <w:color w:val="auto"/>
          <w:sz w:val="32"/>
          <w:szCs w:val="32"/>
          <w:highlight w:val="none"/>
          <w:shd w:val="clear" w:color="auto" w:fill="FFFFFF"/>
        </w:rPr>
        <w:t>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550" w:lineRule="exact"/>
        <w:ind w:firstLine="640" w:firstLineChars="200"/>
        <w:jc w:val="both"/>
        <w:textAlignment w:val="auto"/>
        <w:rPr>
          <w:rFonts w:hint="default" w:ascii="Times New Roman" w:hAnsi="Times New Roman" w:eastAsia="方正楷体_GBK" w:cs="Times New Roman"/>
          <w:color w:val="auto"/>
          <w:sz w:val="32"/>
          <w:szCs w:val="24"/>
          <w:highlight w:val="none"/>
          <w:lang w:val="en-US" w:eastAsia="zh-CN" w:bidi="ar-SA"/>
        </w:rPr>
      </w:pPr>
      <w:r>
        <w:rPr>
          <w:rFonts w:hint="default" w:ascii="Times New Roman" w:hAnsi="Times New Roman" w:eastAsia="方正楷体_GBK" w:cs="Times New Roman"/>
          <w:color w:val="auto"/>
          <w:sz w:val="32"/>
          <w:szCs w:val="24"/>
          <w:highlight w:val="none"/>
          <w:lang w:val="en-US" w:eastAsia="zh-CN" w:bidi="ar-SA"/>
        </w:rPr>
        <w:t>（三）国有资产占用情况说明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截至2024年12月31日，本部门共有车辆0辆，其中，副部（省）级及以上领导用车0辆、主要负责人用车0辆、机要通信用车0辆、应急保障用车0辆、执法执勤用车0辆，特种专业技术用车0辆，离退休干部用车0辆。单价100万元（含）以上专用设备0台（套）。</w:t>
      </w:r>
    </w:p>
    <w:p>
      <w:pPr>
        <w:pStyle w:val="11"/>
        <w:keepNext w:val="0"/>
        <w:keepLines w:val="0"/>
        <w:pageBreakBefore w:val="0"/>
        <w:widowControl/>
        <w:kinsoku/>
        <w:wordWrap/>
        <w:overflowPunct/>
        <w:topLinePunct w:val="0"/>
        <w:autoSpaceDE w:val="0"/>
        <w:autoSpaceDN/>
        <w:bidi w:val="0"/>
        <w:adjustRightInd/>
        <w:snapToGrid/>
        <w:spacing w:line="550" w:lineRule="exact"/>
        <w:ind w:firstLine="640" w:firstLineChars="200"/>
        <w:jc w:val="both"/>
        <w:textAlignment w:val="auto"/>
        <w:rPr>
          <w:rFonts w:hint="default" w:ascii="Times New Roman" w:hAnsi="Times New Roman" w:eastAsia="方正楷体_GBK" w:cs="Times New Roman"/>
          <w:color w:val="auto"/>
          <w:sz w:val="32"/>
          <w:szCs w:val="24"/>
          <w:highlight w:val="none"/>
          <w:lang w:val="en-US" w:eastAsia="zh-CN" w:bidi="ar-SA"/>
        </w:rPr>
      </w:pPr>
      <w:r>
        <w:rPr>
          <w:rFonts w:hint="default" w:ascii="Times New Roman" w:hAnsi="Times New Roman" w:eastAsia="方正楷体_GBK" w:cs="Times New Roman"/>
          <w:color w:val="auto"/>
          <w:sz w:val="32"/>
          <w:szCs w:val="24"/>
          <w:highlight w:val="none"/>
          <w:lang w:val="en-US" w:eastAsia="zh-CN" w:bidi="ar-SA"/>
        </w:rPr>
        <w:t>（四）政府采购支出情况说明</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bCs/>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2024年度我部门未发生政府采购事项，无相关经费支出</w:t>
      </w:r>
      <w:r>
        <w:rPr>
          <w:rFonts w:hint="default" w:ascii="Times New Roman" w:hAnsi="Times New Roman" w:eastAsia="方正仿宋_GBK" w:cs="Times New Roman"/>
          <w:color w:val="auto"/>
          <w:sz w:val="32"/>
          <w:szCs w:val="32"/>
          <w:highlight w:val="none"/>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50" w:lineRule="exact"/>
        <w:ind w:firstLine="640" w:firstLineChars="200"/>
        <w:jc w:val="both"/>
        <w:textAlignment w:val="auto"/>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楷体_GBK" w:cs="Times New Roman"/>
          <w:color w:val="auto"/>
          <w:sz w:val="32"/>
          <w:szCs w:val="24"/>
          <w:highlight w:val="none"/>
          <w:lang w:val="en-US" w:eastAsia="zh-CN" w:bidi="ar-SA"/>
        </w:rPr>
      </w:pPr>
      <w:r>
        <w:rPr>
          <w:rFonts w:hint="default" w:ascii="Times New Roman" w:hAnsi="Times New Roman" w:eastAsia="方正楷体_GBK" w:cs="Times New Roman"/>
          <w:color w:val="auto"/>
          <w:sz w:val="32"/>
          <w:szCs w:val="24"/>
          <w:highlight w:val="none"/>
          <w:lang w:val="en-US" w:eastAsia="zh-CN" w:bidi="ar-SA"/>
        </w:rPr>
        <w:t>（一）单位自评情况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shd w:val="clear" w:fill="FFFFFF"/>
        </w:rPr>
      </w:pPr>
      <w:r>
        <w:rPr>
          <w:rFonts w:hint="default" w:ascii="Times New Roman" w:hAnsi="Times New Roman" w:eastAsia="方正仿宋_GBK" w:cs="Times New Roman"/>
          <w:color w:val="auto"/>
          <w:kern w:val="0"/>
          <w:sz w:val="32"/>
          <w:szCs w:val="32"/>
          <w:highlight w:val="none"/>
          <w:shd w:val="clear" w:fill="FFFFFF"/>
        </w:rPr>
        <w:t>根据预算绩效管理要求，我单位对</w:t>
      </w:r>
      <w:r>
        <w:rPr>
          <w:rFonts w:hint="default" w:ascii="Times New Roman" w:hAnsi="Times New Roman" w:eastAsia="方正仿宋_GBK" w:cs="Times New Roman"/>
          <w:color w:val="auto"/>
          <w:kern w:val="0"/>
          <w:sz w:val="32"/>
          <w:szCs w:val="32"/>
          <w:highlight w:val="none"/>
          <w:shd w:val="clear" w:fill="FFFFFF"/>
          <w:lang w:eastAsia="zh-CN"/>
        </w:rPr>
        <w:t>县</w:t>
      </w:r>
      <w:r>
        <w:rPr>
          <w:rFonts w:hint="default" w:ascii="Times New Roman" w:hAnsi="Times New Roman" w:eastAsia="方正仿宋_GBK" w:cs="Times New Roman"/>
          <w:color w:val="auto"/>
          <w:kern w:val="0"/>
          <w:sz w:val="32"/>
          <w:szCs w:val="32"/>
          <w:highlight w:val="none"/>
          <w:shd w:val="clear" w:fill="FFFFFF"/>
          <w:lang w:val="en-US" w:eastAsia="zh-CN"/>
        </w:rPr>
        <w:t>经济和信息化委员会</w:t>
      </w:r>
      <w:r>
        <w:rPr>
          <w:rFonts w:hint="default" w:ascii="Times New Roman" w:hAnsi="Times New Roman" w:eastAsia="方正仿宋_GBK" w:cs="Times New Roman"/>
          <w:color w:val="auto"/>
          <w:kern w:val="0"/>
          <w:sz w:val="32"/>
          <w:szCs w:val="32"/>
          <w:highlight w:val="none"/>
          <w:shd w:val="clear" w:fill="FFFFFF"/>
          <w:lang w:eastAsia="zh-CN"/>
        </w:rPr>
        <w:t>和</w:t>
      </w:r>
      <w:r>
        <w:rPr>
          <w:rFonts w:hint="default" w:ascii="Times New Roman" w:hAnsi="Times New Roman" w:eastAsia="方正仿宋_GBK" w:cs="Times New Roman"/>
          <w:color w:val="auto"/>
          <w:kern w:val="0"/>
          <w:sz w:val="32"/>
          <w:szCs w:val="32"/>
          <w:highlight w:val="none"/>
          <w:shd w:val="clear" w:fill="FFFFFF"/>
        </w:rPr>
        <w:t>下属事业单位</w:t>
      </w:r>
      <w:r>
        <w:rPr>
          <w:rFonts w:hint="default" w:ascii="Times New Roman" w:hAnsi="Times New Roman" w:eastAsia="方正仿宋_GBK" w:cs="Times New Roman"/>
          <w:color w:val="auto"/>
          <w:kern w:val="0"/>
          <w:sz w:val="32"/>
          <w:szCs w:val="32"/>
          <w:highlight w:val="none"/>
          <w:shd w:val="clear" w:fill="FFFFFF"/>
          <w:lang w:eastAsia="zh-CN"/>
        </w:rPr>
        <w:t>城口县工业安全和环保节能服务中心</w:t>
      </w:r>
      <w:r>
        <w:rPr>
          <w:rFonts w:hint="default" w:ascii="Times New Roman" w:hAnsi="Times New Roman" w:eastAsia="方正仿宋_GBK" w:cs="Times New Roman"/>
          <w:color w:val="auto"/>
          <w:kern w:val="0"/>
          <w:sz w:val="32"/>
          <w:szCs w:val="32"/>
          <w:highlight w:val="none"/>
          <w:shd w:val="clear" w:fill="FFFFFF"/>
          <w:lang w:val="en-US" w:eastAsia="zh-CN"/>
        </w:rPr>
        <w:t>、城口县大数据智能化管理服务中心、城口县招商投资促进中心（城口县生产力促进中心）</w:t>
      </w:r>
      <w:r>
        <w:rPr>
          <w:rFonts w:hint="default" w:ascii="Times New Roman" w:hAnsi="Times New Roman" w:eastAsia="方正仿宋_GBK" w:cs="Times New Roman"/>
          <w:color w:val="auto"/>
          <w:kern w:val="0"/>
          <w:sz w:val="32"/>
          <w:szCs w:val="32"/>
          <w:highlight w:val="none"/>
          <w:shd w:val="clear" w:fill="FFFFFF"/>
        </w:rPr>
        <w:t>进行了部门整体绩效自评。</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楷体" w:cs="Times New Roman"/>
          <w:b/>
          <w:bCs/>
          <w:color w:val="auto"/>
          <w:kern w:val="0"/>
          <w:sz w:val="32"/>
          <w:szCs w:val="32"/>
          <w:highlight w:val="none"/>
          <w:shd w:val="clear" w:fill="FFFFFF"/>
        </w:rPr>
      </w:pPr>
      <w:r>
        <w:rPr>
          <w:rFonts w:hint="default" w:ascii="Times New Roman" w:hAnsi="Times New Roman" w:eastAsia="方正楷体_GBK" w:cs="Times New Roman"/>
          <w:color w:val="auto"/>
          <w:sz w:val="32"/>
          <w:szCs w:val="24"/>
          <w:highlight w:val="none"/>
          <w:lang w:val="en-US" w:eastAsia="zh-CN" w:bidi="ar-SA"/>
        </w:rPr>
        <w:t>（二）部门绩效评价情况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shd w:val="clear" w:fill="FFFFFF"/>
        </w:rPr>
      </w:pPr>
      <w:r>
        <w:rPr>
          <w:rFonts w:hint="default" w:ascii="Times New Roman" w:hAnsi="Times New Roman" w:eastAsia="方正仿宋_GBK" w:cs="Times New Roman"/>
          <w:color w:val="auto"/>
          <w:kern w:val="0"/>
          <w:sz w:val="32"/>
          <w:szCs w:val="32"/>
          <w:highlight w:val="none"/>
          <w:shd w:val="clear" w:fill="FFFFFF"/>
        </w:rPr>
        <w:t>2024年</w:t>
      </w:r>
      <w:r>
        <w:rPr>
          <w:rFonts w:hint="default" w:ascii="Times New Roman" w:hAnsi="Times New Roman" w:eastAsia="方正仿宋_GBK" w:cs="Times New Roman"/>
          <w:color w:val="auto"/>
          <w:kern w:val="0"/>
          <w:sz w:val="32"/>
          <w:szCs w:val="32"/>
          <w:highlight w:val="none"/>
          <w:shd w:val="clear" w:fill="FFFFFF"/>
          <w:lang w:eastAsia="zh-CN"/>
        </w:rPr>
        <w:t>我单位</w:t>
      </w:r>
      <w:r>
        <w:rPr>
          <w:rFonts w:hint="default" w:ascii="Times New Roman" w:hAnsi="Times New Roman" w:eastAsia="方正仿宋_GBK" w:cs="Times New Roman"/>
          <w:color w:val="auto"/>
          <w:kern w:val="0"/>
          <w:sz w:val="32"/>
          <w:szCs w:val="32"/>
          <w:highlight w:val="none"/>
          <w:shd w:val="clear" w:fill="FFFFFF"/>
        </w:rPr>
        <w:t>无项目支出，因此不涉及绩效评价。</w:t>
      </w:r>
    </w:p>
    <w:p>
      <w:pPr>
        <w:pStyle w:val="16"/>
        <w:keepNext w:val="0"/>
        <w:keepLines w:val="0"/>
        <w:pageBreakBefore w:val="0"/>
        <w:widowControl/>
        <w:kinsoku/>
        <w:wordWrap/>
        <w:overflowPunct/>
        <w:topLinePunct w:val="0"/>
        <w:autoSpaceDE w:val="0"/>
        <w:autoSpaceDN/>
        <w:bidi w:val="0"/>
        <w:adjustRightInd/>
        <w:snapToGrid/>
        <w:spacing w:after="0" w:afterAutospacing="0" w:line="550" w:lineRule="exact"/>
        <w:ind w:left="0" w:firstLine="640" w:firstLineChars="200"/>
        <w:jc w:val="both"/>
        <w:textAlignment w:val="auto"/>
        <w:rPr>
          <w:rFonts w:hint="default" w:ascii="Times New Roman" w:hAnsi="Times New Roman" w:eastAsia="方正楷体_GBK" w:cs="Times New Roman"/>
          <w:color w:val="auto"/>
          <w:kern w:val="0"/>
          <w:sz w:val="32"/>
          <w:szCs w:val="24"/>
          <w:highlight w:val="none"/>
          <w:lang w:val="en-US" w:eastAsia="zh-CN" w:bidi="ar-SA"/>
        </w:rPr>
      </w:pPr>
      <w:r>
        <w:rPr>
          <w:rFonts w:hint="default" w:ascii="Times New Roman" w:hAnsi="Times New Roman" w:eastAsia="方正楷体_GBK" w:cs="Times New Roman"/>
          <w:color w:val="auto"/>
          <w:kern w:val="0"/>
          <w:sz w:val="32"/>
          <w:szCs w:val="24"/>
          <w:highlight w:val="none"/>
          <w:lang w:val="en-US" w:eastAsia="zh-CN" w:bidi="ar-SA"/>
        </w:rPr>
        <w:t>（三）财政绩效评价情况</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shd w:val="clear" w:fill="FFFFFF"/>
        </w:rPr>
      </w:pPr>
      <w:r>
        <w:rPr>
          <w:rFonts w:hint="default" w:ascii="Times New Roman" w:hAnsi="Times New Roman" w:eastAsia="方正仿宋_GBK" w:cs="Times New Roman"/>
          <w:color w:val="auto"/>
          <w:kern w:val="0"/>
          <w:sz w:val="32"/>
          <w:szCs w:val="32"/>
          <w:highlight w:val="none"/>
          <w:shd w:val="clear" w:fill="FFFFFF"/>
        </w:rPr>
        <w:t>市财政局未委托第三方对我单位开展绩效评价。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50" w:lineRule="exact"/>
        <w:ind w:firstLine="640" w:firstLineChars="200"/>
        <w:jc w:val="both"/>
        <w:textAlignment w:val="auto"/>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（一）财政拨款收入：</w:t>
      </w:r>
      <w:r>
        <w:rPr>
          <w:rFonts w:hint="default" w:ascii="Times New Roman" w:hAnsi="Times New Roman" w:eastAsia="方正仿宋_GBK" w:cs="Times New Roman"/>
          <w:color w:val="auto"/>
          <w:kern w:val="0"/>
          <w:sz w:val="32"/>
          <w:szCs w:val="32"/>
          <w:highlight w:val="none"/>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（二）事业收入：</w:t>
      </w:r>
      <w:r>
        <w:rPr>
          <w:rFonts w:hint="default" w:ascii="Times New Roman" w:hAnsi="Times New Roman" w:eastAsia="方正仿宋_GBK" w:cs="Times New Roman"/>
          <w:color w:val="auto"/>
          <w:kern w:val="0"/>
          <w:sz w:val="32"/>
          <w:szCs w:val="32"/>
          <w:highlight w:val="none"/>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（三）经营收入：</w:t>
      </w:r>
      <w:r>
        <w:rPr>
          <w:rFonts w:hint="default" w:ascii="Times New Roman" w:hAnsi="Times New Roman" w:eastAsia="方正仿宋_GBK" w:cs="Times New Roman"/>
          <w:color w:val="auto"/>
          <w:kern w:val="0"/>
          <w:sz w:val="32"/>
          <w:szCs w:val="32"/>
          <w:highlight w:val="none"/>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（四）其他收入：</w:t>
      </w:r>
      <w:r>
        <w:rPr>
          <w:rFonts w:hint="default" w:ascii="Times New Roman" w:hAnsi="Times New Roman" w:eastAsia="方正仿宋_GBK" w:cs="Times New Roman"/>
          <w:color w:val="auto"/>
          <w:kern w:val="0"/>
          <w:sz w:val="32"/>
          <w:szCs w:val="32"/>
          <w:highlight w:val="none"/>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（五）使用非财政拨款结余（含专用结余）：</w:t>
      </w:r>
      <w:r>
        <w:rPr>
          <w:rFonts w:hint="default" w:ascii="Times New Roman" w:hAnsi="Times New Roman" w:eastAsia="方正仿宋_GBK" w:cs="Times New Roman"/>
          <w:color w:val="auto"/>
          <w:kern w:val="0"/>
          <w:sz w:val="32"/>
          <w:szCs w:val="32"/>
          <w:highlight w:val="none"/>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（六）年初结转和结余：</w:t>
      </w:r>
      <w:r>
        <w:rPr>
          <w:rFonts w:hint="default" w:ascii="Times New Roman" w:hAnsi="Times New Roman" w:eastAsia="方正仿宋_GBK" w:cs="Times New Roman"/>
          <w:color w:val="auto"/>
          <w:kern w:val="0"/>
          <w:sz w:val="32"/>
          <w:szCs w:val="32"/>
          <w:highlight w:val="none"/>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（七）结余分配：</w:t>
      </w:r>
      <w:r>
        <w:rPr>
          <w:rFonts w:hint="default" w:ascii="Times New Roman" w:hAnsi="Times New Roman" w:eastAsia="方正仿宋_GBK" w:cs="Times New Roman"/>
          <w:color w:val="auto"/>
          <w:kern w:val="0"/>
          <w:sz w:val="32"/>
          <w:szCs w:val="32"/>
          <w:highlight w:val="none"/>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（八）年末结转和结余：</w:t>
      </w:r>
      <w:r>
        <w:rPr>
          <w:rFonts w:hint="default" w:ascii="Times New Roman" w:hAnsi="Times New Roman" w:eastAsia="方正仿宋_GBK" w:cs="Times New Roman"/>
          <w:color w:val="auto"/>
          <w:kern w:val="0"/>
          <w:sz w:val="32"/>
          <w:szCs w:val="32"/>
          <w:highlight w:val="none"/>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（九）基本支出：</w:t>
      </w:r>
      <w:r>
        <w:rPr>
          <w:rFonts w:hint="default" w:ascii="Times New Roman" w:hAnsi="Times New Roman" w:eastAsia="方正仿宋_GBK" w:cs="Times New Roman"/>
          <w:color w:val="auto"/>
          <w:kern w:val="0"/>
          <w:sz w:val="32"/>
          <w:szCs w:val="32"/>
          <w:highlight w:val="none"/>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（十）项目支出：</w:t>
      </w:r>
      <w:r>
        <w:rPr>
          <w:rFonts w:hint="default" w:ascii="Times New Roman" w:hAnsi="Times New Roman" w:eastAsia="方正仿宋_GBK" w:cs="Times New Roman"/>
          <w:color w:val="auto"/>
          <w:kern w:val="0"/>
          <w:sz w:val="32"/>
          <w:szCs w:val="32"/>
          <w:highlight w:val="none"/>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（十一）经营支出：</w:t>
      </w:r>
      <w:r>
        <w:rPr>
          <w:rFonts w:hint="default" w:ascii="Times New Roman" w:hAnsi="Times New Roman" w:eastAsia="方正仿宋_GBK" w:cs="Times New Roman"/>
          <w:color w:val="auto"/>
          <w:kern w:val="0"/>
          <w:sz w:val="32"/>
          <w:szCs w:val="32"/>
          <w:highlight w:val="none"/>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（十二）“三公”经费：</w:t>
      </w:r>
      <w:r>
        <w:rPr>
          <w:rFonts w:hint="default" w:ascii="Times New Roman" w:hAnsi="Times New Roman" w:eastAsia="方正仿宋_GBK" w:cs="Times New Roman"/>
          <w:color w:val="auto"/>
          <w:kern w:val="0"/>
          <w:sz w:val="32"/>
          <w:szCs w:val="32"/>
          <w:highlight w:val="none"/>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（十三）机关运行经费：</w:t>
      </w:r>
      <w:r>
        <w:rPr>
          <w:rFonts w:hint="default" w:ascii="Times New Roman" w:hAnsi="Times New Roman" w:eastAsia="方正仿宋_GBK" w:cs="Times New Roman"/>
          <w:color w:val="auto"/>
          <w:kern w:val="0"/>
          <w:sz w:val="32"/>
          <w:szCs w:val="32"/>
          <w:highlight w:val="none"/>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（十四）工资福利支出（支出经济分类科目类级）：</w:t>
      </w:r>
      <w:r>
        <w:rPr>
          <w:rFonts w:hint="default" w:ascii="Times New Roman" w:hAnsi="Times New Roman" w:eastAsia="方正仿宋_GBK" w:cs="Times New Roman"/>
          <w:color w:val="auto"/>
          <w:kern w:val="0"/>
          <w:sz w:val="32"/>
          <w:szCs w:val="32"/>
          <w:highlight w:val="none"/>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（十五）商品和服务支出（支出经济分类科目类级）：</w:t>
      </w:r>
      <w:r>
        <w:rPr>
          <w:rFonts w:hint="default" w:ascii="Times New Roman" w:hAnsi="Times New Roman" w:eastAsia="方正仿宋_GBK" w:cs="Times New Roman"/>
          <w:color w:val="auto"/>
          <w:kern w:val="0"/>
          <w:sz w:val="32"/>
          <w:szCs w:val="32"/>
          <w:highlight w:val="none"/>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（十六）对个人和家庭的补助（支出经济分类科目类级）：</w:t>
      </w:r>
      <w:r>
        <w:rPr>
          <w:rFonts w:hint="default" w:ascii="Times New Roman" w:hAnsi="Times New Roman" w:eastAsia="方正仿宋_GBK" w:cs="Times New Roman"/>
          <w:color w:val="auto"/>
          <w:kern w:val="0"/>
          <w:sz w:val="32"/>
          <w:szCs w:val="32"/>
          <w:highlight w:val="none"/>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楷体_GBK" w:cs="Times New Roman"/>
          <w:color w:val="auto"/>
          <w:sz w:val="32"/>
          <w:szCs w:val="24"/>
          <w:highlight w:val="none"/>
          <w:lang w:val="en-US" w:eastAsia="zh-CN" w:bidi="ar-SA"/>
        </w:rPr>
        <w:t>（十七）其他资本性支出（支出经济分类科目类级）：</w:t>
      </w:r>
      <w:r>
        <w:rPr>
          <w:rFonts w:hint="default" w:ascii="Times New Roman" w:hAnsi="Times New Roman" w:eastAsia="方正仿宋_GBK" w:cs="Times New Roman"/>
          <w:color w:val="auto"/>
          <w:kern w:val="0"/>
          <w:sz w:val="32"/>
          <w:szCs w:val="32"/>
          <w:highlight w:val="none"/>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Style w:val="8"/>
          <w:rFonts w:hint="default" w:ascii="Times New Roman" w:hAnsi="Times New Roman" w:eastAsia="方正黑体_GBK" w:cs="Times New Roman"/>
          <w:b w:val="0"/>
          <w:bCs/>
          <w:color w:val="auto"/>
          <w:sz w:val="32"/>
          <w:szCs w:val="32"/>
          <w:highlight w:val="none"/>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shd w:val="clear" w:fill="FFFFFF"/>
        </w:rPr>
        <w:t>本单位决算公开信息反馈和联系方式：</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shd w:val="clear" w:fill="FFFFFF"/>
          <w:lang w:val="en-US" w:eastAsia="zh-CN"/>
        </w:rPr>
        <w:sectPr>
          <w:footerReference r:id="rId9" w:type="default"/>
          <w:pgSz w:w="11915" w:h="16840"/>
          <w:pgMar w:top="2098" w:right="1474" w:bottom="1984" w:left="1587" w:header="851" w:footer="992" w:gutter="0"/>
          <w:pgNumType w:fmt="numberInDash"/>
          <w:cols w:space="720" w:num="1"/>
          <w:docGrid w:type="lines" w:linePitch="312" w:charSpace="0"/>
        </w:sectPr>
      </w:pPr>
      <w:r>
        <w:rPr>
          <w:rFonts w:hint="default" w:ascii="Times New Roman" w:hAnsi="Times New Roman" w:eastAsia="方正仿宋_GBK" w:cs="Times New Roman"/>
          <w:color w:val="auto"/>
          <w:kern w:val="0"/>
          <w:sz w:val="32"/>
          <w:szCs w:val="32"/>
          <w:highlight w:val="none"/>
          <w:shd w:val="clear" w:fill="FFFFFF"/>
          <w:lang w:eastAsia="zh-CN"/>
        </w:rPr>
        <w:t>郑艳玲</w:t>
      </w:r>
      <w:r>
        <w:rPr>
          <w:rFonts w:hint="default" w:ascii="Times New Roman" w:hAnsi="Times New Roman" w:eastAsia="方正仿宋_GBK" w:cs="Times New Roman"/>
          <w:color w:val="auto"/>
          <w:kern w:val="0"/>
          <w:sz w:val="32"/>
          <w:szCs w:val="32"/>
          <w:highlight w:val="none"/>
          <w:shd w:val="clear" w:fill="FFFFFF"/>
        </w:rPr>
        <w:t xml:space="preserve">   023-</w:t>
      </w:r>
      <w:r>
        <w:rPr>
          <w:rFonts w:hint="default" w:ascii="Times New Roman" w:hAnsi="Times New Roman" w:eastAsia="方正仿宋_GBK" w:cs="Times New Roman"/>
          <w:color w:val="auto"/>
          <w:kern w:val="0"/>
          <w:sz w:val="32"/>
          <w:szCs w:val="32"/>
          <w:highlight w:val="none"/>
          <w:shd w:val="clear" w:fill="FFFFFF"/>
          <w:lang w:val="en-US" w:eastAsia="zh-CN"/>
        </w:rPr>
        <w:t>59222380</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20"/>
                <w:szCs w:val="20"/>
                <w:highlight w:val="none"/>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s="Times New Roman"/>
                <w:color w:val="auto"/>
                <w:sz w:val="20"/>
                <w:szCs w:val="20"/>
                <w:highlight w:val="none"/>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20"/>
                <w:szCs w:val="20"/>
                <w:highlight w:val="none"/>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公开01表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2"/>
                <w:szCs w:val="22"/>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城口县招商投资促进中心（城口县生产力促进中心）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22"/>
                <w:szCs w:val="22"/>
                <w:highlight w:val="none"/>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72.48</w:t>
            </w: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5.05</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3.06</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64.37</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72.48</w:t>
            </w: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72.48</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72.48</w:t>
            </w:r>
            <w:r>
              <w:rPr>
                <w:rFonts w:hint="default" w:ascii="Times New Roman" w:hAnsi="Times New Roman" w:cs="Times New Roman"/>
                <w:color w:val="auto"/>
                <w:sz w:val="20"/>
                <w:highlight w:val="none"/>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72.48</w:t>
            </w:r>
            <w:r>
              <w:rPr>
                <w:rFonts w:hint="default" w:ascii="Times New Roman" w:hAnsi="Times New Roman" w:cs="Times New Roman"/>
                <w:color w:val="auto"/>
                <w:sz w:val="20"/>
                <w:highlight w:val="none"/>
                <w:u w:color="auto"/>
              </w:rPr>
              <w:t xml:space="preserve"> </w:t>
            </w:r>
          </w:p>
        </w:tc>
      </w:tr>
    </w:tbl>
    <w:p>
      <w:pPr>
        <w:rPr>
          <w:rFonts w:hint="default" w:ascii="Times New Roman" w:hAnsi="Times New Roman" w:cs="Times New Roman"/>
          <w:color w:val="auto"/>
          <w:sz w:val="21"/>
          <w:szCs w:val="21"/>
          <w:highlight w:val="none"/>
        </w:rPr>
      </w:pPr>
    </w:p>
    <w:p>
      <w:pPr>
        <w:spacing w:line="240" w:lineRule="exact"/>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备注：1.本表反映部门本年度的总收支和年末结转结余情况。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tbl>
      <w:tblPr>
        <w:tblStyle w:val="9"/>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收入决算表</w:t>
            </w:r>
          </w:p>
        </w:tc>
      </w:tr>
      <w:tr>
        <w:tblPrEx>
          <w:tblLayout w:type="fixed"/>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城口县招商投资促进中心（城口县生产力促进中心）</w:t>
            </w: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公开02表</w:t>
            </w:r>
          </w:p>
        </w:tc>
      </w:tr>
      <w:tr>
        <w:tblPrEx>
          <w:tblLayout w:type="fixed"/>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其他收入</w:t>
            </w:r>
          </w:p>
        </w:tc>
      </w:tr>
      <w:tr>
        <w:tblPrEx>
          <w:tblLayout w:type="fixed"/>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72.48</w:t>
            </w:r>
            <w:r>
              <w:rPr>
                <w:rFonts w:hint="default" w:ascii="Times New Roman" w:hAnsi="Times New Roman" w:cs="Times New Roman"/>
                <w:b/>
                <w:color w:val="auto"/>
                <w:sz w:val="20"/>
                <w:highlight w:val="none"/>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72.48</w:t>
            </w:r>
            <w:r>
              <w:rPr>
                <w:rFonts w:hint="default" w:ascii="Times New Roman" w:hAnsi="Times New Roman" w:cs="Times New Roman"/>
                <w:b/>
                <w:color w:val="auto"/>
                <w:sz w:val="20"/>
                <w:highlight w:val="none"/>
                <w:u w:color="auto"/>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5.05</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5.05</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5.05</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5.05</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3.37</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3.37</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1.68</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1.68</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3.06</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3.06</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3.06</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3.06</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2.36</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2.36</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0.70</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0.70</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资源勘探工业信息等支出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64.37</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64.37</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工业和信息产业监管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64.37</w:t>
            </w:r>
            <w:r>
              <w:rPr>
                <w:rFonts w:hint="default" w:ascii="Times New Roman" w:hAnsi="Times New Roman" w:cs="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64.37</w:t>
            </w:r>
            <w:r>
              <w:rPr>
                <w:rFonts w:hint="default" w:ascii="Times New Roman" w:hAnsi="Times New Roman" w:cs="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64.37</w:t>
            </w:r>
            <w:r>
              <w:rPr>
                <w:rFonts w:hint="default" w:ascii="Times New Roman" w:hAnsi="Times New Roman" w:cs="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64.37</w:t>
            </w:r>
            <w:r>
              <w:rPr>
                <w:rFonts w:hint="default" w:ascii="Times New Roman" w:hAnsi="Times New Roman" w:cs="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bl>
    <w:p>
      <w:pPr>
        <w:ind w:left="600" w:hanging="600" w:hangingChars="300"/>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备注：1.本表反映部门本年度取得的各项收入情况。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br w:type="page"/>
      </w:r>
    </w:p>
    <w:tbl>
      <w:tblPr>
        <w:tblStyle w:val="9"/>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支出决算表</w:t>
            </w:r>
          </w:p>
        </w:tc>
      </w:tr>
      <w:tr>
        <w:tblPrEx>
          <w:tblLayout w:type="fixed"/>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 xml:space="preserve">城口县招商投资促进中心（城口县生产力促进中心） </w:t>
            </w: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公开03表</w:t>
            </w:r>
          </w:p>
        </w:tc>
      </w:tr>
      <w:tr>
        <w:tblPrEx>
          <w:tblLayout w:type="fixed"/>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对附属单位补助支出</w:t>
            </w:r>
          </w:p>
        </w:tc>
      </w:tr>
      <w:tr>
        <w:tblPrEx>
          <w:tblLayout w:type="fixed"/>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72.48</w:t>
            </w:r>
            <w:r>
              <w:rPr>
                <w:rFonts w:hint="default" w:ascii="Times New Roman" w:hAnsi="Times New Roman" w:cs="Times New Roman"/>
                <w:b/>
                <w:color w:val="auto"/>
                <w:sz w:val="20"/>
                <w:highlight w:val="none"/>
                <w:u w:color="auto"/>
              </w:rPr>
              <w:t xml:space="preserve"> </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72.48</w:t>
            </w:r>
            <w:r>
              <w:rPr>
                <w:rFonts w:hint="default" w:ascii="Times New Roman" w:hAnsi="Times New Roman" w:cs="Times New Roman"/>
                <w:b/>
                <w:color w:val="auto"/>
                <w:sz w:val="20"/>
                <w:highlight w:val="none"/>
                <w:u w:color="auto"/>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5.05</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5.05</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5.05</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5.05</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3.37</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3.37</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1.68</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1.68</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3.06</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3.06</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3.06</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3.06</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2.36</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2.36</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0.70</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0.70</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资源勘探工业信息等支出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64.37</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64.37</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工业和信息产业监管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64.37</w:t>
            </w:r>
            <w:r>
              <w:rPr>
                <w:rFonts w:hint="default" w:ascii="Times New Roman" w:hAnsi="Times New Roman" w:cs="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64.37</w:t>
            </w:r>
            <w:r>
              <w:rPr>
                <w:rFonts w:hint="default" w:ascii="Times New Roman" w:hAnsi="Times New Roman" w:cs="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64.37</w:t>
            </w:r>
            <w:r>
              <w:rPr>
                <w:rFonts w:hint="default" w:ascii="Times New Roman" w:hAnsi="Times New Roman" w:cs="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64.37</w:t>
            </w:r>
            <w:r>
              <w:rPr>
                <w:rFonts w:hint="default" w:ascii="Times New Roman" w:hAnsi="Times New Roman" w:cs="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bl>
    <w:p>
      <w:pP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备注：1.本表反映部门本年度各项支出情况。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p>
      <w:pPr>
        <w:rPr>
          <w:rFonts w:hint="default" w:ascii="Times New Roman" w:hAnsi="Times New Roman" w:cs="Times New Roman"/>
          <w:color w:val="auto"/>
          <w:sz w:val="21"/>
          <w:szCs w:val="21"/>
          <w:highlight w:val="none"/>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城口县招商投资促进中心（城口县生产力促进中心）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公开04表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72.48</w:t>
            </w: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5.05</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5.05</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3.06</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3.06</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64.37</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64.37</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72.48</w:t>
            </w: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72.48</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72.48</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72.48</w:t>
            </w:r>
            <w:r>
              <w:rPr>
                <w:rFonts w:hint="default" w:ascii="Times New Roman" w:hAnsi="Times New Roman" w:cs="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72.48</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72.48</w:t>
            </w:r>
            <w:r>
              <w:rPr>
                <w:rFonts w:hint="default" w:ascii="Times New Roman" w:hAnsi="Times New Roman" w:cs="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bl>
    <w:p>
      <w:pPr>
        <w:spacing w:line="240" w:lineRule="exact"/>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30"/>
        <w:gridCol w:w="4067"/>
        <w:gridCol w:w="3300"/>
        <w:gridCol w:w="3291"/>
        <w:gridCol w:w="3334"/>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一般公共预算财政拨款支出决算表</w:t>
            </w:r>
          </w:p>
        </w:tc>
      </w:tr>
      <w:tr>
        <w:tblPrEx>
          <w:tblLayout w:type="fixed"/>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城口县招商投资促进中心（城口县生产力促进中心）</w:t>
            </w:r>
          </w:p>
        </w:tc>
        <w:tc>
          <w:tcPr>
            <w:tcW w:w="329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公开05表</w:t>
            </w:r>
          </w:p>
        </w:tc>
      </w:tr>
      <w:tr>
        <w:tblPrEx>
          <w:tblLayout w:type="fixed"/>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29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本年支出</w:t>
            </w:r>
          </w:p>
        </w:tc>
      </w:tr>
      <w:tr>
        <w:tblPrEx>
          <w:tblLayout w:type="fixed"/>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项目支出</w:t>
            </w:r>
          </w:p>
        </w:tc>
      </w:tr>
      <w:tr>
        <w:tblPrEx>
          <w:tblLayout w:type="fixed"/>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72.48</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72.48</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5.05</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5.05</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20805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5.05</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5.05</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3.37</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3.37</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2080506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1.68</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1.68</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3.06</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3.06</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21011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3.06</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3.06</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2.36</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2.36</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2101199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0.70</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0.70</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资源勘探工业信息等支出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64.37</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64.37</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21505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b/>
                <w:color w:val="auto"/>
                <w:sz w:val="20"/>
                <w:szCs w:val="20"/>
                <w:highlight w:val="none"/>
              </w:rPr>
              <w:t>工业和信息产业监管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64.37</w:t>
            </w:r>
            <w:r>
              <w:rPr>
                <w:rFonts w:hint="default" w:ascii="Times New Roman" w:hAnsi="Times New Roman" w:cs="Times New Roman"/>
                <w:b/>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64.37</w:t>
            </w:r>
            <w:r>
              <w:rPr>
                <w:rFonts w:hint="default" w:ascii="Times New Roman" w:hAnsi="Times New Roman" w:cs="Times New Roman"/>
                <w:b/>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2150550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64.37</w:t>
            </w:r>
            <w:r>
              <w:rPr>
                <w:rFonts w:hint="default" w:ascii="Times New Roman" w:hAnsi="Times New Roman" w:cs="Times New Roman"/>
                <w:color w:val="auto"/>
                <w:sz w:val="20"/>
                <w:highlight w:val="none"/>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64.37</w:t>
            </w:r>
            <w:r>
              <w:rPr>
                <w:rFonts w:hint="default" w:ascii="Times New Roman" w:hAnsi="Times New Roman" w:cs="Times New Roman"/>
                <w:color w:val="auto"/>
                <w:sz w:val="20"/>
                <w:highlight w:val="none"/>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bl>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0"/>
          <w:szCs w:val="20"/>
          <w:highlight w:val="none"/>
        </w:rPr>
        <w:t>备注：1.本表反映部门本年度一般公共预算财政拨款支出情况。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ind w:firstLine="630" w:firstLineChars="3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tbl>
      <w:tblPr>
        <w:tblStyle w:val="9"/>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城口县招商投资促进中心（城口县生产力促进中心）</w:t>
            </w:r>
          </w:p>
        </w:tc>
        <w:tc>
          <w:tcPr>
            <w:tcW w:w="1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85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345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公开06表</w:t>
            </w:r>
          </w:p>
        </w:tc>
      </w:tr>
      <w:tr>
        <w:tblPrEx>
          <w:tblLayout w:type="fixed"/>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1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85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345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auto"/>
                <w:sz w:val="18"/>
                <w:szCs w:val="18"/>
                <w:highlight w:val="none"/>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公用经费</w:t>
            </w:r>
          </w:p>
        </w:tc>
      </w:tr>
      <w:tr>
        <w:tblPrEx>
          <w:tblLayout w:type="fixed"/>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金额</w:t>
            </w:r>
          </w:p>
        </w:tc>
      </w:tr>
      <w:tr>
        <w:tblPrEx>
          <w:tblLayout w:type="fixed"/>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72.48</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23.05</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4.20</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36.48</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3.37</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1.68</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2.36</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0.38</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0.96</w:t>
            </w: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auto"/>
                <w:sz w:val="18"/>
                <w:szCs w:val="18"/>
                <w:highlight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auto"/>
                <w:sz w:val="18"/>
                <w:szCs w:val="18"/>
                <w:highlight w:val="none"/>
              </w:rPr>
            </w:pPr>
          </w:p>
        </w:tc>
      </w:tr>
      <w:tr>
        <w:tblPrEx>
          <w:tblLayout w:type="fixed"/>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72.48</w:t>
            </w:r>
            <w:r>
              <w:rPr>
                <w:rFonts w:hint="default" w:ascii="Times New Roman" w:hAnsi="Times New Roman" w:cs="Times New Roman"/>
                <w:color w:val="auto"/>
                <w:sz w:val="18"/>
                <w:highlight w:val="none"/>
                <w:u w:color="auto"/>
              </w:rPr>
              <w:t xml:space="preserve"> </w:t>
            </w:r>
          </w:p>
        </w:tc>
        <w:tc>
          <w:tcPr>
            <w:tcW w:w="857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公用经费合计</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备注：1.本表反映部门本年度一般公共预算财政拨款基本支出明细情况。</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t xml:space="preserve">      2.本套报表金额单位转换时可能存在尾数误差。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城口县招商投资促进中心（城口县生产力促进中心）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公开07表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年末结转和结余</w:t>
            </w:r>
          </w:p>
        </w:tc>
      </w:tr>
      <w:tr>
        <w:tblPrEx>
          <w:tblLayout w:type="fixed"/>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auto"/>
                <w:sz w:val="20"/>
                <w:szCs w:val="20"/>
                <w:highlight w:val="none"/>
              </w:rPr>
            </w:pP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auto"/>
                <w:sz w:val="20"/>
                <w:szCs w:val="20"/>
                <w:highlight w:val="none"/>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0.00</w:t>
            </w:r>
            <w:r>
              <w:rPr>
                <w:rFonts w:hint="default" w:ascii="Times New Roman" w:hAnsi="Times New Roman" w:cs="Times New Roman"/>
                <w:color w:val="auto"/>
                <w:sz w:val="20"/>
                <w:highlight w:val="none"/>
                <w:u w:color="auto"/>
              </w:rPr>
              <w:t xml:space="preserve"> </w:t>
            </w:r>
          </w:p>
        </w:tc>
      </w:tr>
    </w:tbl>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0"/>
          <w:szCs w:val="20"/>
          <w:highlight w:val="none"/>
        </w:rPr>
        <w:t>备注：本表反映部门本年度政府性基金预算财政拨款收入支出及结转和结余情况。本部门无政府性基金收支，故本表无数据。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城口县招商投资促进中心（城口县生产力促进中心）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公开08表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auto"/>
                <w:sz w:val="20"/>
                <w:szCs w:val="20"/>
                <w:highlight w:val="none"/>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单位：万元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auto"/>
                <w:sz w:val="20"/>
                <w:szCs w:val="20"/>
                <w:highlight w:val="none"/>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color w:val="auto"/>
                <w:sz w:val="20"/>
                <w:szCs w:val="20"/>
                <w:highlight w:val="none"/>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auto"/>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b/>
                <w:bCs/>
                <w:color w:val="auto"/>
                <w:sz w:val="20"/>
                <w:szCs w:val="20"/>
                <w:highlight w:val="none"/>
              </w:rPr>
              <w:t>0.00</w:t>
            </w:r>
            <w:r>
              <w:rPr>
                <w:rFonts w:hint="default" w:ascii="Times New Roman" w:hAnsi="Times New Roman" w:cs="Times New Roman"/>
                <w:b/>
                <w:color w:val="auto"/>
                <w:sz w:val="20"/>
                <w:highlight w:val="none"/>
                <w:u w:color="auto"/>
              </w:rPr>
              <w:t xml:space="preserve">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auto"/>
                <w:sz w:val="20"/>
                <w:szCs w:val="20"/>
                <w:highlight w:val="none"/>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auto"/>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auto"/>
                <w:sz w:val="20"/>
                <w:szCs w:val="20"/>
                <w:highlight w:val="none"/>
              </w:rPr>
            </w:pPr>
            <w:r>
              <w:rPr>
                <w:rFonts w:hint="default" w:ascii="Times New Roman" w:hAnsi="Times New Roman" w:cs="Times New Roman"/>
                <w:color w:val="auto"/>
                <w:sz w:val="20"/>
                <w:szCs w:val="20"/>
                <w:highlight w:val="none"/>
              </w:rPr>
              <w:t xml:space="preserve">0.00 </w:t>
            </w:r>
          </w:p>
        </w:tc>
      </w:tr>
    </w:tbl>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0"/>
          <w:szCs w:val="20"/>
          <w:highlight w:val="none"/>
        </w:rPr>
        <w:t>备注：本表反映部门本年度国有资本经营预算财政拨款支出情况。本部门无国有资本经营收支，故本表无数据。</w:t>
      </w:r>
      <w:r>
        <w:rPr>
          <w:rFonts w:hint="default" w:ascii="Times New Roman" w:hAnsi="Times New Roman" w:cs="Times New Roman"/>
          <w:color w:val="auto"/>
          <w:sz w:val="20"/>
          <w:szCs w:val="20"/>
          <w:highlight w:val="none"/>
        </w:rPr>
        <w:br w:type="textWrapping"/>
      </w:r>
      <w:r>
        <w:rPr>
          <w:rFonts w:hint="default" w:ascii="Times New Roman" w:hAnsi="Times New Roman" w:cs="Times New Roman"/>
          <w:color w:val="auto"/>
          <w:sz w:val="20"/>
          <w:szCs w:val="20"/>
          <w:highlight w:val="none"/>
        </w:rPr>
        <w:br w:type="textWrapping"/>
      </w:r>
    </w:p>
    <w:p>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tbl>
      <w:tblPr>
        <w:tblStyle w:val="9"/>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auto"/>
                <w:kern w:val="2"/>
                <w:sz w:val="32"/>
                <w:szCs w:val="32"/>
                <w:highlight w:val="none"/>
              </w:rPr>
            </w:pPr>
            <w:r>
              <w:rPr>
                <w:rFonts w:hint="default" w:ascii="Times New Roman" w:hAnsi="Times New Roman" w:cs="Times New Roman"/>
                <w:b/>
                <w:color w:val="auto"/>
                <w:kern w:val="2"/>
                <w:sz w:val="32"/>
                <w:szCs w:val="32"/>
                <w:highlight w:val="none"/>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auto"/>
                <w:kern w:val="2"/>
                <w:sz w:val="20"/>
                <w:szCs w:val="20"/>
                <w:highlight w:val="none"/>
              </w:rPr>
            </w:pPr>
          </w:p>
        </w:tc>
        <w:tc>
          <w:tcPr>
            <w:tcW w:w="2402" w:type="dxa"/>
            <w:shd w:val="clear" w:color="auto" w:fill="auto"/>
            <w:noWrap/>
            <w:tcMar>
              <w:top w:w="15" w:type="dxa"/>
              <w:left w:w="15" w:type="dxa"/>
              <w:right w:w="15" w:type="dxa"/>
            </w:tcMar>
            <w:vAlign w:val="bottom"/>
          </w:tcPr>
          <w:p>
            <w:pPr>
              <w:spacing w:line="280" w:lineRule="exact"/>
              <w:jc w:val="center"/>
              <w:rPr>
                <w:rFonts w:hint="default" w:ascii="Times New Roman" w:hAnsi="Times New Roman" w:cs="Times New Roman"/>
                <w:color w:val="auto"/>
                <w:kern w:val="2"/>
                <w:sz w:val="20"/>
                <w:szCs w:val="20"/>
                <w:highlight w:val="none"/>
              </w:rPr>
            </w:pPr>
          </w:p>
        </w:tc>
        <w:tc>
          <w:tcPr>
            <w:tcW w:w="2360" w:type="dxa"/>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auto"/>
                <w:kern w:val="2"/>
                <w:sz w:val="20"/>
                <w:szCs w:val="20"/>
                <w:highlight w:val="none"/>
              </w:rPr>
            </w:pPr>
          </w:p>
        </w:tc>
        <w:tc>
          <w:tcPr>
            <w:tcW w:w="3726"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auto"/>
                <w:kern w:val="2"/>
                <w:sz w:val="20"/>
                <w:szCs w:val="20"/>
                <w:highlight w:val="none"/>
              </w:rPr>
            </w:pPr>
          </w:p>
        </w:tc>
        <w:tc>
          <w:tcPr>
            <w:tcW w:w="2480" w:type="dxa"/>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auto"/>
                <w:kern w:val="2"/>
                <w:sz w:val="20"/>
                <w:szCs w:val="20"/>
                <w:highlight w:val="none"/>
              </w:rPr>
            </w:pPr>
            <w:r>
              <w:rPr>
                <w:rFonts w:hint="default" w:ascii="Times New Roman" w:hAnsi="Times New Roman" w:cs="Times New Roman"/>
                <w:color w:val="auto"/>
                <w:kern w:val="2"/>
                <w:sz w:val="20"/>
                <w:szCs w:val="20"/>
                <w:highlight w:val="none"/>
              </w:rPr>
              <w:t>公开09表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auto"/>
                <w:kern w:val="2"/>
                <w:sz w:val="20"/>
                <w:szCs w:val="20"/>
                <w:highlight w:val="none"/>
              </w:rPr>
            </w:pPr>
            <w:r>
              <w:rPr>
                <w:rFonts w:hint="default" w:ascii="Times New Roman" w:hAnsi="Times New Roman" w:cs="Times New Roman"/>
                <w:color w:val="auto"/>
                <w:sz w:val="20"/>
                <w:szCs w:val="20"/>
                <w:highlight w:val="none"/>
                <w:lang w:eastAsia="zh-CN"/>
              </w:rPr>
              <w:t>部门</w:t>
            </w:r>
            <w:r>
              <w:rPr>
                <w:rFonts w:hint="default" w:ascii="Times New Roman" w:hAnsi="Times New Roman" w:cs="Times New Roman"/>
                <w:color w:val="auto"/>
                <w:kern w:val="2"/>
                <w:sz w:val="20"/>
                <w:szCs w:val="20"/>
                <w:highlight w:val="none"/>
              </w:rPr>
              <w:t>：</w:t>
            </w:r>
            <w:r>
              <w:rPr>
                <w:rFonts w:hint="default" w:ascii="Times New Roman" w:hAnsi="Times New Roman" w:cs="Times New Roman"/>
                <w:color w:val="auto"/>
                <w:sz w:val="20"/>
                <w:highlight w:val="none"/>
                <w:u w:color="auto"/>
              </w:rPr>
              <w:t>城口县招商投资促进中心（城口县生产力促进中心）</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auto"/>
                <w:kern w:val="2"/>
                <w:sz w:val="20"/>
                <w:szCs w:val="20"/>
                <w:highlight w:val="none"/>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auto"/>
                <w:kern w:val="2"/>
                <w:sz w:val="20"/>
                <w:szCs w:val="20"/>
                <w:highlight w:val="none"/>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auto"/>
                <w:kern w:val="2"/>
                <w:sz w:val="20"/>
                <w:szCs w:val="20"/>
                <w:highlight w:val="none"/>
              </w:rPr>
            </w:pPr>
            <w:r>
              <w:rPr>
                <w:rFonts w:hint="default" w:ascii="Times New Roman" w:hAnsi="Times New Roman" w:cs="Times New Roman"/>
                <w:color w:val="auto"/>
                <w:kern w:val="2"/>
                <w:sz w:val="20"/>
                <w:szCs w:val="20"/>
                <w:highlight w:val="none"/>
              </w:rPr>
              <w:t>单位：万元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kern w:val="2"/>
                <w:sz w:val="16"/>
                <w:szCs w:val="16"/>
                <w:highlight w:val="none"/>
              </w:rPr>
            </w:pPr>
            <w:r>
              <w:rPr>
                <w:rFonts w:hint="default" w:ascii="Times New Roman" w:hAnsi="Times New Roman" w:cs="Times New Roman"/>
                <w:b/>
                <w:bCs/>
                <w:color w:val="auto"/>
                <w:kern w:val="2"/>
                <w:sz w:val="16"/>
                <w:szCs w:val="16"/>
                <w:highlight w:val="none"/>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auto"/>
                <w:kern w:val="2"/>
                <w:sz w:val="16"/>
                <w:szCs w:val="16"/>
                <w:highlight w:val="none"/>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auto"/>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auto"/>
                <w:kern w:val="2"/>
                <w:sz w:val="16"/>
                <w:szCs w:val="16"/>
                <w:highlight w:val="none"/>
              </w:rPr>
            </w:pPr>
            <w:r>
              <w:rPr>
                <w:rFonts w:hint="default" w:ascii="Times New Roman" w:hAnsi="Times New Roman" w:cs="Times New Roman"/>
                <w:b/>
                <w:color w:val="auto"/>
                <w:kern w:val="2"/>
                <w:sz w:val="16"/>
                <w:szCs w:val="16"/>
                <w:highlight w:val="none"/>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kern w:val="2"/>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auto"/>
                <w:kern w:val="2"/>
                <w:sz w:val="16"/>
                <w:szCs w:val="16"/>
                <w:highlight w:val="none"/>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auto"/>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auto"/>
                <w:sz w:val="16"/>
                <w:szCs w:val="16"/>
                <w:highlight w:val="none"/>
              </w:rPr>
            </w:pPr>
            <w:r>
              <w:rPr>
                <w:rFonts w:hint="default" w:ascii="Times New Roman" w:hAnsi="Times New Roman" w:cs="Times New Roman"/>
                <w:b/>
                <w:bCs/>
                <w:color w:val="auto"/>
                <w:sz w:val="16"/>
                <w:szCs w:val="16"/>
                <w:highlight w:val="none"/>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auto"/>
                <w:sz w:val="16"/>
                <w:szCs w:val="16"/>
                <w:highlight w:val="none"/>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auto"/>
                <w:sz w:val="16"/>
                <w:szCs w:val="16"/>
                <w:highlight w:val="none"/>
              </w:rPr>
            </w:pPr>
          </w:p>
        </w:tc>
      </w:tr>
    </w:tbl>
    <w:p>
      <w:pP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color w:val="auto"/>
          <w:sz w:val="18"/>
          <w:szCs w:val="18"/>
          <w:highlight w:val="none"/>
        </w:rPr>
        <w:br w:type="textWrapping"/>
      </w:r>
      <w:r>
        <w:rPr>
          <w:rFonts w:hint="default" w:ascii="Times New Roman" w:hAnsi="Times New Roman" w:cs="Times New Roman"/>
          <w:color w:val="auto"/>
          <w:sz w:val="18"/>
          <w:szCs w:val="18"/>
          <w:highlight w:val="none"/>
        </w:rPr>
        <w:t xml:space="preserve">      2.本套报表金额单位转换时可能存在尾数误差。</w:t>
      </w:r>
    </w:p>
    <w:p>
      <w:pP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br w:type="textWrapping"/>
      </w:r>
    </w:p>
    <w:sectPr>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9" o:spid="_x0000_s102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35" o:spid="_x0000_s1035"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38" o:spid="_x0000_s103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FBA623"/>
    <w:multiLevelType w:val="singleLevel"/>
    <w:tmpl w:val="A9FBA623"/>
    <w:lvl w:ilvl="0" w:tentative="0">
      <w:start w:val="1"/>
      <w:numFmt w:val="decimal"/>
      <w:suff w:val="nothing"/>
      <w:lvlText w:val="（%1）"/>
      <w:lvlJc w:val="left"/>
    </w:lvl>
  </w:abstractNum>
  <w:abstractNum w:abstractNumId="1">
    <w:nsid w:val="198FA78B"/>
    <w:multiLevelType w:val="singleLevel"/>
    <w:tmpl w:val="198FA78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02CD1"/>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355AD"/>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722C4F"/>
    <w:rsid w:val="03B87EA0"/>
    <w:rsid w:val="03E3214F"/>
    <w:rsid w:val="044C50BA"/>
    <w:rsid w:val="05BC6D49"/>
    <w:rsid w:val="06194FF1"/>
    <w:rsid w:val="06A2550B"/>
    <w:rsid w:val="06F80EE2"/>
    <w:rsid w:val="07001CCA"/>
    <w:rsid w:val="075678DB"/>
    <w:rsid w:val="079D7CC7"/>
    <w:rsid w:val="08051BCA"/>
    <w:rsid w:val="08151281"/>
    <w:rsid w:val="086C12F4"/>
    <w:rsid w:val="08BA052C"/>
    <w:rsid w:val="08DB07BA"/>
    <w:rsid w:val="0969353F"/>
    <w:rsid w:val="098305D0"/>
    <w:rsid w:val="098A0877"/>
    <w:rsid w:val="0A5C4B69"/>
    <w:rsid w:val="0A86124A"/>
    <w:rsid w:val="0AB54CC0"/>
    <w:rsid w:val="0B9335CE"/>
    <w:rsid w:val="0C7927C4"/>
    <w:rsid w:val="0C9B098C"/>
    <w:rsid w:val="0D65420F"/>
    <w:rsid w:val="0D673E11"/>
    <w:rsid w:val="0DDA54E4"/>
    <w:rsid w:val="0E0210CC"/>
    <w:rsid w:val="0E061DEA"/>
    <w:rsid w:val="0E084ABF"/>
    <w:rsid w:val="0E3A5F83"/>
    <w:rsid w:val="0E74421A"/>
    <w:rsid w:val="0EA46639"/>
    <w:rsid w:val="0EC6180C"/>
    <w:rsid w:val="0ED82474"/>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1C618E"/>
    <w:rsid w:val="173708E3"/>
    <w:rsid w:val="174C19C7"/>
    <w:rsid w:val="17C374FC"/>
    <w:rsid w:val="189079DC"/>
    <w:rsid w:val="189B0D0B"/>
    <w:rsid w:val="18B43F7C"/>
    <w:rsid w:val="194A1770"/>
    <w:rsid w:val="19B906A4"/>
    <w:rsid w:val="19FB026E"/>
    <w:rsid w:val="1B2D4F18"/>
    <w:rsid w:val="1B3A2CE5"/>
    <w:rsid w:val="1B6F15B6"/>
    <w:rsid w:val="1B7B30AE"/>
    <w:rsid w:val="1BAA2EDC"/>
    <w:rsid w:val="1C5C0973"/>
    <w:rsid w:val="1CA55E64"/>
    <w:rsid w:val="1D014A01"/>
    <w:rsid w:val="1D022362"/>
    <w:rsid w:val="1D1B04B0"/>
    <w:rsid w:val="1D6534C4"/>
    <w:rsid w:val="1DBD6767"/>
    <w:rsid w:val="1DC52125"/>
    <w:rsid w:val="1DD26311"/>
    <w:rsid w:val="1E374ACB"/>
    <w:rsid w:val="1E3E6257"/>
    <w:rsid w:val="1E5E27E3"/>
    <w:rsid w:val="1EA33588"/>
    <w:rsid w:val="1EB57761"/>
    <w:rsid w:val="1ECF0A66"/>
    <w:rsid w:val="1EF67CA4"/>
    <w:rsid w:val="1F020D3A"/>
    <w:rsid w:val="1F2C5189"/>
    <w:rsid w:val="1F4B0B02"/>
    <w:rsid w:val="1F6B590A"/>
    <w:rsid w:val="1FBB35CD"/>
    <w:rsid w:val="1FCD26AF"/>
    <w:rsid w:val="20642787"/>
    <w:rsid w:val="20F4064E"/>
    <w:rsid w:val="21556F04"/>
    <w:rsid w:val="217B0D8B"/>
    <w:rsid w:val="21F24D12"/>
    <w:rsid w:val="21F8003B"/>
    <w:rsid w:val="22403BD3"/>
    <w:rsid w:val="23DA37D9"/>
    <w:rsid w:val="2453244B"/>
    <w:rsid w:val="24B92327"/>
    <w:rsid w:val="24C14514"/>
    <w:rsid w:val="24C8352E"/>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641AD6"/>
    <w:rsid w:val="2E6F061F"/>
    <w:rsid w:val="2EBF7B3E"/>
    <w:rsid w:val="2ED32362"/>
    <w:rsid w:val="2EDE1934"/>
    <w:rsid w:val="2FCA4B37"/>
    <w:rsid w:val="2FE029D7"/>
    <w:rsid w:val="2FF06E00"/>
    <w:rsid w:val="30562E26"/>
    <w:rsid w:val="30586FEC"/>
    <w:rsid w:val="307943A1"/>
    <w:rsid w:val="30EC7046"/>
    <w:rsid w:val="315F0B22"/>
    <w:rsid w:val="317039A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512C7F"/>
    <w:rsid w:val="36C9128A"/>
    <w:rsid w:val="372E3953"/>
    <w:rsid w:val="37841E99"/>
    <w:rsid w:val="37BF1123"/>
    <w:rsid w:val="383C3F15"/>
    <w:rsid w:val="38514C8B"/>
    <w:rsid w:val="38A0532B"/>
    <w:rsid w:val="38A91B02"/>
    <w:rsid w:val="38BE4696"/>
    <w:rsid w:val="3939115E"/>
    <w:rsid w:val="39B4295D"/>
    <w:rsid w:val="39B82A39"/>
    <w:rsid w:val="39C42CA8"/>
    <w:rsid w:val="39DC4FD6"/>
    <w:rsid w:val="39F03D7A"/>
    <w:rsid w:val="39F33306"/>
    <w:rsid w:val="39F802F3"/>
    <w:rsid w:val="3A2C1C67"/>
    <w:rsid w:val="3B1705E5"/>
    <w:rsid w:val="3B18334B"/>
    <w:rsid w:val="3B36794F"/>
    <w:rsid w:val="3C566AD6"/>
    <w:rsid w:val="3C6A5B02"/>
    <w:rsid w:val="3CDA6309"/>
    <w:rsid w:val="3D2757A1"/>
    <w:rsid w:val="3D3D4FC4"/>
    <w:rsid w:val="3DDF3AB1"/>
    <w:rsid w:val="3E1D0952"/>
    <w:rsid w:val="3E2E2AA2"/>
    <w:rsid w:val="3E3101B4"/>
    <w:rsid w:val="3E42660A"/>
    <w:rsid w:val="3E7555B1"/>
    <w:rsid w:val="3E787ED9"/>
    <w:rsid w:val="3EEC37F3"/>
    <w:rsid w:val="3F032E93"/>
    <w:rsid w:val="3F0527E5"/>
    <w:rsid w:val="3F4814B0"/>
    <w:rsid w:val="3F5E5D98"/>
    <w:rsid w:val="3F5E7474"/>
    <w:rsid w:val="3F694D83"/>
    <w:rsid w:val="3F885DCC"/>
    <w:rsid w:val="3FCD675E"/>
    <w:rsid w:val="3FD85478"/>
    <w:rsid w:val="3FD86860"/>
    <w:rsid w:val="3FE3758E"/>
    <w:rsid w:val="4004000C"/>
    <w:rsid w:val="40D54604"/>
    <w:rsid w:val="411B6CE5"/>
    <w:rsid w:val="412070D7"/>
    <w:rsid w:val="41314E40"/>
    <w:rsid w:val="41E0734B"/>
    <w:rsid w:val="426554D0"/>
    <w:rsid w:val="426C1EA8"/>
    <w:rsid w:val="42736402"/>
    <w:rsid w:val="42E86A87"/>
    <w:rsid w:val="43307B09"/>
    <w:rsid w:val="43470647"/>
    <w:rsid w:val="438D0E97"/>
    <w:rsid w:val="43A440C1"/>
    <w:rsid w:val="43BB152F"/>
    <w:rsid w:val="44494994"/>
    <w:rsid w:val="44C37687"/>
    <w:rsid w:val="4537395D"/>
    <w:rsid w:val="45CB699A"/>
    <w:rsid w:val="465B470D"/>
    <w:rsid w:val="469D6AD4"/>
    <w:rsid w:val="470A2E62"/>
    <w:rsid w:val="471E6C84"/>
    <w:rsid w:val="4748792B"/>
    <w:rsid w:val="475D719D"/>
    <w:rsid w:val="47674801"/>
    <w:rsid w:val="48225EF7"/>
    <w:rsid w:val="484E7D4C"/>
    <w:rsid w:val="488F422B"/>
    <w:rsid w:val="48E36915"/>
    <w:rsid w:val="495C4A24"/>
    <w:rsid w:val="497135DF"/>
    <w:rsid w:val="4A1605D9"/>
    <w:rsid w:val="4A263DF2"/>
    <w:rsid w:val="4A6F6675"/>
    <w:rsid w:val="4ABF0746"/>
    <w:rsid w:val="4B0502DF"/>
    <w:rsid w:val="4B135857"/>
    <w:rsid w:val="4B7951CB"/>
    <w:rsid w:val="4B7C315C"/>
    <w:rsid w:val="4B9564CD"/>
    <w:rsid w:val="4C3A00B9"/>
    <w:rsid w:val="4C5E3ECB"/>
    <w:rsid w:val="4C786606"/>
    <w:rsid w:val="4CCF773C"/>
    <w:rsid w:val="4DAC4ACA"/>
    <w:rsid w:val="4DBE01D2"/>
    <w:rsid w:val="4EC92552"/>
    <w:rsid w:val="4EFC6D10"/>
    <w:rsid w:val="4F0C6BA3"/>
    <w:rsid w:val="4F10477D"/>
    <w:rsid w:val="4F186D58"/>
    <w:rsid w:val="4F424214"/>
    <w:rsid w:val="4FE60AD4"/>
    <w:rsid w:val="4FEA65B7"/>
    <w:rsid w:val="5042146E"/>
    <w:rsid w:val="508B5F68"/>
    <w:rsid w:val="50F06B6E"/>
    <w:rsid w:val="52234D33"/>
    <w:rsid w:val="52261ABA"/>
    <w:rsid w:val="522F6E0C"/>
    <w:rsid w:val="52463BA1"/>
    <w:rsid w:val="5280431E"/>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0C7418"/>
    <w:rsid w:val="561D52C4"/>
    <w:rsid w:val="5651697D"/>
    <w:rsid w:val="56530F5D"/>
    <w:rsid w:val="56692AE5"/>
    <w:rsid w:val="567700D3"/>
    <w:rsid w:val="56FF7E9E"/>
    <w:rsid w:val="578867FC"/>
    <w:rsid w:val="5842572D"/>
    <w:rsid w:val="59FF7C3B"/>
    <w:rsid w:val="5A3B59D6"/>
    <w:rsid w:val="5AD134D8"/>
    <w:rsid w:val="5ADB51AB"/>
    <w:rsid w:val="5B6503B1"/>
    <w:rsid w:val="5C0F7EC4"/>
    <w:rsid w:val="5C263CE4"/>
    <w:rsid w:val="5C5D2777"/>
    <w:rsid w:val="5CF66BF3"/>
    <w:rsid w:val="5D290C69"/>
    <w:rsid w:val="5D52568A"/>
    <w:rsid w:val="5EB91454"/>
    <w:rsid w:val="5F2D4A41"/>
    <w:rsid w:val="5F50072F"/>
    <w:rsid w:val="60C74F6C"/>
    <w:rsid w:val="61025A59"/>
    <w:rsid w:val="613D5BBC"/>
    <w:rsid w:val="61536C39"/>
    <w:rsid w:val="61E64F4A"/>
    <w:rsid w:val="623E0993"/>
    <w:rsid w:val="626F318E"/>
    <w:rsid w:val="62944DD7"/>
    <w:rsid w:val="6319381F"/>
    <w:rsid w:val="63236436"/>
    <w:rsid w:val="636F2DA8"/>
    <w:rsid w:val="63C25DC5"/>
    <w:rsid w:val="63C62057"/>
    <w:rsid w:val="642F50CC"/>
    <w:rsid w:val="64571EF5"/>
    <w:rsid w:val="64CB0157"/>
    <w:rsid w:val="64FB113D"/>
    <w:rsid w:val="65036946"/>
    <w:rsid w:val="651D2E62"/>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BD9385B"/>
    <w:rsid w:val="6C560CAE"/>
    <w:rsid w:val="6C576495"/>
    <w:rsid w:val="6D903FF5"/>
    <w:rsid w:val="6DA955B8"/>
    <w:rsid w:val="6DB4595E"/>
    <w:rsid w:val="6DBB1718"/>
    <w:rsid w:val="6DE346AB"/>
    <w:rsid w:val="6DE5391A"/>
    <w:rsid w:val="6EFD1324"/>
    <w:rsid w:val="6F5A53AC"/>
    <w:rsid w:val="6FAC003D"/>
    <w:rsid w:val="6FE55E12"/>
    <w:rsid w:val="6FFB2E76"/>
    <w:rsid w:val="708F6F7F"/>
    <w:rsid w:val="70D94BD3"/>
    <w:rsid w:val="71C34D91"/>
    <w:rsid w:val="72D44823"/>
    <w:rsid w:val="72DB435C"/>
    <w:rsid w:val="72E2613A"/>
    <w:rsid w:val="72F771F4"/>
    <w:rsid w:val="734150D5"/>
    <w:rsid w:val="736650B0"/>
    <w:rsid w:val="73934AD2"/>
    <w:rsid w:val="750837F0"/>
    <w:rsid w:val="75216CCE"/>
    <w:rsid w:val="754758CF"/>
    <w:rsid w:val="761275E6"/>
    <w:rsid w:val="764F62AB"/>
    <w:rsid w:val="765C45EC"/>
    <w:rsid w:val="768A7619"/>
    <w:rsid w:val="76AA36E6"/>
    <w:rsid w:val="76E9380D"/>
    <w:rsid w:val="772E1EBA"/>
    <w:rsid w:val="77303AE2"/>
    <w:rsid w:val="77D84C1E"/>
    <w:rsid w:val="77EB79F7"/>
    <w:rsid w:val="78F34ECC"/>
    <w:rsid w:val="796D60A4"/>
    <w:rsid w:val="79A031D5"/>
    <w:rsid w:val="7A1525F7"/>
    <w:rsid w:val="7AB05B43"/>
    <w:rsid w:val="7B24540B"/>
    <w:rsid w:val="7B420052"/>
    <w:rsid w:val="7B861484"/>
    <w:rsid w:val="7BAA4AE6"/>
    <w:rsid w:val="7BD06A28"/>
    <w:rsid w:val="7BF31368"/>
    <w:rsid w:val="7C3A7C0B"/>
    <w:rsid w:val="7C5248E4"/>
    <w:rsid w:val="7C566698"/>
    <w:rsid w:val="7C5866A3"/>
    <w:rsid w:val="7CBD6C4E"/>
    <w:rsid w:val="7CBE2F89"/>
    <w:rsid w:val="7D7406BB"/>
    <w:rsid w:val="7DE94331"/>
    <w:rsid w:val="7F446A19"/>
    <w:rsid w:val="7F7452B9"/>
    <w:rsid w:val="7F8401D1"/>
    <w:rsid w:val="7FAC32D7"/>
    <w:rsid w:val="7FCB0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8"/>
    <customShpInfo spid="_x0000_s1027"/>
    <customShpInfo spid="_x0000_s1029"/>
    <customShpInfo spid="_x0000_s1032"/>
    <customShpInfo spid="_x0000_s1035"/>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2895</Words>
  <Characters>2923</Characters>
  <Lines>186</Lines>
  <Paragraphs>52</Paragraphs>
  <TotalTime>3</TotalTime>
  <ScaleCrop>false</ScaleCrop>
  <LinksUpToDate>false</LinksUpToDate>
  <CharactersWithSpaces>2936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2025-11-17T08:38:03Z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BB46EABDBB2749749395447164B066B3_12</vt:lpwstr>
  </property>
  <property fmtid="{D5CDD505-2E9C-101B-9397-08002B2CF9AE}" pid="4" name="KSOTemplateDocerSaveRecord">
    <vt:lpwstr>eyJoZGlkIjoiNTNlYzU2NDZlZWRhZGY1YzdjNGExMDUwNGJjODllMjkiLCJ1c2VySWQiOiIzMTA2OTkzNTQifQ==</vt:lpwstr>
  </property>
</Properties>
</file>