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786ED">
      <w:pPr>
        <w:pStyle w:val="6"/>
        <w:keepNext w:val="0"/>
        <w:keepLines w:val="0"/>
        <w:pageBreakBefore w:val="0"/>
        <w:widowControl/>
        <w:kinsoku/>
        <w:wordWrap/>
        <w:overflowPunct/>
        <w:topLinePunct w:val="0"/>
        <w:autoSpaceDE/>
        <w:autoSpaceDN/>
        <w:bidi w:val="0"/>
        <w:adjustRightInd/>
        <w:snapToGrid/>
        <w:spacing w:before="0" w:beforeAutospacing="0" w:line="58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重庆市城口县规划和自然资源局</w:t>
      </w:r>
      <w:r>
        <w:rPr>
          <w:rFonts w:hint="eastAsia" w:ascii="方正小标宋_GBK" w:hAnsi="方正小标宋_GBK" w:eastAsia="方正小标宋_GBK" w:cs="方正小标宋_GBK"/>
          <w:sz w:val="44"/>
          <w:szCs w:val="44"/>
          <w:shd w:val="clear" w:color="auto" w:fill="FFFFFF"/>
        </w:rPr>
        <w:t>2023年</w:t>
      </w:r>
    </w:p>
    <w:p w14:paraId="1D86DCF3">
      <w:pPr>
        <w:pStyle w:val="6"/>
        <w:keepNext w:val="0"/>
        <w:keepLines w:val="0"/>
        <w:pageBreakBefore w:val="0"/>
        <w:widowControl/>
        <w:kinsoku/>
        <w:wordWrap/>
        <w:overflowPunct/>
        <w:topLinePunct w:val="0"/>
        <w:autoSpaceDE/>
        <w:autoSpaceDN/>
        <w:bidi w:val="0"/>
        <w:adjustRightInd/>
        <w:snapToGrid/>
        <w:spacing w:before="0" w:beforeAutospacing="0" w:line="58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决算公开说明</w:t>
      </w:r>
    </w:p>
    <w:p w14:paraId="32BA7DDF">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一、部门基本情况</w:t>
      </w:r>
    </w:p>
    <w:p w14:paraId="5110336C">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Fonts w:hint="default" w:ascii="Times New Roman" w:hAnsi="Times New Roman" w:eastAsia="方正楷体_GBK" w:cs="Times New Roman"/>
          <w:b w:val="0"/>
          <w:bCs/>
          <w:color w:val="auto"/>
          <w:sz w:val="32"/>
          <w:szCs w:val="32"/>
          <w:lang w:val="en-US" w:eastAsia="zh-CN"/>
        </w:rPr>
      </w:pPr>
      <w:r>
        <w:rPr>
          <w:rStyle w:val="10"/>
          <w:rFonts w:hint="default" w:ascii="Times New Roman" w:hAnsi="Times New Roman" w:eastAsia="方正楷体_GBK" w:cs="Times New Roman"/>
          <w:b w:val="0"/>
          <w:bCs/>
          <w:color w:val="auto"/>
          <w:sz w:val="32"/>
          <w:szCs w:val="32"/>
          <w:shd w:val="clear" w:color="auto" w:fill="FFFFFF"/>
        </w:rPr>
        <w:t>（一）</w:t>
      </w:r>
      <w:r>
        <w:rPr>
          <w:rFonts w:hint="default" w:ascii="Times New Roman" w:hAnsi="Times New Roman" w:eastAsia="方正楷体_GBK" w:cs="Times New Roman"/>
          <w:b w:val="0"/>
          <w:bCs/>
          <w:color w:val="auto"/>
          <w:sz w:val="32"/>
          <w:szCs w:val="32"/>
          <w:lang w:val="en-US" w:eastAsia="zh-CN"/>
        </w:rPr>
        <w:t>职能职责</w:t>
      </w:r>
    </w:p>
    <w:p w14:paraId="10FC9FE3">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履行全民所有土地、矿产、森林、草原、湿地、水等自然资源资产所有者职责和所有国土空间用途管制职责；负责自然资源调查监测评价。制定自然资源调查监测；负责自然资源统一确权登记工作；负责自然资源资产有偿使用工作；负责自然资源的合理开发利用；负责建立空间规划体系并监督实施；建立健全国土空间用途管制制度，研究拟订全县城乡规划政策并监督实施；负责自然资源文化的挖掘、研究、保护和利用工作；负责统筹国土空间生态修复；负责组织实施最严格的耕地保护制度；是负责管理地质勘查行业和地质工作；是负责落实综合防灾减灾规划相关要求，组织编制全县地质灾害防治规划和防护标准并指导实施；是负责矿产资源管理工作；是负责测绘地理信息管理工作；是促进空间规划和自然资源领域科技发展；是承担全县空间规划和自然资源管理的督察工作；负责机关、所属单位党群工作，承担城口县规划委员会办公室的日常工作，完成县委、县政府交办的其他任务。</w:t>
      </w:r>
    </w:p>
    <w:p w14:paraId="36DFB1F0">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rPr>
        <w:t>（二）机构设置</w:t>
      </w:r>
    </w:p>
    <w:p w14:paraId="1597DE6F">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机关设科室7个：办公室（政策法规科、财务审计科）；自然资源调查确权科、自然资源开发利用科（自然资源保护修复科）、规划编制科、规划管理科（行政审批科）、地质灾害防治科、矿产资源管理科。</w:t>
      </w:r>
    </w:p>
    <w:p w14:paraId="24850746">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下属事业单位共8个，县土地房屋征收中心、县乡镇规划和自然资源事务中心、县不动产登记服务中心、县城乡规划服务中心、县土地整治储备流转中心、县地质环境监测站、县矿产品费用征收管理所，执法监察大队。</w:t>
      </w:r>
    </w:p>
    <w:p w14:paraId="2F7114AD">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县规划自然资源局机关编制共计142名，其中行政编制12名编制，事业编制129名编制、机关后勤服务人员事业编制1名在职。在职人员134名，其中</w:t>
      </w:r>
      <w:r>
        <w:rPr>
          <w:rFonts w:hint="default"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名为自收自支人员，退休职工</w:t>
      </w:r>
      <w:r>
        <w:rPr>
          <w:rFonts w:hint="default" w:ascii="Times New Roman" w:hAnsi="Times New Roman" w:eastAsia="方正仿宋_GBK" w:cs="Times New Roman"/>
          <w:b w:val="0"/>
          <w:bCs/>
          <w:color w:val="auto"/>
          <w:sz w:val="32"/>
          <w:szCs w:val="32"/>
          <w:lang w:val="en-US" w:eastAsia="zh-CN"/>
        </w:rPr>
        <w:t>55</w:t>
      </w:r>
      <w:r>
        <w:rPr>
          <w:rFonts w:hint="default" w:ascii="Times New Roman" w:hAnsi="Times New Roman" w:eastAsia="方正仿宋_GBK" w:cs="Times New Roman"/>
          <w:b w:val="0"/>
          <w:bCs/>
          <w:color w:val="auto"/>
          <w:sz w:val="32"/>
          <w:szCs w:val="32"/>
        </w:rPr>
        <w:t>名</w:t>
      </w:r>
      <w:r>
        <w:rPr>
          <w:rFonts w:hint="default" w:ascii="Times New Roman" w:hAnsi="Times New Roman" w:eastAsia="方正仿宋_GBK" w:cs="Times New Roman"/>
          <w:b w:val="0"/>
          <w:bCs/>
          <w:color w:val="auto"/>
          <w:sz w:val="32"/>
          <w:szCs w:val="32"/>
          <w:lang w:eastAsia="zh-CN"/>
        </w:rPr>
        <w:t>，其中自收自支人员</w:t>
      </w:r>
      <w:r>
        <w:rPr>
          <w:rFonts w:hint="default" w:ascii="Times New Roman" w:hAnsi="Times New Roman" w:eastAsia="方正仿宋_GBK" w:cs="Times New Roman"/>
          <w:b w:val="0"/>
          <w:bCs/>
          <w:color w:val="auto"/>
          <w:sz w:val="32"/>
          <w:szCs w:val="32"/>
          <w:lang w:val="en-US" w:eastAsia="zh-CN"/>
        </w:rPr>
        <w:t>5名</w:t>
      </w:r>
      <w:r>
        <w:rPr>
          <w:rFonts w:hint="default" w:ascii="Times New Roman" w:hAnsi="Times New Roman" w:eastAsia="方正仿宋_GBK" w:cs="Times New Roman"/>
          <w:b w:val="0"/>
          <w:bCs/>
          <w:color w:val="auto"/>
          <w:sz w:val="32"/>
          <w:szCs w:val="32"/>
          <w:lang w:eastAsia="zh-CN"/>
        </w:rPr>
        <w:t>。</w:t>
      </w:r>
    </w:p>
    <w:p w14:paraId="227F47DE">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Fonts w:hint="default" w:ascii="Times New Roman" w:hAnsi="Times New Roman" w:eastAsia="方正黑体_GBK" w:cs="Times New Roman"/>
          <w:b w:val="0"/>
          <w:bCs/>
          <w:color w:val="auto"/>
          <w:sz w:val="32"/>
          <w:szCs w:val="32"/>
          <w:lang w:eastAsia="zh-CN"/>
        </w:rPr>
      </w:pPr>
      <w:r>
        <w:rPr>
          <w:rFonts w:hint="default" w:ascii="Times New Roman" w:hAnsi="Times New Roman" w:eastAsia="方正黑体_GBK" w:cs="Times New Roman"/>
          <w:b w:val="0"/>
          <w:bCs/>
          <w:color w:val="auto"/>
          <w:sz w:val="32"/>
          <w:szCs w:val="32"/>
          <w:lang w:eastAsia="zh-CN"/>
        </w:rPr>
        <w:t>二、部门决算情况说明</w:t>
      </w:r>
    </w:p>
    <w:p w14:paraId="3F73D1AB">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rPr>
      </w:pPr>
      <w:r>
        <w:rPr>
          <w:rStyle w:val="10"/>
          <w:rFonts w:hint="default" w:ascii="Times New Roman" w:hAnsi="Times New Roman" w:eastAsia="方正楷体_GBK" w:cs="Times New Roman"/>
          <w:b w:val="0"/>
          <w:bCs/>
          <w:color w:val="auto"/>
          <w:sz w:val="32"/>
          <w:szCs w:val="32"/>
          <w:shd w:val="clear" w:color="auto" w:fill="FFFFFF"/>
          <w:lang w:eastAsia="zh-CN"/>
        </w:rPr>
        <w:t>（一）</w:t>
      </w:r>
      <w:r>
        <w:rPr>
          <w:rStyle w:val="10"/>
          <w:rFonts w:hint="default" w:ascii="Times New Roman" w:hAnsi="Times New Roman" w:eastAsia="方正楷体_GBK" w:cs="Times New Roman"/>
          <w:b w:val="0"/>
          <w:bCs/>
          <w:color w:val="auto"/>
          <w:sz w:val="32"/>
          <w:szCs w:val="32"/>
          <w:shd w:val="clear" w:color="auto" w:fill="FFFFFF"/>
        </w:rPr>
        <w:t>收入支出决算总体情况说明</w:t>
      </w:r>
    </w:p>
    <w:p w14:paraId="7A255E22">
      <w:pPr>
        <w:pStyle w:val="11"/>
        <w:keepNext w:val="0"/>
        <w:keepLines w:val="0"/>
        <w:pageBreakBefore w:val="0"/>
        <w:widowControl/>
        <w:numPr>
          <w:ilvl w:val="0"/>
          <w:numId w:val="0"/>
        </w:numPr>
        <w:kinsoku/>
        <w:wordWrap/>
        <w:overflowPunct/>
        <w:topLinePunct w:val="0"/>
        <w:autoSpaceDE w:val="0"/>
        <w:autoSpaceDN/>
        <w:bidi w:val="0"/>
        <w:adjustRightInd/>
        <w:spacing w:afterAutospacing="0"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lang w:val="en-US" w:eastAsia="zh-CN"/>
        </w:rPr>
        <w:t>1.总体情况。</w:t>
      </w:r>
      <w:r>
        <w:rPr>
          <w:rFonts w:hint="default" w:ascii="Times New Roman" w:hAnsi="Times New Roman" w:eastAsia="方正仿宋_GBK" w:cs="Times New Roman"/>
          <w:b w:val="0"/>
          <w:bCs/>
          <w:color w:val="auto"/>
          <w:sz w:val="32"/>
          <w:szCs w:val="32"/>
          <w:shd w:val="clear" w:color="auto" w:fill="FFFFFF"/>
        </w:rPr>
        <w:t>2023年度收入总计29993.64万元，支出总计</w:t>
      </w:r>
      <w:r>
        <w:rPr>
          <w:rFonts w:hint="default" w:ascii="Times New Roman" w:hAnsi="Times New Roman" w:eastAsia="方正仿宋_GBK" w:cs="Times New Roman"/>
          <w:b w:val="0"/>
          <w:bCs/>
          <w:color w:val="auto"/>
          <w:sz w:val="32"/>
          <w:szCs w:val="32"/>
        </w:rPr>
        <w:t>29993.64</w:t>
      </w:r>
      <w:r>
        <w:rPr>
          <w:rFonts w:hint="default" w:ascii="Times New Roman" w:hAnsi="Times New Roman" w:eastAsia="方正仿宋_GBK" w:cs="Times New Roman"/>
          <w:b w:val="0"/>
          <w:bCs/>
          <w:color w:val="auto"/>
          <w:sz w:val="32"/>
          <w:szCs w:val="32"/>
          <w:shd w:val="clear" w:color="auto" w:fill="FFFFFF"/>
        </w:rPr>
        <w:t>万元。收支较上年决算数增加22176.31万元，增长283.68%，主要原因</w:t>
      </w:r>
      <w:r>
        <w:rPr>
          <w:rFonts w:hint="default" w:ascii="Times New Roman" w:hAnsi="Times New Roman" w:eastAsia="方正仿宋_GBK" w:cs="Times New Roman"/>
          <w:b w:val="0"/>
          <w:bCs/>
          <w:color w:val="auto"/>
          <w:sz w:val="32"/>
          <w:szCs w:val="32"/>
          <w:shd w:val="clear" w:color="auto" w:fill="FFFFFF"/>
          <w:lang w:eastAsia="zh-CN"/>
        </w:rPr>
        <w:t>一是</w:t>
      </w:r>
      <w:r>
        <w:rPr>
          <w:rFonts w:hint="default" w:ascii="Times New Roman" w:hAnsi="Times New Roman" w:eastAsia="方正仿宋_GBK" w:cs="Times New Roman"/>
          <w:b w:val="0"/>
          <w:bCs/>
          <w:color w:val="auto"/>
          <w:sz w:val="32"/>
          <w:szCs w:val="32"/>
          <w:shd w:val="clear" w:color="auto" w:fill="FFFFFF"/>
          <w:lang w:val="en-US" w:eastAsia="zh-CN"/>
        </w:rPr>
        <w:t>2023年下达了农副食品中小企业聚集区基础设施建设项目、复兴仓储物流等项目征地和拆迁补偿支出的预算。二是2023年土地指标跨省域调剂收入安排预算。</w:t>
      </w:r>
    </w:p>
    <w:p w14:paraId="231AF85D">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2.收入情况。</w:t>
      </w:r>
      <w:r>
        <w:rPr>
          <w:rFonts w:hint="default" w:ascii="Times New Roman" w:hAnsi="Times New Roman" w:eastAsia="方正仿宋_GBK" w:cs="Times New Roman"/>
          <w:b w:val="0"/>
          <w:bCs/>
          <w:color w:val="auto"/>
          <w:sz w:val="32"/>
          <w:szCs w:val="32"/>
          <w:shd w:val="clear" w:color="auto" w:fill="FFFFFF"/>
        </w:rPr>
        <w:t>2023年度收入合计22699.60万元，较上年决算数增加15348.35万元，增长208.79%，主要原因</w:t>
      </w:r>
      <w:r>
        <w:rPr>
          <w:rFonts w:hint="default" w:ascii="Times New Roman" w:hAnsi="Times New Roman" w:eastAsia="方正仿宋_GBK" w:cs="Times New Roman"/>
          <w:b w:val="0"/>
          <w:bCs/>
          <w:color w:val="auto"/>
          <w:sz w:val="32"/>
          <w:szCs w:val="32"/>
          <w:shd w:val="clear" w:color="auto" w:fill="FFFFFF"/>
          <w:lang w:eastAsia="zh-CN"/>
        </w:rPr>
        <w:t>一是</w:t>
      </w:r>
      <w:r>
        <w:rPr>
          <w:rFonts w:hint="default" w:ascii="Times New Roman" w:hAnsi="Times New Roman" w:eastAsia="方正仿宋_GBK" w:cs="Times New Roman"/>
          <w:b w:val="0"/>
          <w:bCs/>
          <w:color w:val="auto"/>
          <w:sz w:val="32"/>
          <w:szCs w:val="32"/>
          <w:shd w:val="clear" w:color="auto" w:fill="FFFFFF"/>
          <w:lang w:val="en-US" w:eastAsia="zh-CN"/>
        </w:rPr>
        <w:t>下达了农副食品中小企业聚集区基础设施建设项目、复兴仓储物流等项目征地和拆迁补偿支出的预算，二是2023年土地指标跨省域调剂收入安排预算</w:t>
      </w:r>
      <w:r>
        <w:rPr>
          <w:rFonts w:hint="default" w:ascii="Times New Roman" w:hAnsi="Times New Roman" w:eastAsia="方正仿宋_GBK" w:cs="Times New Roman"/>
          <w:b w:val="0"/>
          <w:bCs/>
          <w:color w:val="auto"/>
          <w:sz w:val="32"/>
          <w:szCs w:val="32"/>
          <w:shd w:val="clear" w:color="auto" w:fill="FFFFFF"/>
        </w:rPr>
        <w:t>其中：财政拨款收入</w:t>
      </w:r>
      <w:r>
        <w:rPr>
          <w:rFonts w:hint="default" w:ascii="Times New Roman" w:hAnsi="Times New Roman" w:eastAsia="方正仿宋_GBK" w:cs="Times New Roman"/>
          <w:b w:val="0"/>
          <w:bCs/>
          <w:color w:val="auto"/>
          <w:sz w:val="32"/>
          <w:szCs w:val="32"/>
        </w:rPr>
        <w:t>22684.60</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99.93</w:t>
      </w:r>
      <w:r>
        <w:rPr>
          <w:rFonts w:hint="default" w:ascii="Times New Roman" w:hAnsi="Times New Roman" w:eastAsia="方正仿宋_GBK" w:cs="Times New Roman"/>
          <w:b w:val="0"/>
          <w:bCs/>
          <w:color w:val="auto"/>
          <w:sz w:val="32"/>
          <w:szCs w:val="32"/>
          <w:shd w:val="clear" w:color="auto" w:fill="FFFFFF"/>
        </w:rPr>
        <w:t>%；事业收入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万元，占0.00%；其他收入</w:t>
      </w:r>
      <w:r>
        <w:rPr>
          <w:rFonts w:hint="default" w:ascii="Times New Roman" w:hAnsi="Times New Roman" w:eastAsia="方正仿宋_GBK" w:cs="Times New Roman"/>
          <w:b w:val="0"/>
          <w:bCs/>
          <w:color w:val="auto"/>
          <w:sz w:val="32"/>
          <w:szCs w:val="32"/>
        </w:rPr>
        <w:t>15.00</w:t>
      </w:r>
      <w:r>
        <w:rPr>
          <w:rFonts w:hint="default" w:ascii="Times New Roman" w:hAnsi="Times New Roman" w:eastAsia="方正仿宋_GBK" w:cs="Times New Roman"/>
          <w:b w:val="0"/>
          <w:bCs/>
          <w:color w:val="auto"/>
          <w:sz w:val="32"/>
          <w:szCs w:val="32"/>
          <w:shd w:val="clear" w:color="auto" w:fill="FFFFFF"/>
        </w:rPr>
        <w:t>万元，占0.07%。此外，使用非财政拨款结余和专用结余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7294.04</w:t>
      </w:r>
      <w:r>
        <w:rPr>
          <w:rFonts w:hint="default" w:ascii="Times New Roman" w:hAnsi="Times New Roman" w:eastAsia="方正仿宋_GBK" w:cs="Times New Roman"/>
          <w:b w:val="0"/>
          <w:bCs/>
          <w:color w:val="auto"/>
          <w:sz w:val="32"/>
          <w:szCs w:val="32"/>
          <w:shd w:val="clear" w:color="auto" w:fill="FFFFFF"/>
        </w:rPr>
        <w:t>万元。</w:t>
      </w:r>
    </w:p>
    <w:p w14:paraId="04BD6C0C">
      <w:pPr>
        <w:pStyle w:val="11"/>
        <w:keepNext w:val="0"/>
        <w:keepLines w:val="0"/>
        <w:pageBreakBefore w:val="0"/>
        <w:widowControl/>
        <w:numPr>
          <w:ilvl w:val="0"/>
          <w:numId w:val="0"/>
        </w:numPr>
        <w:kinsoku/>
        <w:wordWrap/>
        <w:overflowPunct/>
        <w:topLinePunct w:val="0"/>
        <w:autoSpaceDE w:val="0"/>
        <w:autoSpaceDN/>
        <w:bidi w:val="0"/>
        <w:adjustRightInd/>
        <w:spacing w:afterAutospacing="0"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3.支出情况。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29993.64</w:t>
      </w:r>
      <w:r>
        <w:rPr>
          <w:rFonts w:hint="default" w:ascii="Times New Roman" w:hAnsi="Times New Roman" w:eastAsia="方正仿宋_GBK" w:cs="Times New Roman"/>
          <w:b w:val="0"/>
          <w:bCs/>
          <w:color w:val="auto"/>
          <w:sz w:val="32"/>
          <w:szCs w:val="32"/>
          <w:shd w:val="clear" w:color="auto" w:fill="FFFFFF"/>
        </w:rPr>
        <w:t>万元，较上年决算数增加22176.31万元，增长283.68%，主要原因</w:t>
      </w:r>
      <w:r>
        <w:rPr>
          <w:rFonts w:hint="default" w:ascii="Times New Roman" w:hAnsi="Times New Roman" w:eastAsia="方正仿宋_GBK" w:cs="Times New Roman"/>
          <w:b w:val="0"/>
          <w:bCs/>
          <w:color w:val="auto"/>
          <w:sz w:val="32"/>
          <w:szCs w:val="32"/>
          <w:shd w:val="clear" w:color="auto" w:fill="FFFFFF"/>
          <w:lang w:eastAsia="zh-CN"/>
        </w:rPr>
        <w:t>一是</w:t>
      </w:r>
      <w:r>
        <w:rPr>
          <w:rFonts w:hint="default" w:ascii="Times New Roman" w:hAnsi="Times New Roman" w:eastAsia="方正仿宋_GBK" w:cs="Times New Roman"/>
          <w:b w:val="0"/>
          <w:bCs/>
          <w:color w:val="auto"/>
          <w:sz w:val="32"/>
          <w:szCs w:val="32"/>
          <w:shd w:val="clear" w:color="auto" w:fill="FFFFFF"/>
          <w:lang w:val="en-US" w:eastAsia="zh-CN"/>
        </w:rPr>
        <w:t>2023年下达了农副食品中小企业聚集区基础设施建设项目、复兴仓储物流等项目征地和拆迁补偿支出的预算。二是2023年土地指标跨省域调剂收入安排预算。</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5078.06</w:t>
      </w:r>
      <w:r>
        <w:rPr>
          <w:rFonts w:hint="default" w:ascii="Times New Roman" w:hAnsi="Times New Roman" w:eastAsia="方正仿宋_GBK" w:cs="Times New Roman"/>
          <w:b w:val="0"/>
          <w:bCs/>
          <w:color w:val="auto"/>
          <w:sz w:val="32"/>
          <w:szCs w:val="32"/>
          <w:shd w:val="clear" w:color="auto" w:fill="FFFFFF"/>
        </w:rPr>
        <w:t>万元，占16.93%；项目支出</w:t>
      </w:r>
      <w:r>
        <w:rPr>
          <w:rFonts w:hint="default" w:ascii="Times New Roman" w:hAnsi="Times New Roman" w:eastAsia="方正仿宋_GBK" w:cs="Times New Roman"/>
          <w:b w:val="0"/>
          <w:bCs/>
          <w:color w:val="auto"/>
          <w:sz w:val="32"/>
          <w:szCs w:val="32"/>
        </w:rPr>
        <w:t>24915.58</w:t>
      </w:r>
      <w:r>
        <w:rPr>
          <w:rFonts w:hint="default" w:ascii="Times New Roman" w:hAnsi="Times New Roman" w:eastAsia="方正仿宋_GBK" w:cs="Times New Roman"/>
          <w:b w:val="0"/>
          <w:bCs/>
          <w:color w:val="auto"/>
          <w:sz w:val="32"/>
          <w:szCs w:val="32"/>
          <w:shd w:val="clear" w:color="auto" w:fill="FFFFFF"/>
        </w:rPr>
        <w:t>万元，占83.07%；经营支出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14:paraId="01388003">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Style w:val="10"/>
          <w:rFonts w:hint="default" w:ascii="Times New Roman" w:hAnsi="Times New Roman" w:eastAsia="方正仿宋_GBK" w:cs="Times New Roman"/>
          <w:b w:val="0"/>
          <w:bCs/>
          <w:color w:val="auto"/>
          <w:sz w:val="32"/>
          <w:szCs w:val="32"/>
          <w:shd w:val="clear" w:color="auto" w:fill="FFFFFF"/>
        </w:rPr>
        <w:t>4.结转结余情况。</w:t>
      </w:r>
      <w:r>
        <w:rPr>
          <w:rFonts w:hint="default" w:ascii="Times New Roman" w:hAnsi="Times New Roman" w:eastAsia="方正仿宋_GBK" w:cs="Times New Roman"/>
          <w:b w:val="0"/>
          <w:bCs/>
          <w:color w:val="auto"/>
          <w:sz w:val="32"/>
          <w:szCs w:val="32"/>
          <w:shd w:val="clear" w:color="auto" w:fill="FFFFFF"/>
        </w:rPr>
        <w:t>2023年度年末结转和结余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p>
    <w:p w14:paraId="76419D06">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（二）财政拨款收入支出决算总体情况说明</w:t>
      </w:r>
    </w:p>
    <w:p w14:paraId="7E5B213F">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shd w:val="clear" w:color="auto" w:fill="FFFFFF"/>
        </w:rPr>
        <w:t>2023年度财政拨款收、支总计22684.60万元。与2022年相比，财政拨款收、支总计各增加15023.77万元，增长196.11%。主要原因</w:t>
      </w:r>
      <w:r>
        <w:rPr>
          <w:rFonts w:hint="default" w:ascii="Times New Roman" w:hAnsi="Times New Roman" w:eastAsia="方正仿宋_GBK" w:cs="Times New Roman"/>
          <w:b w:val="0"/>
          <w:bCs/>
          <w:color w:val="auto"/>
          <w:sz w:val="32"/>
          <w:szCs w:val="32"/>
          <w:shd w:val="clear" w:color="auto" w:fill="FFFFFF"/>
          <w:lang w:eastAsia="zh-CN"/>
        </w:rPr>
        <w:t>一是</w:t>
      </w:r>
      <w:r>
        <w:rPr>
          <w:rFonts w:hint="default" w:ascii="Times New Roman" w:hAnsi="Times New Roman" w:eastAsia="方正仿宋_GBK" w:cs="Times New Roman"/>
          <w:b w:val="0"/>
          <w:bCs/>
          <w:color w:val="auto"/>
          <w:sz w:val="32"/>
          <w:szCs w:val="32"/>
          <w:shd w:val="clear" w:color="auto" w:fill="FFFFFF"/>
          <w:lang w:val="en-US" w:eastAsia="zh-CN"/>
        </w:rPr>
        <w:t>2023年下达了农副食品中小企业聚集区基础设施建设项目、复兴仓储物流等项目征地和拆迁补偿支出的预算。二是2023年土地指标跨省域调剂收入安排预算。</w:t>
      </w:r>
    </w:p>
    <w:p w14:paraId="3223505F">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（三）一般公共预算财政拨款收入支出决算情况说明</w:t>
      </w:r>
    </w:p>
    <w:p w14:paraId="7539546A">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Style w:val="10"/>
          <w:rFonts w:hint="default" w:ascii="Times New Roman" w:hAnsi="Times New Roman" w:eastAsia="方正仿宋_GBK" w:cs="Times New Roman"/>
          <w:b w:val="0"/>
          <w:bCs/>
          <w:color w:val="auto"/>
          <w:sz w:val="32"/>
          <w:szCs w:val="32"/>
          <w:shd w:val="clear" w:color="auto" w:fill="FFFFFF"/>
        </w:rPr>
        <w:t>1.收入情况。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13746.18</w:t>
      </w:r>
      <w:r>
        <w:rPr>
          <w:rFonts w:hint="default" w:ascii="Times New Roman" w:hAnsi="Times New Roman" w:eastAsia="方正仿宋_GBK" w:cs="Times New Roman"/>
          <w:b w:val="0"/>
          <w:bCs/>
          <w:color w:val="auto"/>
          <w:sz w:val="32"/>
          <w:szCs w:val="32"/>
          <w:shd w:val="clear" w:color="auto" w:fill="FFFFFF"/>
        </w:rPr>
        <w:t>万元，较上年决算数增加10624.72万元，增长340.38%。主要原因</w:t>
      </w:r>
      <w:r>
        <w:rPr>
          <w:rFonts w:hint="default" w:ascii="Times New Roman" w:hAnsi="Times New Roman" w:eastAsia="方正仿宋_GBK" w:cs="Times New Roman"/>
          <w:b w:val="0"/>
          <w:bCs/>
          <w:color w:val="auto"/>
          <w:sz w:val="32"/>
          <w:szCs w:val="32"/>
          <w:shd w:val="clear" w:color="auto" w:fill="FFFFFF"/>
          <w:lang w:eastAsia="zh-CN"/>
        </w:rPr>
        <w:t>一是土地指标跨省域调剂收入；二是下达了市级生态修复项目。</w:t>
      </w:r>
      <w:r>
        <w:rPr>
          <w:rFonts w:hint="default" w:ascii="Times New Roman" w:hAnsi="Times New Roman" w:eastAsia="方正仿宋_GBK" w:cs="Times New Roman"/>
          <w:b w:val="0"/>
          <w:bCs/>
          <w:color w:val="auto"/>
          <w:sz w:val="32"/>
          <w:szCs w:val="32"/>
          <w:shd w:val="clear" w:color="auto" w:fill="FFFFFF"/>
        </w:rPr>
        <w:t>较年初预算数增加9862.87万元，增长253.98%。主要原因</w:t>
      </w:r>
      <w:r>
        <w:rPr>
          <w:rFonts w:hint="default" w:ascii="Times New Roman" w:hAnsi="Times New Roman" w:eastAsia="方正仿宋_GBK" w:cs="Times New Roman"/>
          <w:b w:val="0"/>
          <w:bCs/>
          <w:color w:val="auto"/>
          <w:sz w:val="32"/>
          <w:szCs w:val="32"/>
          <w:shd w:val="clear" w:color="auto" w:fill="FFFFFF"/>
          <w:lang w:eastAsia="zh-CN"/>
        </w:rPr>
        <w:t>一是土地指标跨省域调剂收入，二是下达2023年基本农田有偿调剂费预算及生态修复项目收入。</w:t>
      </w:r>
    </w:p>
    <w:p w14:paraId="7CBC4967">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Style w:val="10"/>
          <w:rFonts w:hint="default" w:ascii="Times New Roman" w:hAnsi="Times New Roman" w:eastAsia="方正仿宋_GBK" w:cs="Times New Roman"/>
          <w:b w:val="0"/>
          <w:bCs/>
          <w:color w:val="auto"/>
          <w:sz w:val="32"/>
          <w:szCs w:val="32"/>
          <w:shd w:val="clear" w:color="auto" w:fill="FFFFFF"/>
        </w:rPr>
        <w:t>2.支出情况。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13746.18</w:t>
      </w:r>
      <w:r>
        <w:rPr>
          <w:rFonts w:hint="default" w:ascii="Times New Roman" w:hAnsi="Times New Roman" w:eastAsia="方正仿宋_GBK" w:cs="Times New Roman"/>
          <w:b w:val="0"/>
          <w:bCs/>
          <w:color w:val="auto"/>
          <w:sz w:val="32"/>
          <w:szCs w:val="32"/>
          <w:shd w:val="clear" w:color="auto" w:fill="FFFFFF"/>
        </w:rPr>
        <w:t>万元，较上年决算数增加10158.64万元，增长283.16%。主要原因</w:t>
      </w:r>
      <w:r>
        <w:rPr>
          <w:rFonts w:hint="default" w:ascii="Times New Roman" w:hAnsi="Times New Roman" w:eastAsia="方正仿宋_GBK" w:cs="Times New Roman"/>
          <w:b w:val="0"/>
          <w:bCs/>
          <w:color w:val="auto"/>
          <w:sz w:val="32"/>
          <w:szCs w:val="32"/>
          <w:shd w:val="clear" w:color="auto" w:fill="FFFFFF"/>
          <w:lang w:eastAsia="zh-CN"/>
        </w:rPr>
        <w:t>一是土地指标跨省域调剂支出，二是下达了支出了市级生态修复项目资金。</w:t>
      </w:r>
      <w:r>
        <w:rPr>
          <w:rFonts w:hint="default" w:ascii="Times New Roman" w:hAnsi="Times New Roman" w:eastAsia="方正仿宋_GBK" w:cs="Times New Roman"/>
          <w:b w:val="0"/>
          <w:bCs/>
          <w:color w:val="auto"/>
          <w:sz w:val="32"/>
          <w:szCs w:val="32"/>
          <w:shd w:val="clear" w:color="auto" w:fill="FFFFFF"/>
        </w:rPr>
        <w:t>较年初预算数增加9862.87万元，增长253.98%。主要原因</w:t>
      </w:r>
      <w:r>
        <w:rPr>
          <w:rFonts w:hint="default" w:ascii="Times New Roman" w:hAnsi="Times New Roman" w:eastAsia="方正仿宋_GBK" w:cs="Times New Roman"/>
          <w:b w:val="0"/>
          <w:bCs/>
          <w:color w:val="auto"/>
          <w:sz w:val="32"/>
          <w:szCs w:val="32"/>
          <w:shd w:val="clear" w:color="auto" w:fill="FFFFFF"/>
          <w:lang w:eastAsia="zh-CN"/>
        </w:rPr>
        <w:t>一是土地指标跨省域调剂支出，二是2023年基本农田有偿调剂费预算及生态修复项目支出。</w:t>
      </w:r>
    </w:p>
    <w:p w14:paraId="0BBF3467">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Style w:val="10"/>
          <w:rFonts w:hint="default" w:ascii="Times New Roman" w:hAnsi="Times New Roman" w:eastAsia="方正仿宋_GBK" w:cs="Times New Roman"/>
          <w:b w:val="0"/>
          <w:bCs/>
          <w:color w:val="auto"/>
          <w:sz w:val="32"/>
          <w:szCs w:val="32"/>
          <w:shd w:val="clear" w:color="auto" w:fill="FFFFFF"/>
        </w:rPr>
        <w:t>3.结转结余情况。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p>
    <w:p w14:paraId="76C50DD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10"/>
          <w:rFonts w:hint="default" w:ascii="Times New Roman" w:hAnsi="Times New Roman" w:eastAsia="方正仿宋_GBK" w:cs="Times New Roman"/>
          <w:b w:val="0"/>
          <w:bCs/>
          <w:color w:val="auto"/>
          <w:sz w:val="32"/>
          <w:szCs w:val="32"/>
          <w:shd w:val="clear" w:color="auto" w:fill="FFFFFF"/>
        </w:rPr>
        <w:t>4.比较情况。</w:t>
      </w:r>
      <w:r>
        <w:rPr>
          <w:rFonts w:hint="default" w:ascii="Times New Roman" w:hAnsi="Times New Roman" w:eastAsia="方正仿宋_GBK" w:cs="Times New Roman"/>
          <w:b w:val="0"/>
          <w:bCs/>
          <w:color w:val="auto"/>
          <w:sz w:val="32"/>
          <w:szCs w:val="32"/>
          <w:shd w:val="clear" w:color="auto" w:fill="FFFFFF"/>
        </w:rPr>
        <w:t>本部门2023年度一般公共预算财政拨款支出主要用于以下几个方面：</w:t>
      </w:r>
    </w:p>
    <w:p w14:paraId="5C0CD256">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（1）一般公共服务支出</w:t>
      </w:r>
      <w:r>
        <w:rPr>
          <w:rFonts w:hint="default" w:ascii="Times New Roman" w:hAnsi="Times New Roman" w:eastAsia="方正仿宋_GBK" w:cs="Times New Roman"/>
          <w:b w:val="0"/>
          <w:bCs/>
          <w:color w:val="auto"/>
          <w:sz w:val="32"/>
          <w:szCs w:val="32"/>
        </w:rPr>
        <w:t>10.65</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0.08</w:t>
      </w:r>
      <w:r>
        <w:rPr>
          <w:rFonts w:hint="default" w:ascii="Times New Roman" w:hAnsi="Times New Roman" w:eastAsia="方正仿宋_GBK" w:cs="Times New Roman"/>
          <w:b w:val="0"/>
          <w:bCs/>
          <w:color w:val="auto"/>
          <w:sz w:val="32"/>
          <w:szCs w:val="32"/>
          <w:shd w:val="clear" w:color="auto" w:fill="FFFFFF"/>
        </w:rPr>
        <w:t>%，较年初预算数无增减，主要原因是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该项支出主要是</w:t>
      </w:r>
      <w:r>
        <w:rPr>
          <w:rFonts w:hint="default" w:ascii="Times New Roman" w:hAnsi="Times New Roman" w:eastAsia="方正仿宋_GBK" w:cs="Times New Roman"/>
          <w:b w:val="0"/>
          <w:bCs/>
          <w:color w:val="auto"/>
          <w:sz w:val="32"/>
          <w:szCs w:val="32"/>
          <w:shd w:val="clear" w:color="auto" w:fill="FFFFFF"/>
        </w:rPr>
        <w:t>其他共产党事务支出</w:t>
      </w:r>
      <w:r>
        <w:rPr>
          <w:rFonts w:hint="default" w:ascii="Times New Roman" w:hAnsi="Times New Roman" w:eastAsia="方正仿宋_GBK" w:cs="Times New Roman"/>
          <w:b w:val="0"/>
          <w:bCs/>
          <w:color w:val="auto"/>
          <w:sz w:val="32"/>
          <w:szCs w:val="32"/>
          <w:shd w:val="clear" w:color="auto" w:fill="FFFFFF"/>
          <w:lang w:eastAsia="zh-CN"/>
        </w:rPr>
        <w:t>，收入支出持平，无预算调整。</w:t>
      </w:r>
    </w:p>
    <w:p w14:paraId="0CC0FC6C">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2</w:t>
      </w:r>
      <w:r>
        <w:rPr>
          <w:rFonts w:hint="default" w:ascii="Times New Roman" w:hAnsi="Times New Roman" w:eastAsia="方正仿宋_GBK" w:cs="Times New Roman"/>
          <w:b w:val="0"/>
          <w:bCs/>
          <w:color w:val="auto"/>
          <w:sz w:val="32"/>
          <w:szCs w:val="32"/>
          <w:shd w:val="clear" w:color="auto" w:fill="FFFFFF"/>
        </w:rPr>
        <w:t>）社会保障与就业支出</w:t>
      </w:r>
      <w:r>
        <w:rPr>
          <w:rFonts w:hint="default" w:ascii="Times New Roman" w:hAnsi="Times New Roman" w:eastAsia="方正仿宋_GBK" w:cs="Times New Roman"/>
          <w:b w:val="0"/>
          <w:bCs/>
          <w:color w:val="auto"/>
          <w:sz w:val="32"/>
          <w:szCs w:val="32"/>
        </w:rPr>
        <w:t>407.62</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2.97</w:t>
      </w:r>
      <w:r>
        <w:rPr>
          <w:rFonts w:hint="default" w:ascii="Times New Roman" w:hAnsi="Times New Roman" w:eastAsia="方正仿宋_GBK" w:cs="Times New Roman"/>
          <w:b w:val="0"/>
          <w:bCs/>
          <w:color w:val="auto"/>
          <w:sz w:val="32"/>
          <w:szCs w:val="32"/>
          <w:shd w:val="clear" w:color="auto" w:fill="FFFFFF"/>
        </w:rPr>
        <w:t>%，较年初预算数减少75.25万元，下降15.58%，</w:t>
      </w:r>
      <w:r>
        <w:rPr>
          <w:rFonts w:hint="default" w:ascii="Times New Roman" w:hAnsi="Times New Roman" w:eastAsia="方正仿宋_GBK" w:cs="Times New Roman"/>
          <w:b w:val="0"/>
          <w:bCs/>
          <w:color w:val="auto"/>
          <w:sz w:val="32"/>
          <w:szCs w:val="32"/>
          <w:shd w:val="clear" w:color="auto" w:fill="FFFFFF"/>
          <w:lang w:eastAsia="zh-CN"/>
        </w:rPr>
        <w:t>该项支出主要用于机关事业单位基本养老保险缴费支出、职业年金支出以及退休健康</w:t>
      </w:r>
      <w:r>
        <w:rPr>
          <w:rFonts w:hint="eastAsia" w:ascii="Times New Roman" w:hAnsi="Times New Roman" w:eastAsia="方正仿宋_GBK" w:cs="Times New Roman"/>
          <w:b w:val="0"/>
          <w:bCs/>
          <w:color w:val="auto"/>
          <w:sz w:val="32"/>
          <w:szCs w:val="32"/>
          <w:shd w:val="clear" w:color="auto" w:fill="FFFFFF"/>
          <w:lang w:eastAsia="zh-CN"/>
        </w:rPr>
        <w:t>休养费</w:t>
      </w:r>
      <w:r>
        <w:rPr>
          <w:rFonts w:hint="default" w:ascii="Times New Roman" w:hAnsi="Times New Roman" w:eastAsia="方正仿宋_GBK" w:cs="Times New Roman"/>
          <w:b w:val="0"/>
          <w:bCs/>
          <w:color w:val="auto"/>
          <w:sz w:val="32"/>
          <w:szCs w:val="32"/>
          <w:shd w:val="clear" w:color="auto" w:fill="FFFFFF"/>
          <w:lang w:eastAsia="zh-CN"/>
        </w:rPr>
        <w:t>。预算减少主要原因是退休健康</w:t>
      </w:r>
      <w:r>
        <w:rPr>
          <w:rFonts w:hint="eastAsia" w:ascii="Times New Roman" w:hAnsi="Times New Roman" w:eastAsia="方正仿宋_GBK" w:cs="Times New Roman"/>
          <w:b w:val="0"/>
          <w:bCs/>
          <w:color w:val="auto"/>
          <w:sz w:val="32"/>
          <w:szCs w:val="32"/>
          <w:shd w:val="clear" w:color="auto" w:fill="FFFFFF"/>
          <w:lang w:eastAsia="zh-CN"/>
        </w:rPr>
        <w:t>休养费</w:t>
      </w:r>
      <w:r>
        <w:rPr>
          <w:rFonts w:hint="default" w:ascii="Times New Roman" w:hAnsi="Times New Roman" w:eastAsia="方正仿宋_GBK" w:cs="Times New Roman"/>
          <w:b w:val="0"/>
          <w:bCs/>
          <w:color w:val="auto"/>
          <w:sz w:val="32"/>
          <w:szCs w:val="32"/>
          <w:shd w:val="clear" w:color="auto" w:fill="FFFFFF"/>
          <w:lang w:eastAsia="zh-CN"/>
        </w:rPr>
        <w:t>的调整。</w:t>
      </w:r>
    </w:p>
    <w:p w14:paraId="2BD4FF6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3</w:t>
      </w:r>
      <w:r>
        <w:rPr>
          <w:rFonts w:hint="default" w:ascii="Times New Roman" w:hAnsi="Times New Roman" w:eastAsia="方正仿宋_GBK" w:cs="Times New Roman"/>
          <w:b w:val="0"/>
          <w:bCs/>
          <w:color w:val="auto"/>
          <w:sz w:val="32"/>
          <w:szCs w:val="32"/>
          <w:shd w:val="clear" w:color="auto" w:fill="FFFFFF"/>
        </w:rPr>
        <w:t>）卫生健康支出</w:t>
      </w:r>
      <w:r>
        <w:rPr>
          <w:rFonts w:hint="default" w:ascii="Times New Roman" w:hAnsi="Times New Roman" w:eastAsia="方正仿宋_GBK" w:cs="Times New Roman"/>
          <w:b w:val="0"/>
          <w:bCs/>
          <w:color w:val="auto"/>
          <w:sz w:val="32"/>
          <w:szCs w:val="32"/>
        </w:rPr>
        <w:t>118.73</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0.86</w:t>
      </w:r>
      <w:r>
        <w:rPr>
          <w:rFonts w:hint="default" w:ascii="Times New Roman" w:hAnsi="Times New Roman" w:eastAsia="方正仿宋_GBK" w:cs="Times New Roman"/>
          <w:b w:val="0"/>
          <w:bCs/>
          <w:color w:val="auto"/>
          <w:sz w:val="32"/>
          <w:szCs w:val="32"/>
          <w:shd w:val="clear" w:color="auto" w:fill="FFFFFF"/>
        </w:rPr>
        <w:t>%，较年初预算数无增减，主要原因是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该项支出用于行政及事业单位医疗收入支出持平，无预算调整。</w:t>
      </w:r>
    </w:p>
    <w:p w14:paraId="588D1442">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）农林水支出</w:t>
      </w:r>
      <w:r>
        <w:rPr>
          <w:rFonts w:hint="default" w:ascii="Times New Roman" w:hAnsi="Times New Roman" w:eastAsia="方正仿宋_GBK" w:cs="Times New Roman"/>
          <w:b w:val="0"/>
          <w:bCs/>
          <w:color w:val="auto"/>
          <w:sz w:val="32"/>
          <w:szCs w:val="32"/>
        </w:rPr>
        <w:t>7715.00</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56.12</w:t>
      </w:r>
      <w:r>
        <w:rPr>
          <w:rFonts w:hint="default" w:ascii="Times New Roman" w:hAnsi="Times New Roman" w:eastAsia="方正仿宋_GBK" w:cs="Times New Roman"/>
          <w:b w:val="0"/>
          <w:bCs/>
          <w:color w:val="auto"/>
          <w:sz w:val="32"/>
          <w:szCs w:val="32"/>
          <w:shd w:val="clear" w:color="auto" w:fill="FFFFFF"/>
        </w:rPr>
        <w:t>%，较年初预算数增加7715.00万元，增长100.00%，主要原因是</w:t>
      </w:r>
      <w:r>
        <w:rPr>
          <w:rFonts w:hint="default" w:ascii="Times New Roman" w:hAnsi="Times New Roman" w:eastAsia="方正仿宋_GBK" w:cs="Times New Roman"/>
          <w:b w:val="0"/>
          <w:bCs/>
          <w:color w:val="auto"/>
          <w:sz w:val="32"/>
          <w:szCs w:val="32"/>
          <w:shd w:val="clear" w:color="auto" w:fill="FFFFFF"/>
          <w:lang w:eastAsia="zh-CN"/>
        </w:rPr>
        <w:t>年初未预算</w:t>
      </w:r>
      <w:r>
        <w:rPr>
          <w:rFonts w:hint="default" w:ascii="Times New Roman" w:hAnsi="Times New Roman" w:eastAsia="方正仿宋_GBK" w:cs="Times New Roman"/>
          <w:b w:val="0"/>
          <w:bCs/>
          <w:color w:val="auto"/>
          <w:sz w:val="32"/>
          <w:szCs w:val="32"/>
          <w:shd w:val="clear" w:color="auto" w:fill="FFFFFF"/>
        </w:rPr>
        <w:t>土地指标跨省域调剂收入安排的支出</w:t>
      </w:r>
      <w:r>
        <w:rPr>
          <w:rFonts w:hint="default" w:ascii="Times New Roman" w:hAnsi="Times New Roman" w:eastAsia="方正仿宋_GBK" w:cs="Times New Roman"/>
          <w:b w:val="0"/>
          <w:bCs/>
          <w:color w:val="auto"/>
          <w:sz w:val="32"/>
          <w:szCs w:val="32"/>
          <w:shd w:val="clear" w:color="auto" w:fill="FFFFFF"/>
          <w:lang w:eastAsia="zh-CN"/>
        </w:rPr>
        <w:t>，资金到位后追加项目预算。</w:t>
      </w:r>
    </w:p>
    <w:p w14:paraId="18FF7E3C">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5</w:t>
      </w:r>
      <w:r>
        <w:rPr>
          <w:rFonts w:hint="default" w:ascii="Times New Roman" w:hAnsi="Times New Roman" w:eastAsia="方正仿宋_GBK" w:cs="Times New Roman"/>
          <w:b w:val="0"/>
          <w:bCs/>
          <w:color w:val="auto"/>
          <w:sz w:val="32"/>
          <w:szCs w:val="32"/>
          <w:shd w:val="clear" w:color="auto" w:fill="FFFFFF"/>
        </w:rPr>
        <w:t>）自然资源海洋气象等支出4883.84万元，占35.53%，较年初预算数增加2720.54万元，增长125.76%，主要</w:t>
      </w:r>
      <w:r>
        <w:rPr>
          <w:rFonts w:hint="default" w:ascii="Times New Roman" w:hAnsi="Times New Roman" w:eastAsia="方正仿宋_GBK" w:cs="Times New Roman"/>
          <w:b w:val="0"/>
          <w:bCs/>
          <w:color w:val="auto"/>
          <w:sz w:val="32"/>
          <w:szCs w:val="32"/>
          <w:shd w:val="clear" w:color="auto" w:fill="FFFFFF"/>
          <w:lang w:eastAsia="zh-CN"/>
        </w:rPr>
        <w:t>原因一</w:t>
      </w:r>
      <w:r>
        <w:rPr>
          <w:rFonts w:hint="default" w:ascii="Times New Roman" w:hAnsi="Times New Roman" w:eastAsia="方正仿宋_GBK" w:cs="Times New Roman"/>
          <w:b w:val="0"/>
          <w:bCs/>
          <w:color w:val="auto"/>
          <w:sz w:val="32"/>
          <w:szCs w:val="32"/>
          <w:shd w:val="clear" w:color="auto" w:fill="FFFFFF"/>
        </w:rPr>
        <w:t>是</w:t>
      </w:r>
      <w:r>
        <w:rPr>
          <w:rFonts w:hint="default" w:ascii="Times New Roman" w:hAnsi="Times New Roman" w:eastAsia="方正仿宋_GBK" w:cs="Times New Roman"/>
          <w:b w:val="0"/>
          <w:bCs/>
          <w:color w:val="auto"/>
          <w:sz w:val="32"/>
          <w:szCs w:val="32"/>
          <w:shd w:val="clear" w:color="auto" w:fill="FFFFFF"/>
          <w:lang w:eastAsia="zh-CN"/>
        </w:rPr>
        <w:t>追加事业人员绩效工资，二是追加非税收入成本返还的预算。</w:t>
      </w:r>
    </w:p>
    <w:p w14:paraId="307B6950">
      <w:pPr>
        <w:keepNext w:val="0"/>
        <w:keepLines w:val="0"/>
        <w:pageBreakBefore w:val="0"/>
        <w:widowControl/>
        <w:kinsoku/>
        <w:wordWrap/>
        <w:overflowPunct/>
        <w:topLinePunct w:val="0"/>
        <w:autoSpaceDN/>
        <w:bidi w:val="0"/>
        <w:adjustRightInd/>
        <w:spacing w:afterAutospacing="0"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6</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rPr>
        <w:t>住房保障支出154.95</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1.13</w:t>
      </w:r>
      <w:r>
        <w:rPr>
          <w:rFonts w:hint="default" w:ascii="Times New Roman" w:hAnsi="Times New Roman" w:eastAsia="方正仿宋_GBK" w:cs="Times New Roman"/>
          <w:b w:val="0"/>
          <w:bCs/>
          <w:color w:val="auto"/>
          <w:sz w:val="32"/>
          <w:szCs w:val="32"/>
          <w:shd w:val="clear" w:color="auto" w:fill="FFFFFF"/>
        </w:rPr>
        <w:t>%，较年初预算数无增减，主要原因是住房公积金</w:t>
      </w:r>
      <w:r>
        <w:rPr>
          <w:rFonts w:hint="default" w:ascii="Times New Roman" w:hAnsi="Times New Roman" w:eastAsia="方正仿宋_GBK" w:cs="Times New Roman"/>
          <w:b w:val="0"/>
          <w:bCs/>
          <w:color w:val="auto"/>
          <w:sz w:val="32"/>
          <w:szCs w:val="32"/>
          <w:shd w:val="clear" w:color="auto" w:fill="FFFFFF"/>
          <w:lang w:eastAsia="zh-CN"/>
        </w:rPr>
        <w:t>全额保障。</w:t>
      </w:r>
    </w:p>
    <w:p w14:paraId="09CB5DA6">
      <w:pPr>
        <w:keepNext w:val="0"/>
        <w:keepLines w:val="0"/>
        <w:pageBreakBefore w:val="0"/>
        <w:widowControl/>
        <w:kinsoku/>
        <w:wordWrap/>
        <w:overflowPunct/>
        <w:topLinePunct w:val="0"/>
        <w:autoSpaceDN/>
        <w:bidi w:val="0"/>
        <w:adjustRightInd/>
        <w:spacing w:afterAutospacing="0"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7</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rPr>
        <w:t>粮油物资储备支出0.00</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%，较年初预算数减少267.81万元，下降100.00%，主要原因是</w:t>
      </w:r>
      <w:r>
        <w:rPr>
          <w:rFonts w:hint="default" w:ascii="Times New Roman" w:hAnsi="Times New Roman" w:eastAsia="方正仿宋_GBK" w:cs="Times New Roman"/>
          <w:b w:val="0"/>
          <w:bCs/>
          <w:color w:val="auto"/>
          <w:sz w:val="32"/>
          <w:szCs w:val="32"/>
          <w:shd w:val="clear" w:color="auto" w:fill="FFFFFF"/>
          <w:lang w:eastAsia="zh-CN"/>
        </w:rPr>
        <w:t>追加预算</w:t>
      </w:r>
      <w:r>
        <w:rPr>
          <w:rFonts w:hint="default" w:ascii="Times New Roman" w:hAnsi="Times New Roman" w:eastAsia="方正仿宋_GBK" w:cs="Times New Roman"/>
          <w:b w:val="0"/>
          <w:bCs/>
          <w:color w:val="auto"/>
          <w:sz w:val="32"/>
          <w:szCs w:val="32"/>
        </w:rPr>
        <w:t>事业人员绩效工资</w:t>
      </w:r>
      <w:r>
        <w:rPr>
          <w:rFonts w:hint="default" w:ascii="Times New Roman" w:hAnsi="Times New Roman" w:eastAsia="方正仿宋_GBK" w:cs="Times New Roman"/>
          <w:b w:val="0"/>
          <w:bCs/>
          <w:color w:val="auto"/>
          <w:sz w:val="32"/>
          <w:szCs w:val="32"/>
          <w:lang w:eastAsia="zh-CN"/>
        </w:rPr>
        <w:t>时调整了功能科目。</w:t>
      </w:r>
    </w:p>
    <w:p w14:paraId="28AB2295">
      <w:pPr>
        <w:keepNext w:val="0"/>
        <w:keepLines w:val="0"/>
        <w:pageBreakBefore w:val="0"/>
        <w:widowControl/>
        <w:kinsoku/>
        <w:wordWrap/>
        <w:overflowPunct/>
        <w:topLinePunct w:val="0"/>
        <w:autoSpaceDN/>
        <w:bidi w:val="0"/>
        <w:adjustRightInd/>
        <w:spacing w:afterAutospacing="0"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8</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rPr>
        <w:t>灾害防治及应急管理支出455.40</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3.31</w:t>
      </w:r>
      <w:r>
        <w:rPr>
          <w:rFonts w:hint="default" w:ascii="Times New Roman" w:hAnsi="Times New Roman" w:eastAsia="方正仿宋_GBK" w:cs="Times New Roman"/>
          <w:b w:val="0"/>
          <w:bCs/>
          <w:color w:val="auto"/>
          <w:sz w:val="32"/>
          <w:szCs w:val="32"/>
          <w:shd w:val="clear" w:color="auto" w:fill="FFFFFF"/>
        </w:rPr>
        <w:t>%，较年初预算数减少229.60万元，下降33.52%，主要原因是</w:t>
      </w:r>
      <w:r>
        <w:rPr>
          <w:rFonts w:hint="default" w:ascii="Times New Roman" w:hAnsi="Times New Roman" w:eastAsia="方正仿宋_GBK" w:cs="Times New Roman"/>
          <w:b w:val="0"/>
          <w:bCs/>
          <w:color w:val="auto"/>
          <w:sz w:val="32"/>
          <w:szCs w:val="32"/>
          <w:lang w:val="en-US" w:eastAsia="zh-CN"/>
        </w:rPr>
        <w:t>2023年</w:t>
      </w:r>
      <w:r>
        <w:rPr>
          <w:rFonts w:hint="default" w:ascii="Times New Roman" w:hAnsi="Times New Roman" w:eastAsia="方正仿宋_GBK" w:cs="Times New Roman"/>
          <w:b w:val="0"/>
          <w:bCs/>
          <w:color w:val="auto"/>
          <w:sz w:val="32"/>
          <w:szCs w:val="32"/>
          <w:lang w:eastAsia="zh-CN"/>
        </w:rPr>
        <w:t>搬迁避让项目预算调整。</w:t>
      </w:r>
    </w:p>
    <w:p w14:paraId="52D5C130">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（四）一般公共预算财政拨款基本支出决算情况说明</w:t>
      </w:r>
    </w:p>
    <w:p w14:paraId="771C42FA">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rPr>
        <w:t>2023年度一般公共财政拨款基本支出</w:t>
      </w:r>
      <w:r>
        <w:rPr>
          <w:rFonts w:hint="default" w:ascii="Times New Roman" w:hAnsi="Times New Roman" w:eastAsia="方正仿宋_GBK" w:cs="Times New Roman"/>
          <w:b w:val="0"/>
          <w:bCs/>
          <w:color w:val="auto"/>
          <w:sz w:val="32"/>
          <w:szCs w:val="32"/>
        </w:rPr>
        <w:t>5078.06</w:t>
      </w:r>
      <w:r>
        <w:rPr>
          <w:rFonts w:hint="default" w:ascii="Times New Roman" w:hAnsi="Times New Roman" w:eastAsia="方正仿宋_GBK" w:cs="Times New Roman"/>
          <w:b w:val="0"/>
          <w:bCs/>
          <w:color w:val="auto"/>
          <w:sz w:val="32"/>
          <w:szCs w:val="32"/>
          <w:shd w:val="clear" w:color="auto" w:fill="FFFFFF"/>
        </w:rPr>
        <w:t>万元。其中：人员经费</w:t>
      </w:r>
      <w:r>
        <w:rPr>
          <w:rFonts w:hint="default" w:ascii="Times New Roman" w:hAnsi="Times New Roman" w:eastAsia="方正仿宋_GBK" w:cs="Times New Roman"/>
          <w:b w:val="0"/>
          <w:bCs/>
          <w:color w:val="auto"/>
          <w:sz w:val="32"/>
          <w:szCs w:val="32"/>
        </w:rPr>
        <w:t>2551.50</w:t>
      </w:r>
      <w:r>
        <w:rPr>
          <w:rFonts w:hint="default" w:ascii="Times New Roman" w:hAnsi="Times New Roman" w:eastAsia="方正仿宋_GBK" w:cs="Times New Roman"/>
          <w:b w:val="0"/>
          <w:bCs/>
          <w:color w:val="auto"/>
          <w:sz w:val="32"/>
          <w:szCs w:val="32"/>
          <w:shd w:val="clear" w:color="auto" w:fill="FFFFFF"/>
        </w:rPr>
        <w:t>万元，较上年决算数增加458.91万元，增长21.93%，主要原因是</w:t>
      </w:r>
      <w:r>
        <w:rPr>
          <w:rFonts w:hint="default" w:ascii="Times New Roman" w:hAnsi="Times New Roman" w:eastAsia="方正仿宋_GBK" w:cs="Times New Roman"/>
          <w:b w:val="0"/>
          <w:bCs/>
          <w:color w:val="auto"/>
          <w:sz w:val="32"/>
          <w:szCs w:val="32"/>
          <w:shd w:val="clear" w:color="auto" w:fill="FFFFFF"/>
          <w:lang w:val="en-US" w:eastAsia="zh-CN"/>
        </w:rPr>
        <w:t>2023年结算下达2021-2022年公务员绩效奖金。</w:t>
      </w:r>
      <w:r>
        <w:rPr>
          <w:rFonts w:hint="default" w:ascii="Times New Roman" w:hAnsi="Times New Roman" w:eastAsia="方正仿宋_GBK" w:cs="Times New Roman"/>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sz w:val="32"/>
          <w:szCs w:val="32"/>
          <w:shd w:val="clear" w:color="auto" w:fill="FFFFFF"/>
          <w:lang w:eastAsia="zh-CN"/>
        </w:rPr>
        <w:t>人员基本工资、津贴补贴、绩效工资、单位基本养老保险缴费、单位职业年金缴费等。</w:t>
      </w:r>
      <w:r>
        <w:rPr>
          <w:rFonts w:hint="default" w:ascii="Times New Roman" w:hAnsi="Times New Roman" w:eastAsia="方正仿宋_GBK" w:cs="Times New Roman"/>
          <w:b w:val="0"/>
          <w:bCs/>
          <w:color w:val="auto"/>
          <w:sz w:val="32"/>
          <w:szCs w:val="32"/>
          <w:shd w:val="clear" w:color="auto" w:fill="FFFFFF"/>
        </w:rPr>
        <w:t>公用经费</w:t>
      </w:r>
      <w:r>
        <w:rPr>
          <w:rFonts w:hint="default" w:ascii="Times New Roman" w:hAnsi="Times New Roman" w:eastAsia="方正仿宋_GBK" w:cs="Times New Roman"/>
          <w:b w:val="0"/>
          <w:bCs/>
          <w:color w:val="auto"/>
          <w:sz w:val="32"/>
          <w:szCs w:val="32"/>
        </w:rPr>
        <w:t>2526.56</w:t>
      </w:r>
      <w:r>
        <w:rPr>
          <w:rFonts w:hint="default" w:ascii="Times New Roman" w:hAnsi="Times New Roman" w:eastAsia="方正仿宋_GBK" w:cs="Times New Roman"/>
          <w:b w:val="0"/>
          <w:bCs/>
          <w:color w:val="auto"/>
          <w:sz w:val="32"/>
          <w:szCs w:val="32"/>
          <w:shd w:val="clear" w:color="auto" w:fill="FFFFFF"/>
        </w:rPr>
        <w:t>万元，较上年决算数增加2362.59万元，增长1440.87%，主</w:t>
      </w:r>
      <w:r>
        <w:rPr>
          <w:rFonts w:hint="default" w:ascii="Times New Roman" w:hAnsi="Times New Roman" w:eastAsia="方正仿宋_GBK" w:cs="Times New Roman"/>
          <w:b w:val="0"/>
          <w:bCs/>
          <w:color w:val="auto"/>
          <w:sz w:val="32"/>
          <w:szCs w:val="32"/>
          <w:shd w:val="clear" w:color="auto" w:fill="FFFFFF"/>
          <w:lang w:eastAsia="zh-CN"/>
        </w:rPr>
        <w:t>要原因是增加了非税返还的成本。公</w:t>
      </w:r>
      <w:r>
        <w:rPr>
          <w:rFonts w:hint="default" w:ascii="Times New Roman" w:hAnsi="Times New Roman" w:eastAsia="方正仿宋_GBK" w:cs="Times New Roman"/>
          <w:b w:val="0"/>
          <w:bCs/>
          <w:color w:val="auto"/>
          <w:sz w:val="32"/>
          <w:szCs w:val="32"/>
          <w:shd w:val="clear" w:color="auto" w:fill="FFFFFF"/>
        </w:rPr>
        <w:t>用经费用</w:t>
      </w:r>
      <w:r>
        <w:rPr>
          <w:rFonts w:hint="default" w:ascii="Times New Roman" w:hAnsi="Times New Roman" w:eastAsia="方正仿宋_GBK" w:cs="Times New Roman"/>
          <w:b w:val="0"/>
          <w:bCs/>
          <w:color w:val="auto"/>
          <w:sz w:val="32"/>
          <w:szCs w:val="32"/>
          <w:shd w:val="clear" w:color="auto" w:fill="FFFFFF"/>
          <w:lang w:eastAsia="zh-CN"/>
        </w:rPr>
        <w:t>途主要包括办公费、水电费、物业管理费、差旅费、接待费、印刷费、维修（护）费等。</w:t>
      </w:r>
    </w:p>
    <w:p w14:paraId="1EE6DDC6">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（五）政府性基金预算收支决算情况说明</w:t>
      </w:r>
    </w:p>
    <w:p w14:paraId="7B44DAE3">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rPr>
        <w:t>2023年度政府性基金预算财政拨款年初结转结余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万元，年末结转结余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万元。本年收入</w:t>
      </w:r>
      <w:r>
        <w:rPr>
          <w:rFonts w:hint="default" w:ascii="Times New Roman" w:hAnsi="Times New Roman" w:eastAsia="方正仿宋_GBK" w:cs="Times New Roman"/>
          <w:b w:val="0"/>
          <w:bCs/>
          <w:color w:val="auto"/>
          <w:sz w:val="32"/>
          <w:szCs w:val="32"/>
        </w:rPr>
        <w:t>8938.42</w:t>
      </w:r>
      <w:r>
        <w:rPr>
          <w:rFonts w:hint="default" w:ascii="Times New Roman" w:hAnsi="Times New Roman" w:eastAsia="方正仿宋_GBK" w:cs="Times New Roman"/>
          <w:b w:val="0"/>
          <w:bCs/>
          <w:color w:val="auto"/>
          <w:sz w:val="32"/>
          <w:szCs w:val="32"/>
          <w:shd w:val="clear" w:color="auto" w:fill="FFFFFF"/>
        </w:rPr>
        <w:t>万元，较上年决算数增加4932.91万元，增长123.15%，主要原因是</w:t>
      </w:r>
      <w:r>
        <w:rPr>
          <w:rFonts w:hint="default" w:ascii="Times New Roman" w:hAnsi="Times New Roman" w:eastAsia="方正仿宋_GBK" w:cs="Times New Roman"/>
          <w:b w:val="0"/>
          <w:bCs/>
          <w:color w:val="auto"/>
          <w:sz w:val="32"/>
          <w:szCs w:val="32"/>
          <w:shd w:val="clear" w:color="auto" w:fill="FFFFFF"/>
          <w:lang w:val="en-US" w:eastAsia="zh-CN"/>
        </w:rPr>
        <w:t>2023年增加了征地和拆迁补偿支出的预算</w:t>
      </w:r>
      <w:r>
        <w:rPr>
          <w:rFonts w:hint="default" w:ascii="Times New Roman" w:hAnsi="Times New Roman" w:eastAsia="方正仿宋_GBK" w:cs="Times New Roman"/>
          <w:b w:val="0"/>
          <w:bCs/>
          <w:color w:val="auto"/>
          <w:sz w:val="32"/>
          <w:szCs w:val="32"/>
          <w:shd w:val="clear" w:color="auto" w:fill="FFFFFF"/>
        </w:rPr>
        <w:t>。本年支出</w:t>
      </w:r>
      <w:r>
        <w:rPr>
          <w:rFonts w:hint="default" w:ascii="Times New Roman" w:hAnsi="Times New Roman" w:eastAsia="方正仿宋_GBK" w:cs="Times New Roman"/>
          <w:b w:val="0"/>
          <w:bCs/>
          <w:color w:val="auto"/>
          <w:sz w:val="32"/>
          <w:szCs w:val="32"/>
        </w:rPr>
        <w:t>8938.42</w:t>
      </w:r>
      <w:r>
        <w:rPr>
          <w:rFonts w:hint="default" w:ascii="Times New Roman" w:hAnsi="Times New Roman" w:eastAsia="方正仿宋_GBK" w:cs="Times New Roman"/>
          <w:b w:val="0"/>
          <w:bCs/>
          <w:color w:val="auto"/>
          <w:sz w:val="32"/>
          <w:szCs w:val="32"/>
          <w:shd w:val="clear" w:color="auto" w:fill="FFFFFF"/>
        </w:rPr>
        <w:t>万元，较上年决算数增加4932.91万元，增长123.15%，主</w:t>
      </w:r>
      <w:r>
        <w:rPr>
          <w:rFonts w:hint="default" w:ascii="Times New Roman" w:hAnsi="Times New Roman" w:eastAsia="方正仿宋_GBK" w:cs="Times New Roman"/>
          <w:b w:val="0"/>
          <w:bCs/>
          <w:color w:val="auto"/>
          <w:sz w:val="32"/>
          <w:szCs w:val="32"/>
          <w:shd w:val="clear" w:color="auto" w:fill="FFFFFF"/>
          <w:lang w:val="en-US" w:eastAsia="zh-CN"/>
        </w:rPr>
        <w:t>要原因是本年支出了相应地块的征地拆迁补偿支出。</w:t>
      </w:r>
    </w:p>
    <w:p w14:paraId="6BF093A8">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（六）国有资本经营预算财政拨款支出决算情况说明</w:t>
      </w:r>
    </w:p>
    <w:p w14:paraId="26ACCC96">
      <w:pPr>
        <w:pStyle w:val="11"/>
        <w:keepNext w:val="0"/>
        <w:keepLines w:val="0"/>
        <w:pageBreakBefore w:val="0"/>
        <w:widowControl/>
        <w:numPr>
          <w:ilvl w:val="0"/>
          <w:numId w:val="0"/>
        </w:numPr>
        <w:kinsoku/>
        <w:wordWrap/>
        <w:overflowPunct/>
        <w:topLinePunct w:val="0"/>
        <w:autoSpaceDE w:val="0"/>
        <w:autoSpaceDN/>
        <w:bidi w:val="0"/>
        <w:adjustRightInd/>
        <w:spacing w:afterAutospacing="0"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本部门2023年度无国有资本经营预算财政拨款支出。</w:t>
      </w:r>
    </w:p>
    <w:p w14:paraId="726DA93A">
      <w:pPr>
        <w:pStyle w:val="11"/>
        <w:keepNext w:val="0"/>
        <w:keepLines w:val="0"/>
        <w:pageBreakBefore w:val="0"/>
        <w:widowControl/>
        <w:numPr>
          <w:ilvl w:val="0"/>
          <w:numId w:val="0"/>
        </w:numPr>
        <w:kinsoku/>
        <w:wordWrap/>
        <w:overflowPunct/>
        <w:topLinePunct w:val="0"/>
        <w:autoSpaceDE w:val="0"/>
        <w:autoSpaceDN/>
        <w:bidi w:val="0"/>
        <w:adjustRightInd/>
        <w:spacing w:afterAutospacing="0" w:line="580" w:lineRule="exact"/>
        <w:ind w:firstLine="640" w:firstLineChars="200"/>
        <w:textAlignment w:val="auto"/>
        <w:rPr>
          <w:rFonts w:hint="default" w:ascii="Times New Roman" w:hAnsi="Times New Roman" w:eastAsia="方正黑体_GBK" w:cs="Times New Roman"/>
          <w:b w:val="0"/>
          <w:bCs/>
          <w:color w:val="auto"/>
          <w:sz w:val="32"/>
          <w:szCs w:val="32"/>
          <w:shd w:val="clear" w:color="auto" w:fill="FFFFFF"/>
          <w:lang w:val="en-US" w:eastAsia="zh-CN"/>
        </w:rPr>
      </w:pPr>
      <w:r>
        <w:rPr>
          <w:rFonts w:hint="default" w:ascii="Times New Roman" w:hAnsi="Times New Roman" w:eastAsia="方正黑体_GBK" w:cs="Times New Roman"/>
          <w:b w:val="0"/>
          <w:bCs/>
          <w:color w:val="auto"/>
          <w:sz w:val="32"/>
          <w:szCs w:val="32"/>
          <w:shd w:val="clear" w:color="auto" w:fill="FFFFFF"/>
          <w:lang w:val="en-US" w:eastAsia="zh-CN"/>
        </w:rPr>
        <w:t>三、“三公”经费情况说明</w:t>
      </w:r>
    </w:p>
    <w:p w14:paraId="64A2D92B">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（一）“三公”经费支出总体情况说明</w:t>
      </w:r>
    </w:p>
    <w:p w14:paraId="26911B9B">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rPr>
        <w:t>2023年度“三公”经费支出共计</w:t>
      </w:r>
      <w:r>
        <w:rPr>
          <w:rFonts w:hint="default" w:ascii="Times New Roman" w:hAnsi="Times New Roman" w:eastAsia="方正仿宋_GBK" w:cs="Times New Roman"/>
          <w:b w:val="0"/>
          <w:bCs/>
          <w:color w:val="auto"/>
          <w:sz w:val="32"/>
          <w:szCs w:val="32"/>
        </w:rPr>
        <w:t>16.92</w:t>
      </w:r>
      <w:r>
        <w:rPr>
          <w:rFonts w:hint="default" w:ascii="Times New Roman" w:hAnsi="Times New Roman" w:eastAsia="方正仿宋_GBK" w:cs="Times New Roman"/>
          <w:b w:val="0"/>
          <w:bCs/>
          <w:color w:val="auto"/>
          <w:sz w:val="32"/>
          <w:szCs w:val="32"/>
          <w:shd w:val="clear" w:color="auto" w:fill="FFFFFF"/>
        </w:rPr>
        <w:t>万元，较年初预算数减少4.08万元，下降19.43%，主要原因是</w:t>
      </w:r>
      <w:r>
        <w:rPr>
          <w:rFonts w:hint="default" w:ascii="Times New Roman" w:hAnsi="Times New Roman" w:eastAsia="方正仿宋_GBK" w:cs="Times New Roman"/>
          <w:b w:val="0"/>
          <w:bCs/>
          <w:color w:val="auto"/>
          <w:sz w:val="32"/>
          <w:szCs w:val="32"/>
          <w:shd w:val="clear" w:color="auto" w:fill="FFFFFF"/>
          <w:lang w:eastAsia="zh-CN"/>
        </w:rPr>
        <w:t>我局严格执行中央八项规定，严格公务接待的标准和频次。</w:t>
      </w:r>
      <w:r>
        <w:rPr>
          <w:rFonts w:hint="default" w:ascii="Times New Roman" w:hAnsi="Times New Roman" w:eastAsia="方正仿宋_GBK" w:cs="Times New Roman"/>
          <w:b w:val="0"/>
          <w:bCs/>
          <w:color w:val="auto"/>
          <w:sz w:val="32"/>
          <w:szCs w:val="32"/>
          <w:shd w:val="clear" w:color="auto" w:fill="FFFFFF"/>
        </w:rPr>
        <w:t>较上年支出数增加1.90万元，增长12.65%，主要原因是</w:t>
      </w:r>
      <w:r>
        <w:rPr>
          <w:rFonts w:hint="default" w:ascii="Times New Roman" w:hAnsi="Times New Roman" w:eastAsia="方正仿宋_GBK" w:cs="Times New Roman"/>
          <w:b w:val="0"/>
          <w:bCs/>
          <w:color w:val="auto"/>
          <w:sz w:val="32"/>
          <w:szCs w:val="32"/>
          <w:shd w:val="clear" w:color="auto" w:fill="FFFFFF"/>
          <w:lang w:val="en-US" w:eastAsia="zh-CN"/>
        </w:rPr>
        <w:t>2023年耕地保护等专项工作使用车辆较多，公车运行维护费略有增加。</w:t>
      </w:r>
    </w:p>
    <w:p w14:paraId="51A68CF4">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（二）“三公”经费分项支出情况</w:t>
      </w:r>
    </w:p>
    <w:p w14:paraId="2A5018A2">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rPr>
        <w:t>2023年度本部门因公出国（境）费用</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万元，主要原因是</w:t>
      </w:r>
      <w:r>
        <w:rPr>
          <w:rFonts w:hint="default" w:ascii="Times New Roman" w:hAnsi="Times New Roman" w:eastAsia="方正仿宋_GBK" w:cs="Times New Roman"/>
          <w:b w:val="0"/>
          <w:bCs/>
          <w:color w:val="auto"/>
          <w:sz w:val="32"/>
          <w:szCs w:val="32"/>
          <w:shd w:val="clear" w:color="auto" w:fill="FFFFFF"/>
          <w:lang w:val="en-US" w:eastAsia="zh-CN"/>
        </w:rPr>
        <w:t>2023年本部门没有开展出国活动。</w:t>
      </w:r>
    </w:p>
    <w:p w14:paraId="0F31097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rPr>
        <w:t>公务车购置费</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万元，主要原因是</w:t>
      </w:r>
      <w:r>
        <w:rPr>
          <w:rFonts w:hint="default" w:ascii="Times New Roman" w:hAnsi="Times New Roman" w:eastAsia="方正仿宋_GBK" w:cs="Times New Roman"/>
          <w:b w:val="0"/>
          <w:bCs/>
          <w:color w:val="auto"/>
          <w:sz w:val="32"/>
          <w:szCs w:val="32"/>
          <w:shd w:val="clear" w:color="auto" w:fill="FFFFFF"/>
          <w:lang w:val="en-US" w:eastAsia="zh-CN"/>
        </w:rPr>
        <w:t>2023年我局未购买公务用车。</w:t>
      </w:r>
    </w:p>
    <w:p w14:paraId="017C9B67">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rPr>
        <w:t>公务车运行维护费</w:t>
      </w:r>
      <w:r>
        <w:rPr>
          <w:rFonts w:hint="default" w:ascii="Times New Roman" w:hAnsi="Times New Roman" w:eastAsia="方正仿宋_GBK" w:cs="Times New Roman"/>
          <w:b w:val="0"/>
          <w:bCs/>
          <w:color w:val="auto"/>
          <w:sz w:val="32"/>
          <w:szCs w:val="32"/>
        </w:rPr>
        <w:t>12.00</w:t>
      </w:r>
      <w:r>
        <w:rPr>
          <w:rFonts w:hint="default" w:ascii="Times New Roman" w:hAnsi="Times New Roman" w:eastAsia="方正仿宋_GBK" w:cs="Times New Roman"/>
          <w:b w:val="0"/>
          <w:bCs/>
          <w:color w:val="auto"/>
          <w:sz w:val="32"/>
          <w:szCs w:val="32"/>
          <w:shd w:val="clear" w:color="auto" w:fill="FFFFFF"/>
        </w:rPr>
        <w:t>万元，主要用于</w:t>
      </w:r>
      <w:r>
        <w:rPr>
          <w:rFonts w:hint="default" w:ascii="Times New Roman" w:hAnsi="Times New Roman" w:eastAsia="方正仿宋_GBK" w:cs="Times New Roman"/>
          <w:b w:val="0"/>
          <w:bCs/>
          <w:color w:val="auto"/>
          <w:sz w:val="32"/>
          <w:szCs w:val="32"/>
          <w:shd w:val="clear" w:color="auto" w:fill="FFFFFF"/>
          <w:lang w:eastAsia="zh-CN"/>
        </w:rPr>
        <w:t>因公出差的油费、车辆维修费、</w:t>
      </w:r>
      <w:r>
        <w:rPr>
          <w:rFonts w:hint="default" w:ascii="Times New Roman" w:hAnsi="Times New Roman" w:eastAsia="方正仿宋_GBK" w:cs="Times New Roman"/>
          <w:b w:val="0"/>
          <w:bCs/>
          <w:color w:val="auto"/>
          <w:sz w:val="32"/>
          <w:szCs w:val="32"/>
          <w:shd w:val="clear" w:color="auto" w:fill="FFFFFF"/>
        </w:rPr>
        <w:t>费用支出较年初预算数增加2.00万元，增长20.00%</w:t>
      </w:r>
      <w:r>
        <w:rPr>
          <w:rFonts w:hint="default"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较上年支出数增加2.00万元，增长20.00%，主要原因是</w:t>
      </w:r>
      <w:r>
        <w:rPr>
          <w:rFonts w:hint="default" w:ascii="Times New Roman" w:hAnsi="Times New Roman" w:eastAsia="方正仿宋_GBK" w:cs="Times New Roman"/>
          <w:b w:val="0"/>
          <w:bCs/>
          <w:color w:val="auto"/>
          <w:sz w:val="32"/>
          <w:szCs w:val="32"/>
          <w:shd w:val="clear" w:color="auto" w:fill="FFFFFF"/>
          <w:lang w:val="en-US" w:eastAsia="zh-CN"/>
        </w:rPr>
        <w:t>2023年度耕地保护等专项工作下乡使用车辆较多。</w:t>
      </w:r>
    </w:p>
    <w:p w14:paraId="31ED0211">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Fonts w:hint="default" w:ascii="Times New Roman" w:hAnsi="Times New Roman" w:eastAsia="方正仿宋_GBK" w:cs="Times New Roman"/>
          <w:b w:val="0"/>
          <w:bCs/>
          <w:color w:val="auto"/>
          <w:sz w:val="32"/>
          <w:szCs w:val="32"/>
          <w:shd w:val="clear" w:color="auto" w:fill="FFFFFF"/>
        </w:rPr>
        <w:t>公务接待费</w:t>
      </w:r>
      <w:r>
        <w:rPr>
          <w:rFonts w:hint="default" w:ascii="Times New Roman" w:hAnsi="Times New Roman" w:eastAsia="方正仿宋_GBK" w:cs="Times New Roman"/>
          <w:b w:val="0"/>
          <w:bCs/>
          <w:color w:val="auto"/>
          <w:sz w:val="32"/>
          <w:szCs w:val="32"/>
        </w:rPr>
        <w:t>4.92</w:t>
      </w:r>
      <w:r>
        <w:rPr>
          <w:rFonts w:hint="default" w:ascii="Times New Roman" w:hAnsi="Times New Roman" w:eastAsia="方正仿宋_GBK" w:cs="Times New Roman"/>
          <w:b w:val="0"/>
          <w:bCs/>
          <w:color w:val="auto"/>
          <w:sz w:val="32"/>
          <w:szCs w:val="32"/>
          <w:shd w:val="clear" w:color="auto" w:fill="FFFFFF"/>
        </w:rPr>
        <w:t>万元，主要用于接待费用支出较年初预算数减少6.08万元，下降55.27%，</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eastAsia="zh-CN"/>
        </w:rPr>
        <w:t>我局严格执行中央八项规定，严格公务接待的标准和频次。</w:t>
      </w:r>
      <w:r>
        <w:rPr>
          <w:rFonts w:hint="default" w:ascii="Times New Roman" w:hAnsi="Times New Roman" w:eastAsia="方正仿宋_GBK" w:cs="Times New Roman"/>
          <w:b w:val="0"/>
          <w:bCs/>
          <w:color w:val="auto"/>
          <w:sz w:val="32"/>
          <w:szCs w:val="32"/>
          <w:shd w:val="clear" w:color="auto" w:fill="FFFFFF"/>
        </w:rPr>
        <w:t>较上年支出数减少0.10万元，下降1.99%，</w:t>
      </w:r>
      <w:r>
        <w:rPr>
          <w:rFonts w:hint="default" w:ascii="Times New Roman" w:hAnsi="Times New Roman" w:eastAsia="方正仿宋_GBK" w:cs="Times New Roman"/>
          <w:b w:val="0"/>
          <w:bCs/>
          <w:color w:val="auto"/>
          <w:sz w:val="32"/>
          <w:szCs w:val="32"/>
          <w:shd w:val="clear" w:color="auto" w:fill="FFFFFF"/>
          <w:lang w:eastAsia="zh-CN"/>
        </w:rPr>
        <w:t>与上年基本持平。</w:t>
      </w:r>
    </w:p>
    <w:p w14:paraId="7468E720">
      <w:pPr>
        <w:pStyle w:val="6"/>
        <w:keepNext w:val="0"/>
        <w:keepLines w:val="0"/>
        <w:pageBreakBefore w:val="0"/>
        <w:widowControl/>
        <w:kinsoku/>
        <w:wordWrap/>
        <w:overflowPunct/>
        <w:topLinePunct w:val="0"/>
        <w:autoSpaceDN/>
        <w:bidi w:val="0"/>
        <w:adjustRightInd/>
        <w:spacing w:before="0" w:beforeAutospacing="0" w:after="0" w:afterAutospacing="0" w:line="580" w:lineRule="exact"/>
        <w:ind w:firstLine="640"/>
        <w:jc w:val="both"/>
        <w:textAlignment w:val="auto"/>
        <w:rPr>
          <w:rStyle w:val="10"/>
          <w:rFonts w:hint="default" w:ascii="Times New Roman" w:hAnsi="Times New Roman" w:eastAsia="方正楷体_GBK" w:cs="Times New Roman"/>
          <w:b w:val="0"/>
          <w:bCs/>
          <w:color w:val="auto"/>
          <w:sz w:val="32"/>
          <w:szCs w:val="32"/>
          <w:shd w:val="clear" w:color="auto" w:fill="FFFFFF"/>
          <w:lang w:eastAsia="zh-CN"/>
        </w:rPr>
      </w:pPr>
      <w:r>
        <w:rPr>
          <w:rStyle w:val="10"/>
          <w:rFonts w:hint="default" w:ascii="Times New Roman" w:hAnsi="Times New Roman" w:eastAsia="方正楷体_GBK" w:cs="Times New Roman"/>
          <w:b w:val="0"/>
          <w:bCs/>
          <w:color w:val="auto"/>
          <w:sz w:val="32"/>
          <w:szCs w:val="32"/>
          <w:shd w:val="clear" w:color="auto" w:fill="FFFFFF"/>
          <w:lang w:eastAsia="zh-CN"/>
        </w:rPr>
        <w:t>（三）“三公”经费实物量情况</w:t>
      </w:r>
    </w:p>
    <w:p w14:paraId="654DAD8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2023年度本部门因公出国（境）共计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个团组，</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人；公务用车购置</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辆，公务车保有量为</w:t>
      </w:r>
      <w:r>
        <w:rPr>
          <w:rFonts w:hint="default" w:ascii="Times New Roman" w:hAnsi="Times New Roman" w:eastAsia="方正仿宋_GBK" w:cs="Times New Roman"/>
          <w:b w:val="0"/>
          <w:bCs/>
          <w:color w:val="auto"/>
          <w:sz w:val="32"/>
          <w:szCs w:val="32"/>
        </w:rPr>
        <w:t>4</w:t>
      </w:r>
      <w:r>
        <w:rPr>
          <w:rFonts w:hint="default" w:ascii="Times New Roman" w:hAnsi="Times New Roman" w:eastAsia="方正仿宋_GBK" w:cs="Times New Roman"/>
          <w:b w:val="0"/>
          <w:bCs/>
          <w:color w:val="auto"/>
          <w:sz w:val="32"/>
          <w:szCs w:val="32"/>
          <w:shd w:val="clear" w:color="auto" w:fill="FFFFFF"/>
        </w:rPr>
        <w:t>辆；国内公务接待</w:t>
      </w:r>
      <w:r>
        <w:rPr>
          <w:rFonts w:hint="default" w:ascii="Times New Roman" w:hAnsi="Times New Roman" w:eastAsia="方正仿宋_GBK" w:cs="Times New Roman"/>
          <w:b w:val="0"/>
          <w:bCs/>
          <w:color w:val="auto"/>
          <w:sz w:val="32"/>
          <w:szCs w:val="32"/>
        </w:rPr>
        <w:t>68</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619</w:t>
      </w:r>
      <w:r>
        <w:rPr>
          <w:rFonts w:hint="default" w:ascii="Times New Roman" w:hAnsi="Times New Roman" w:eastAsia="方正仿宋_GBK" w:cs="Times New Roman"/>
          <w:b w:val="0"/>
          <w:bCs/>
          <w:color w:val="auto"/>
          <w:sz w:val="32"/>
          <w:szCs w:val="32"/>
          <w:shd w:val="clear" w:color="auto" w:fill="FFFFFF"/>
        </w:rPr>
        <w:t>人，其中：国内外事接待</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人；国（境）外公务接待</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人。2023年本部门人均接待费</w:t>
      </w:r>
      <w:r>
        <w:rPr>
          <w:rFonts w:hint="default" w:ascii="Times New Roman" w:hAnsi="Times New Roman" w:eastAsia="方正仿宋_GBK" w:cs="Times New Roman"/>
          <w:b w:val="0"/>
          <w:bCs/>
          <w:color w:val="auto"/>
          <w:sz w:val="32"/>
          <w:szCs w:val="32"/>
        </w:rPr>
        <w:t>79.47</w:t>
      </w:r>
      <w:r>
        <w:rPr>
          <w:rFonts w:hint="default" w:ascii="Times New Roman" w:hAnsi="Times New Roman" w:eastAsia="方正仿宋_GBK" w:cs="Times New Roman"/>
          <w:b w:val="0"/>
          <w:bCs/>
          <w:color w:val="auto"/>
          <w:sz w:val="32"/>
          <w:szCs w:val="32"/>
          <w:shd w:val="clear" w:color="auto" w:fill="FFFFFF"/>
        </w:rPr>
        <w:t>元，车均购置费</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万元，车均维护费</w:t>
      </w:r>
      <w:r>
        <w:rPr>
          <w:rFonts w:hint="default" w:ascii="Times New Roman" w:hAnsi="Times New Roman" w:eastAsia="方正仿宋_GBK" w:cs="Times New Roman"/>
          <w:b w:val="0"/>
          <w:bCs/>
          <w:color w:val="auto"/>
          <w:sz w:val="32"/>
          <w:szCs w:val="32"/>
        </w:rPr>
        <w:t>3.00</w:t>
      </w:r>
      <w:r>
        <w:rPr>
          <w:rFonts w:hint="default" w:ascii="Times New Roman" w:hAnsi="Times New Roman" w:eastAsia="方正仿宋_GBK" w:cs="Times New Roman"/>
          <w:b w:val="0"/>
          <w:bCs/>
          <w:color w:val="auto"/>
          <w:sz w:val="32"/>
          <w:szCs w:val="32"/>
          <w:shd w:val="clear" w:color="auto" w:fill="FFFFFF"/>
        </w:rPr>
        <w:t>万元。</w:t>
      </w:r>
    </w:p>
    <w:p w14:paraId="7543D824">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color w:val="auto"/>
          <w:sz w:val="32"/>
          <w:szCs w:val="32"/>
          <w:shd w:val="clear" w:color="auto" w:fill="FFFFFF"/>
          <w:lang w:val="en-US" w:eastAsia="zh-CN" w:bidi="ar-SA"/>
        </w:rPr>
      </w:pPr>
      <w:r>
        <w:rPr>
          <w:rFonts w:hint="default" w:ascii="Times New Roman" w:hAnsi="Times New Roman" w:eastAsia="方正黑体_GBK" w:cs="Times New Roman"/>
          <w:b w:val="0"/>
          <w:bCs/>
          <w:color w:val="auto"/>
          <w:sz w:val="32"/>
          <w:szCs w:val="32"/>
          <w:shd w:val="clear" w:color="auto" w:fill="FFFFFF"/>
          <w:lang w:val="en-US" w:eastAsia="zh-CN" w:bidi="ar-SA"/>
        </w:rPr>
        <w:t>四、其他需要说明的事项</w:t>
      </w:r>
    </w:p>
    <w:p w14:paraId="32088450">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（一）财政拨款会议费和培训费情况说明</w:t>
      </w:r>
    </w:p>
    <w:p w14:paraId="2CD9E125">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本年度会议费支出</w:t>
      </w:r>
      <w:r>
        <w:rPr>
          <w:rFonts w:hint="default" w:ascii="Times New Roman" w:hAnsi="Times New Roman" w:eastAsia="方正仿宋_GBK" w:cs="Times New Roman"/>
          <w:b w:val="0"/>
          <w:bCs/>
          <w:color w:val="auto"/>
          <w:sz w:val="32"/>
          <w:szCs w:val="32"/>
        </w:rPr>
        <w:t>1.80</w:t>
      </w:r>
      <w:r>
        <w:rPr>
          <w:rFonts w:hint="default" w:ascii="Times New Roman" w:hAnsi="Times New Roman" w:eastAsia="方正仿宋_GBK" w:cs="Times New Roman"/>
          <w:b w:val="0"/>
          <w:bCs/>
          <w:color w:val="auto"/>
          <w:sz w:val="32"/>
          <w:szCs w:val="32"/>
          <w:shd w:val="clear" w:color="auto" w:fill="FFFFFF"/>
        </w:rPr>
        <w:t>万元，较上年决算数增加0.68万元，增长60.71%，主要原因</w:t>
      </w:r>
      <w:r>
        <w:rPr>
          <w:rFonts w:hint="default" w:ascii="Times New Roman" w:hAnsi="Times New Roman" w:eastAsia="方正仿宋_GBK" w:cs="Times New Roman"/>
          <w:b w:val="0"/>
          <w:bCs/>
          <w:color w:val="auto"/>
          <w:sz w:val="32"/>
          <w:szCs w:val="32"/>
          <w:shd w:val="clear" w:color="auto" w:fill="FFFFFF"/>
          <w:lang w:eastAsia="zh-CN"/>
        </w:rPr>
        <w:t>本年度专项工作会议安排较上年略有增加，本部门会议费基数小，比例变动较大实际变动小</w:t>
      </w:r>
      <w:r>
        <w:rPr>
          <w:rFonts w:hint="default" w:ascii="Times New Roman" w:hAnsi="Times New Roman" w:eastAsia="方正仿宋_GBK" w:cs="Times New Roman"/>
          <w:b w:val="0"/>
          <w:bCs/>
          <w:color w:val="auto"/>
          <w:sz w:val="32"/>
          <w:szCs w:val="32"/>
          <w:shd w:val="clear" w:color="auto" w:fill="FFFFFF"/>
        </w:rPr>
        <w:t>。本年度培训费支出</w:t>
      </w:r>
      <w:r>
        <w:rPr>
          <w:rFonts w:hint="default" w:ascii="Times New Roman" w:hAnsi="Times New Roman" w:eastAsia="方正仿宋_GBK" w:cs="Times New Roman"/>
          <w:b w:val="0"/>
          <w:bCs/>
          <w:color w:val="auto"/>
          <w:sz w:val="32"/>
          <w:szCs w:val="32"/>
        </w:rPr>
        <w:t>2.05</w:t>
      </w:r>
      <w:r>
        <w:rPr>
          <w:rFonts w:hint="default" w:ascii="Times New Roman" w:hAnsi="Times New Roman" w:eastAsia="方正仿宋_GBK" w:cs="Times New Roman"/>
          <w:b w:val="0"/>
          <w:bCs/>
          <w:color w:val="auto"/>
          <w:sz w:val="32"/>
          <w:szCs w:val="32"/>
          <w:shd w:val="clear" w:color="auto" w:fill="FFFFFF"/>
        </w:rPr>
        <w:t>万元，较上年决算数增加0.72万元，增长54.14%，主要原因是</w:t>
      </w:r>
      <w:r>
        <w:rPr>
          <w:rFonts w:hint="default" w:ascii="Times New Roman" w:hAnsi="Times New Roman" w:eastAsia="方正仿宋_GBK" w:cs="Times New Roman"/>
          <w:b w:val="0"/>
          <w:bCs/>
          <w:color w:val="auto"/>
          <w:sz w:val="32"/>
          <w:szCs w:val="32"/>
          <w:shd w:val="clear" w:color="auto" w:fill="FFFFFF"/>
          <w:lang w:eastAsia="zh-CN"/>
        </w:rPr>
        <w:t>不动产登记及其他业务培训频次增加</w:t>
      </w:r>
      <w:r>
        <w:rPr>
          <w:rFonts w:hint="default" w:ascii="Times New Roman" w:hAnsi="Times New Roman" w:eastAsia="方正仿宋_GBK" w:cs="Times New Roman"/>
          <w:b w:val="0"/>
          <w:bCs/>
          <w:color w:val="auto"/>
          <w:sz w:val="32"/>
          <w:szCs w:val="32"/>
          <w:shd w:val="clear" w:color="auto" w:fill="FFFFFF"/>
        </w:rPr>
        <w:t>。</w:t>
      </w:r>
    </w:p>
    <w:p w14:paraId="7E03EAAB">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（二）机关运行经费情况说明</w:t>
      </w:r>
    </w:p>
    <w:p w14:paraId="6607DE64">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2023年度本部门机关运行经费支出</w:t>
      </w:r>
      <w:r>
        <w:rPr>
          <w:rFonts w:hint="default" w:ascii="Times New Roman" w:hAnsi="Times New Roman" w:eastAsia="方正仿宋_GBK" w:cs="Times New Roman"/>
          <w:b w:val="0"/>
          <w:bCs/>
          <w:color w:val="auto"/>
          <w:sz w:val="32"/>
          <w:szCs w:val="32"/>
        </w:rPr>
        <w:t>2526.56</w:t>
      </w:r>
      <w:r>
        <w:rPr>
          <w:rFonts w:hint="default" w:ascii="Times New Roman" w:hAnsi="Times New Roman" w:eastAsia="方正仿宋_GBK" w:cs="Times New Roman"/>
          <w:b w:val="0"/>
          <w:bCs/>
          <w:color w:val="auto"/>
          <w:sz w:val="32"/>
          <w:szCs w:val="32"/>
          <w:shd w:val="clear" w:color="auto" w:fill="FFFFFF"/>
        </w:rPr>
        <w:t>万元，机关运行经费主要用于开支</w:t>
      </w:r>
      <w:r>
        <w:rPr>
          <w:rFonts w:hint="default" w:ascii="Times New Roman" w:hAnsi="Times New Roman" w:eastAsia="方正仿宋_GBK" w:cs="Times New Roman"/>
          <w:b w:val="0"/>
          <w:bCs/>
          <w:color w:val="auto"/>
          <w:sz w:val="32"/>
          <w:szCs w:val="32"/>
          <w:shd w:val="clear" w:color="auto" w:fill="FFFFFF"/>
          <w:lang w:eastAsia="zh-CN"/>
        </w:rPr>
        <w:t>办公费、水电费、物业费、差旅费、公务接待费、维修费等。</w:t>
      </w:r>
      <w:r>
        <w:rPr>
          <w:rFonts w:hint="default" w:ascii="Times New Roman" w:hAnsi="Times New Roman" w:eastAsia="方正仿宋_GBK" w:cs="Times New Roman"/>
          <w:b w:val="0"/>
          <w:bCs/>
          <w:color w:val="auto"/>
          <w:sz w:val="32"/>
          <w:szCs w:val="32"/>
          <w:shd w:val="clear" w:color="auto" w:fill="FFFFFF"/>
        </w:rPr>
        <w:t>机关运行经费较上年支出数增加2362.59万元，增长1440.87%，主要原因是</w:t>
      </w:r>
      <w:r>
        <w:rPr>
          <w:rFonts w:hint="default" w:ascii="Times New Roman" w:hAnsi="Times New Roman" w:eastAsia="方正仿宋_GBK" w:cs="Times New Roman"/>
          <w:b w:val="0"/>
          <w:bCs/>
          <w:color w:val="auto"/>
          <w:sz w:val="32"/>
          <w:szCs w:val="32"/>
          <w:shd w:val="clear" w:color="auto" w:fill="FFFFFF"/>
          <w:lang w:eastAsia="zh-CN"/>
        </w:rPr>
        <w:t>返还的非税收入成本返还计入的行政运行办公费，导致运行经费上升。</w:t>
      </w:r>
    </w:p>
    <w:p w14:paraId="36AF971F">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（三）国有资产占用情况说明</w:t>
      </w:r>
    </w:p>
    <w:p w14:paraId="1EA0DB5A">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截至2023年12月31日，本部门共有车辆</w:t>
      </w:r>
      <w:r>
        <w:rPr>
          <w:rFonts w:hint="default" w:ascii="Times New Roman" w:hAnsi="Times New Roman" w:eastAsia="方正仿宋_GBK" w:cs="Times New Roman"/>
          <w:b w:val="0"/>
          <w:bCs/>
          <w:color w:val="auto"/>
          <w:sz w:val="32"/>
          <w:szCs w:val="32"/>
        </w:rPr>
        <w:t>4</w:t>
      </w:r>
      <w:r>
        <w:rPr>
          <w:rFonts w:hint="default" w:ascii="Times New Roman" w:hAnsi="Times New Roman" w:eastAsia="方正仿宋_GBK" w:cs="Times New Roman"/>
          <w:b w:val="0"/>
          <w:bCs/>
          <w:color w:val="auto"/>
          <w:sz w:val="32"/>
          <w:szCs w:val="32"/>
          <w:shd w:val="clear" w:color="auto" w:fill="FFFFFF"/>
        </w:rPr>
        <w:t>辆，其中，副部（省）级及以上领导用车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辆、主要负责人用车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辆、机要通信用车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辆、应急保障用车</w:t>
      </w:r>
      <w:r>
        <w:rPr>
          <w:rFonts w:hint="default" w:ascii="Times New Roman" w:hAnsi="Times New Roman" w:eastAsia="方正仿宋_GBK" w:cs="Times New Roman"/>
          <w:b w:val="0"/>
          <w:bCs/>
          <w:color w:val="auto"/>
          <w:sz w:val="32"/>
          <w:szCs w:val="32"/>
        </w:rPr>
        <w:t>3</w:t>
      </w:r>
      <w:r>
        <w:rPr>
          <w:rFonts w:hint="default" w:ascii="Times New Roman" w:hAnsi="Times New Roman" w:eastAsia="方正仿宋_GBK" w:cs="Times New Roman"/>
          <w:b w:val="0"/>
          <w:bCs/>
          <w:color w:val="auto"/>
          <w:sz w:val="32"/>
          <w:szCs w:val="32"/>
          <w:shd w:val="clear" w:color="auto" w:fill="FFFFFF"/>
        </w:rPr>
        <w:t>辆、执法执勤用车</w:t>
      </w:r>
      <w:r>
        <w:rPr>
          <w:rFonts w:hint="default" w:ascii="Times New Roman" w:hAnsi="Times New Roman" w:eastAsia="方正仿宋_GBK" w:cs="Times New Roman"/>
          <w:b w:val="0"/>
          <w:bCs/>
          <w:color w:val="auto"/>
          <w:sz w:val="32"/>
          <w:szCs w:val="32"/>
        </w:rPr>
        <w:t>1</w:t>
      </w:r>
      <w:r>
        <w:rPr>
          <w:rFonts w:hint="default" w:ascii="Times New Roman" w:hAnsi="Times New Roman" w:eastAsia="方正仿宋_GBK" w:cs="Times New Roman"/>
          <w:b w:val="0"/>
          <w:bCs/>
          <w:color w:val="auto"/>
          <w:sz w:val="32"/>
          <w:szCs w:val="32"/>
          <w:shd w:val="clear" w:color="auto" w:fill="FFFFFF"/>
        </w:rPr>
        <w:t>辆，特种专业技术用车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辆，离退休干部用车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辆。单价100万元（含）以上专用设备</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台（套）。</w:t>
      </w:r>
    </w:p>
    <w:p w14:paraId="28DA6ABD">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（四）政府采购支出情况说明</w:t>
      </w:r>
    </w:p>
    <w:p w14:paraId="3B3DE501">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2023年度本部门政府采购支出总额</w:t>
      </w:r>
      <w:r>
        <w:rPr>
          <w:rFonts w:hint="default" w:ascii="Times New Roman" w:hAnsi="Times New Roman" w:eastAsia="方正仿宋_GBK" w:cs="Times New Roman"/>
          <w:b w:val="0"/>
          <w:bCs/>
          <w:color w:val="auto"/>
          <w:sz w:val="32"/>
          <w:szCs w:val="32"/>
        </w:rPr>
        <w:t>631.65</w:t>
      </w:r>
      <w:r>
        <w:rPr>
          <w:rFonts w:hint="default" w:ascii="Times New Roman" w:hAnsi="Times New Roman" w:eastAsia="方正仿宋_GBK" w:cs="Times New Roman"/>
          <w:b w:val="0"/>
          <w:bCs/>
          <w:color w:val="auto"/>
          <w:sz w:val="32"/>
          <w:szCs w:val="32"/>
          <w:shd w:val="clear" w:color="auto" w:fill="FFFFFF"/>
        </w:rPr>
        <w:t>万元，其中：政府采购货物支出</w:t>
      </w:r>
      <w:r>
        <w:rPr>
          <w:rFonts w:hint="default" w:ascii="Times New Roman" w:hAnsi="Times New Roman" w:eastAsia="方正仿宋_GBK" w:cs="Times New Roman"/>
          <w:b w:val="0"/>
          <w:bCs/>
          <w:color w:val="auto"/>
          <w:sz w:val="32"/>
          <w:szCs w:val="32"/>
        </w:rPr>
        <w:t>53.28</w:t>
      </w:r>
      <w:r>
        <w:rPr>
          <w:rFonts w:hint="default" w:ascii="Times New Roman" w:hAnsi="Times New Roman" w:eastAsia="方正仿宋_GBK" w:cs="Times New Roman"/>
          <w:b w:val="0"/>
          <w:bCs/>
          <w:color w:val="auto"/>
          <w:sz w:val="32"/>
          <w:szCs w:val="32"/>
          <w:shd w:val="clear" w:color="auto" w:fill="FFFFFF"/>
        </w:rPr>
        <w:t>万元、政府采购工程支出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万元、政府采购服务支出</w:t>
      </w:r>
      <w:r>
        <w:rPr>
          <w:rFonts w:hint="default" w:ascii="Times New Roman" w:hAnsi="Times New Roman" w:eastAsia="方正仿宋_GBK" w:cs="Times New Roman"/>
          <w:b w:val="0"/>
          <w:bCs/>
          <w:color w:val="auto"/>
          <w:sz w:val="32"/>
          <w:szCs w:val="32"/>
        </w:rPr>
        <w:t>578.37</w:t>
      </w:r>
      <w:r>
        <w:rPr>
          <w:rFonts w:hint="default" w:ascii="Times New Roman" w:hAnsi="Times New Roman" w:eastAsia="方正仿宋_GBK" w:cs="Times New Roman"/>
          <w:b w:val="0"/>
          <w:bCs/>
          <w:color w:val="auto"/>
          <w:sz w:val="32"/>
          <w:szCs w:val="32"/>
          <w:shd w:val="clear" w:color="auto" w:fill="FFFFFF"/>
        </w:rPr>
        <w:t>万元。授予中小企业合同金额</w:t>
      </w:r>
      <w:r>
        <w:rPr>
          <w:rFonts w:hint="default" w:ascii="Times New Roman" w:hAnsi="Times New Roman" w:eastAsia="方正仿宋_GBK" w:cs="Times New Roman"/>
          <w:b w:val="0"/>
          <w:bCs/>
          <w:color w:val="auto"/>
          <w:sz w:val="32"/>
          <w:szCs w:val="32"/>
        </w:rPr>
        <w:t>568.89万</w:t>
      </w:r>
      <w:r>
        <w:rPr>
          <w:rFonts w:hint="default" w:ascii="Times New Roman" w:hAnsi="Times New Roman" w:eastAsia="方正仿宋_GBK" w:cs="Times New Roman"/>
          <w:b w:val="0"/>
          <w:bCs/>
          <w:color w:val="auto"/>
          <w:sz w:val="32"/>
          <w:szCs w:val="32"/>
          <w:shd w:val="clear" w:color="auto" w:fill="FFFFFF"/>
        </w:rPr>
        <w:t>元，占政府采购支出总额的</w:t>
      </w:r>
      <w:r>
        <w:rPr>
          <w:rFonts w:hint="default" w:ascii="Times New Roman" w:hAnsi="Times New Roman" w:eastAsia="方正仿宋_GBK" w:cs="Times New Roman"/>
          <w:b w:val="0"/>
          <w:bCs/>
          <w:color w:val="auto"/>
          <w:sz w:val="32"/>
          <w:szCs w:val="32"/>
        </w:rPr>
        <w:t>90.06</w:t>
      </w:r>
      <w:r>
        <w:rPr>
          <w:rFonts w:hint="default" w:ascii="Times New Roman" w:hAnsi="Times New Roman" w:eastAsia="方正仿宋_GBK" w:cs="Times New Roman"/>
          <w:b w:val="0"/>
          <w:bCs/>
          <w:color w:val="auto"/>
          <w:sz w:val="32"/>
          <w:szCs w:val="32"/>
          <w:shd w:val="clear" w:color="auto" w:fill="FFFFFF"/>
        </w:rPr>
        <w:t>%，其中：授予小微企业合同金额</w:t>
      </w:r>
      <w:r>
        <w:rPr>
          <w:rFonts w:hint="default" w:ascii="Times New Roman" w:hAnsi="Times New Roman" w:eastAsia="方正仿宋_GBK" w:cs="Times New Roman"/>
          <w:b w:val="0"/>
          <w:bCs/>
          <w:color w:val="auto"/>
          <w:sz w:val="32"/>
          <w:szCs w:val="32"/>
        </w:rPr>
        <w:t>400.06</w:t>
      </w:r>
      <w:r>
        <w:rPr>
          <w:rFonts w:hint="default" w:ascii="Times New Roman" w:hAnsi="Times New Roman" w:eastAsia="方正仿宋_GBK" w:cs="Times New Roman"/>
          <w:b w:val="0"/>
          <w:bCs/>
          <w:color w:val="auto"/>
          <w:sz w:val="32"/>
          <w:szCs w:val="32"/>
          <w:shd w:val="clear" w:color="auto" w:fill="FFFFFF"/>
        </w:rPr>
        <w:t>万元，占政府采购支出总额的</w:t>
      </w:r>
      <w:r>
        <w:rPr>
          <w:rFonts w:hint="default" w:ascii="Times New Roman" w:hAnsi="Times New Roman" w:eastAsia="方正仿宋_GBK" w:cs="Times New Roman"/>
          <w:b w:val="0"/>
          <w:bCs/>
          <w:color w:val="auto"/>
          <w:sz w:val="32"/>
          <w:szCs w:val="32"/>
        </w:rPr>
        <w:t>63.33</w:t>
      </w:r>
      <w:r>
        <w:rPr>
          <w:rFonts w:hint="default" w:ascii="Times New Roman" w:hAnsi="Times New Roman" w:eastAsia="方正仿宋_GBK" w:cs="Times New Roman"/>
          <w:b w:val="0"/>
          <w:bCs/>
          <w:color w:val="auto"/>
          <w:sz w:val="32"/>
          <w:szCs w:val="32"/>
          <w:shd w:val="clear" w:color="auto" w:fill="FFFFFF"/>
        </w:rPr>
        <w:t>%。主要用于采购</w:t>
      </w:r>
      <w:r>
        <w:rPr>
          <w:rFonts w:hint="default" w:ascii="Times New Roman" w:hAnsi="Times New Roman" w:eastAsia="方正仿宋_GBK" w:cs="Times New Roman"/>
          <w:b w:val="0"/>
          <w:bCs/>
          <w:color w:val="auto"/>
          <w:sz w:val="32"/>
          <w:szCs w:val="32"/>
          <w:shd w:val="clear" w:color="auto" w:fill="FFFFFF"/>
          <w:lang w:eastAsia="zh-CN"/>
        </w:rPr>
        <w:t>办公设备，地灾及规划等项目技术服务支出。</w:t>
      </w:r>
    </w:p>
    <w:p w14:paraId="277986AC">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color w:val="auto"/>
          <w:sz w:val="32"/>
          <w:szCs w:val="32"/>
          <w:shd w:val="clear" w:color="auto" w:fill="FFFFFF"/>
          <w:lang w:val="en-US" w:eastAsia="zh-CN" w:bidi="ar-SA"/>
        </w:rPr>
      </w:pPr>
      <w:r>
        <w:rPr>
          <w:rFonts w:hint="default" w:ascii="Times New Roman" w:hAnsi="Times New Roman" w:eastAsia="方正黑体_GBK" w:cs="Times New Roman"/>
          <w:b w:val="0"/>
          <w:bCs/>
          <w:color w:val="auto"/>
          <w:sz w:val="32"/>
          <w:szCs w:val="32"/>
          <w:shd w:val="clear" w:color="auto" w:fill="FFFFFF"/>
          <w:lang w:val="en-US" w:eastAsia="zh-CN" w:bidi="ar-SA"/>
        </w:rPr>
        <w:t>五、预算绩效管理情况说明</w:t>
      </w:r>
    </w:p>
    <w:p w14:paraId="22D8AE6F">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（一）部门自评情况</w:t>
      </w:r>
    </w:p>
    <w:p w14:paraId="27B3C68C">
      <w:pPr>
        <w:pStyle w:val="12"/>
        <w:keepNext w:val="0"/>
        <w:keepLines w:val="0"/>
        <w:pageBreakBefore w:val="0"/>
        <w:widowControl/>
        <w:kinsoku/>
        <w:wordWrap/>
        <w:overflowPunct/>
        <w:topLinePunct w:val="0"/>
        <w:autoSpaceDE w:val="0"/>
        <w:autoSpaceDN/>
        <w:bidi w:val="0"/>
        <w:adjustRightInd/>
        <w:spacing w:before="0" w:beforeAutospacing="0" w:afterAutospacing="0"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根据预算绩效管理要求，我部门对部门整体和</w:t>
      </w:r>
      <w:r>
        <w:rPr>
          <w:rFonts w:hint="default" w:ascii="Times New Roman" w:hAnsi="Times New Roman" w:eastAsia="方正仿宋_GBK" w:cs="Times New Roman"/>
          <w:b w:val="0"/>
          <w:bCs/>
          <w:color w:val="auto"/>
          <w:sz w:val="32"/>
          <w:szCs w:val="32"/>
          <w:shd w:val="clear" w:color="auto" w:fill="FFFFFF"/>
          <w:lang w:val="en-US" w:eastAsia="zh-CN"/>
        </w:rPr>
        <w:t>18</w:t>
      </w:r>
      <w:r>
        <w:rPr>
          <w:rFonts w:hint="default" w:ascii="Times New Roman" w:hAnsi="Times New Roman" w:eastAsia="方正仿宋_GBK" w:cs="Times New Roman"/>
          <w:b w:val="0"/>
          <w:bCs/>
          <w:color w:val="auto"/>
          <w:sz w:val="32"/>
          <w:szCs w:val="32"/>
          <w:shd w:val="clear" w:color="auto" w:fill="FFFFFF"/>
        </w:rPr>
        <w:t>个一级项目开展了绩效自评，涉及财政拨款项目支出资金</w:t>
      </w:r>
      <w:r>
        <w:rPr>
          <w:rFonts w:hint="default" w:ascii="Times New Roman" w:hAnsi="Times New Roman" w:eastAsia="方正仿宋_GBK" w:cs="Times New Roman"/>
          <w:b w:val="0"/>
          <w:bCs/>
          <w:color w:val="auto"/>
          <w:sz w:val="32"/>
          <w:szCs w:val="32"/>
          <w:shd w:val="clear" w:color="auto" w:fill="FFFFFF"/>
          <w:lang w:val="en-US" w:eastAsia="zh-CN"/>
        </w:rPr>
        <w:t>22684.6</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p>
    <w:tbl>
      <w:tblPr>
        <w:tblStyle w:val="7"/>
        <w:tblW w:w="5000" w:type="pct"/>
        <w:tblInd w:w="0" w:type="dxa"/>
        <w:shd w:val="clear" w:color="auto" w:fill="auto"/>
        <w:tblLayout w:type="fixed"/>
        <w:tblCellMar>
          <w:top w:w="0" w:type="dxa"/>
          <w:left w:w="0" w:type="dxa"/>
          <w:bottom w:w="0" w:type="dxa"/>
          <w:right w:w="0" w:type="dxa"/>
        </w:tblCellMar>
      </w:tblPr>
      <w:tblGrid>
        <w:gridCol w:w="1215"/>
        <w:gridCol w:w="493"/>
        <w:gridCol w:w="1173"/>
        <w:gridCol w:w="683"/>
        <w:gridCol w:w="1100"/>
        <w:gridCol w:w="641"/>
        <w:gridCol w:w="1086"/>
        <w:gridCol w:w="577"/>
        <w:gridCol w:w="670"/>
        <w:gridCol w:w="645"/>
        <w:gridCol w:w="537"/>
      </w:tblGrid>
      <w:tr w14:paraId="00EC18B9">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A67E">
            <w:pPr>
              <w:keepNext w:val="0"/>
              <w:keepLines w:val="0"/>
              <w:widowControl/>
              <w:suppressLineNumbers w:val="0"/>
              <w:jc w:val="center"/>
              <w:textAlignment w:val="center"/>
              <w:rPr>
                <w:rFonts w:hint="default" w:ascii="Times New Roman" w:hAnsi="Times New Roman" w:eastAsia="微软雅黑" w:cs="Times New Roman"/>
                <w:b w:val="0"/>
                <w:bCs/>
                <w:i w:val="0"/>
                <w:color w:val="auto"/>
                <w:sz w:val="40"/>
                <w:szCs w:val="40"/>
                <w:u w:val="none"/>
              </w:rPr>
            </w:pPr>
            <w:r>
              <w:rPr>
                <w:rFonts w:hint="default" w:ascii="Times New Roman" w:hAnsi="Times New Roman" w:eastAsia="微软雅黑" w:cs="Times New Roman"/>
                <w:b w:val="0"/>
                <w:bCs/>
                <w:i w:val="0"/>
                <w:color w:val="auto"/>
                <w:kern w:val="0"/>
                <w:sz w:val="40"/>
                <w:szCs w:val="40"/>
                <w:u w:val="none"/>
                <w:lang w:val="en-US" w:eastAsia="zh-CN" w:bidi="ar"/>
              </w:rPr>
              <w:t>2023年度部门整体绩效自评表</w:t>
            </w:r>
          </w:p>
        </w:tc>
      </w:tr>
      <w:tr w14:paraId="557079F5">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003B">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状态：业务审核已审</w:t>
            </w:r>
          </w:p>
        </w:tc>
      </w:tr>
      <w:tr w14:paraId="2C9632CC">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0747">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项目名称：</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2813">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城口县规划和自然资源局整体自评</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175A">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项目编码：</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5819">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50022900023P000100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6817">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自评总分：</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4F7F">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97.55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1F98">
            <w:pPr>
              <w:jc w:val="right"/>
              <w:rPr>
                <w:rFonts w:hint="default" w:ascii="Times New Roman" w:hAnsi="Times New Roman" w:eastAsia="宋体" w:cs="Times New Roman"/>
                <w:b w:val="0"/>
                <w:bCs/>
                <w:i w:val="0"/>
                <w:color w:val="auto"/>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0739">
            <w:pPr>
              <w:rPr>
                <w:rFonts w:hint="default" w:ascii="Times New Roman" w:hAnsi="Times New Roman" w:eastAsia="宋体" w:cs="Times New Roman"/>
                <w:b w:val="0"/>
                <w:bCs/>
                <w:i w:val="0"/>
                <w:color w:val="auto"/>
                <w:sz w:val="22"/>
                <w:szCs w:val="22"/>
                <w:u w:val="none"/>
              </w:rPr>
            </w:pPr>
          </w:p>
        </w:tc>
      </w:tr>
      <w:tr w14:paraId="4CF1588A">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E24A">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项目主管部门：</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4476">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324-城口县规划和自然资源局</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2D70">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财政归口处室：</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D54D">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003-经济建设和债务管理科</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6265">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部门联系人：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8DED0">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付孝琴</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1225">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cs="Times New Roman"/>
                <w:b w:val="0"/>
                <w:bCs/>
                <w:i w:val="0"/>
                <w:color w:val="auto"/>
                <w:kern w:val="0"/>
                <w:sz w:val="22"/>
                <w:szCs w:val="22"/>
                <w:u w:val="none"/>
                <w:lang w:val="en-US" w:eastAsia="zh-CN" w:bidi="ar"/>
              </w:rPr>
              <w:t>联</w:t>
            </w:r>
            <w:r>
              <w:rPr>
                <w:rFonts w:hint="default" w:ascii="Times New Roman" w:hAnsi="Times New Roman" w:eastAsia="宋体" w:cs="Times New Roman"/>
                <w:b w:val="0"/>
                <w:bCs/>
                <w:i w:val="0"/>
                <w:color w:val="auto"/>
                <w:kern w:val="0"/>
                <w:sz w:val="22"/>
                <w:szCs w:val="22"/>
                <w:u w:val="none"/>
                <w:lang w:val="en-US" w:eastAsia="zh-CN" w:bidi="ar"/>
              </w:rPr>
              <w:t>系电话：</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405D">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18723234126</w:t>
            </w:r>
          </w:p>
        </w:tc>
      </w:tr>
      <w:tr w14:paraId="1540450A">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9A6DF">
            <w:pPr>
              <w:keepNext w:val="0"/>
              <w:keepLines w:val="0"/>
              <w:widowControl/>
              <w:suppressLineNumbers w:val="0"/>
              <w:jc w:val="center"/>
              <w:textAlignment w:val="center"/>
              <w:rPr>
                <w:rFonts w:hint="default" w:ascii="Times New Roman" w:hAnsi="Times New Roman" w:eastAsia="微软雅黑" w:cs="Times New Roman"/>
                <w:b w:val="0"/>
                <w:bCs/>
                <w:i w:val="0"/>
                <w:color w:val="auto"/>
                <w:sz w:val="28"/>
                <w:szCs w:val="28"/>
                <w:u w:val="none"/>
              </w:rPr>
            </w:pPr>
            <w:r>
              <w:rPr>
                <w:rFonts w:hint="default" w:ascii="Times New Roman" w:hAnsi="Times New Roman" w:eastAsia="微软雅黑" w:cs="Times New Roman"/>
                <w:b w:val="0"/>
                <w:bCs/>
                <w:i w:val="0"/>
                <w:color w:val="auto"/>
                <w:kern w:val="0"/>
                <w:sz w:val="28"/>
                <w:szCs w:val="28"/>
                <w:u w:val="none"/>
                <w:lang w:val="en-US" w:eastAsia="zh-CN" w:bidi="ar"/>
              </w:rPr>
              <w:t>资金情况</w:t>
            </w:r>
          </w:p>
        </w:tc>
      </w:tr>
      <w:tr w14:paraId="27FA8D2D">
        <w:tblPrEx>
          <w:tblCellMar>
            <w:top w:w="0" w:type="dxa"/>
            <w:left w:w="0" w:type="dxa"/>
            <w:bottom w:w="0" w:type="dxa"/>
            <w:right w:w="0" w:type="dxa"/>
          </w:tblCellMar>
        </w:tblPrEx>
        <w:trPr>
          <w:trHeight w:val="500" w:hRule="atLeast"/>
        </w:trPr>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BB395">
            <w:pPr>
              <w:jc w:val="center"/>
              <w:rPr>
                <w:rFonts w:hint="default" w:ascii="Times New Roman" w:hAnsi="Times New Roman" w:eastAsia="宋体" w:cs="Times New Roman"/>
                <w:b w:val="0"/>
                <w:bCs/>
                <w:i w:val="0"/>
                <w:color w:val="auto"/>
                <w:sz w:val="22"/>
                <w:szCs w:val="22"/>
                <w:u w:val="none"/>
              </w:rPr>
            </w:pP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BB74">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年初预算数</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94B5">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全年（调整）预算数</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4297">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全年执行数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9642">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执行率</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3994">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执行率权重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D400">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执行率得分</w:t>
            </w:r>
          </w:p>
        </w:tc>
      </w:tr>
      <w:tr w14:paraId="2E8BAF7C">
        <w:tblPrEx>
          <w:tblCellMar>
            <w:top w:w="0" w:type="dxa"/>
            <w:left w:w="0" w:type="dxa"/>
            <w:bottom w:w="0" w:type="dxa"/>
            <w:right w:w="0" w:type="dxa"/>
          </w:tblCellMar>
        </w:tblPrEx>
        <w:trPr>
          <w:trHeight w:val="500" w:hRule="atLeast"/>
        </w:trPr>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BB49A">
            <w:pP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年度总金额</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D2A3">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74,669,556.01</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F8CA">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240,224,037.81</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C6CB">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226,846,022.24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974A">
            <w:pPr>
              <w:rPr>
                <w:rFonts w:hint="default" w:ascii="Times New Roman" w:hAnsi="Times New Roman" w:eastAsia="宋体" w:cs="Times New Roman"/>
                <w:b w:val="0"/>
                <w:bCs/>
                <w:i w:val="0"/>
                <w:color w:val="auto"/>
                <w:sz w:val="22"/>
                <w:szCs w:val="22"/>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9109D">
            <w:pPr>
              <w:rPr>
                <w:rFonts w:hint="default" w:ascii="Times New Roman" w:hAnsi="Times New Roman" w:eastAsia="宋体" w:cs="Times New Roman"/>
                <w:b w:val="0"/>
                <w:bCs/>
                <w:i w:val="0"/>
                <w:color w:val="auto"/>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7171">
            <w:pPr>
              <w:jc w:val="right"/>
              <w:rPr>
                <w:rFonts w:hint="default" w:ascii="Times New Roman" w:hAnsi="Times New Roman" w:eastAsia="宋体" w:cs="Times New Roman"/>
                <w:b w:val="0"/>
                <w:bCs/>
                <w:i w:val="0"/>
                <w:color w:val="auto"/>
                <w:sz w:val="22"/>
                <w:szCs w:val="22"/>
                <w:u w:val="none"/>
              </w:rPr>
            </w:pPr>
          </w:p>
        </w:tc>
      </w:tr>
      <w:tr w14:paraId="2A396F72">
        <w:tblPrEx>
          <w:tblCellMar>
            <w:top w:w="0" w:type="dxa"/>
            <w:left w:w="0" w:type="dxa"/>
            <w:bottom w:w="0" w:type="dxa"/>
            <w:right w:w="0" w:type="dxa"/>
          </w:tblCellMar>
        </w:tblPrEx>
        <w:trPr>
          <w:trHeight w:val="500" w:hRule="atLeast"/>
        </w:trPr>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02B8">
            <w:pP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其中：财政拨款</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BD56">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74,669,556.01</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E299">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240,224,037.81</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E881">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226,846,022.24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A12E">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94.43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3A20F">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E5EE">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9.44</w:t>
            </w:r>
          </w:p>
        </w:tc>
      </w:tr>
      <w:tr w14:paraId="645C0E25">
        <w:tblPrEx>
          <w:tblCellMar>
            <w:top w:w="0" w:type="dxa"/>
            <w:left w:w="0" w:type="dxa"/>
            <w:bottom w:w="0" w:type="dxa"/>
            <w:right w:w="0" w:type="dxa"/>
          </w:tblCellMar>
        </w:tblPrEx>
        <w:trPr>
          <w:trHeight w:val="500" w:hRule="atLeast"/>
        </w:trPr>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9F0D">
            <w:pP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一般公共预算</w:t>
            </w:r>
          </w:p>
        </w:tc>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7938">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43,787,056.01</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5400">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147,350,285.81</w:t>
            </w:r>
          </w:p>
        </w:tc>
        <w:tc>
          <w:tcPr>
            <w:tcW w:w="9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7A7E">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137,461,833.24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F0D4">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93.28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06E61">
            <w:pPr>
              <w:rPr>
                <w:rFonts w:hint="default" w:ascii="Times New Roman" w:hAnsi="Times New Roman" w:eastAsia="宋体" w:cs="Times New Roman"/>
                <w:b w:val="0"/>
                <w:bCs/>
                <w:i w:val="0"/>
                <w:color w:val="auto"/>
                <w:sz w:val="22"/>
                <w:szCs w:val="22"/>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34B0">
            <w:pPr>
              <w:jc w:val="right"/>
              <w:rPr>
                <w:rFonts w:hint="default" w:ascii="Times New Roman" w:hAnsi="Times New Roman" w:eastAsia="宋体" w:cs="Times New Roman"/>
                <w:b w:val="0"/>
                <w:bCs/>
                <w:i w:val="0"/>
                <w:color w:val="auto"/>
                <w:sz w:val="22"/>
                <w:szCs w:val="22"/>
                <w:u w:val="none"/>
              </w:rPr>
            </w:pPr>
          </w:p>
        </w:tc>
      </w:tr>
      <w:tr w14:paraId="4A4DAC8B">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43DC">
            <w:pPr>
              <w:keepNext w:val="0"/>
              <w:keepLines w:val="0"/>
              <w:widowControl/>
              <w:suppressLineNumbers w:val="0"/>
              <w:jc w:val="center"/>
              <w:textAlignment w:val="center"/>
              <w:rPr>
                <w:rFonts w:hint="default" w:ascii="Times New Roman" w:hAnsi="Times New Roman" w:eastAsia="微软雅黑" w:cs="Times New Roman"/>
                <w:b w:val="0"/>
                <w:bCs/>
                <w:i w:val="0"/>
                <w:color w:val="auto"/>
                <w:sz w:val="28"/>
                <w:szCs w:val="28"/>
                <w:u w:val="none"/>
              </w:rPr>
            </w:pPr>
            <w:r>
              <w:rPr>
                <w:rFonts w:hint="default" w:ascii="Times New Roman" w:hAnsi="Times New Roman" w:eastAsia="微软雅黑" w:cs="Times New Roman"/>
                <w:b w:val="0"/>
                <w:bCs/>
                <w:i w:val="0"/>
                <w:color w:val="auto"/>
                <w:kern w:val="0"/>
                <w:sz w:val="28"/>
                <w:szCs w:val="28"/>
                <w:u w:val="none"/>
                <w:lang w:val="en-US" w:eastAsia="zh-CN" w:bidi="ar"/>
              </w:rPr>
              <w:t>绩效目标</w:t>
            </w:r>
          </w:p>
        </w:tc>
      </w:tr>
      <w:tr w14:paraId="6B9DFD01">
        <w:tblPrEx>
          <w:tblCellMar>
            <w:top w:w="0" w:type="dxa"/>
            <w:left w:w="0" w:type="dxa"/>
            <w:bottom w:w="0" w:type="dxa"/>
            <w:right w:w="0" w:type="dxa"/>
          </w:tblCellMar>
        </w:tblPrEx>
        <w:trPr>
          <w:trHeight w:val="500" w:hRule="atLeast"/>
        </w:trPr>
        <w:tc>
          <w:tcPr>
            <w:tcW w:w="202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EC98">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年初绩效目标</w:t>
            </w:r>
          </w:p>
        </w:tc>
        <w:tc>
          <w:tcPr>
            <w:tcW w:w="192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D685">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全年（调整）绩效目标</w:t>
            </w: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D02B">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全年目标实际完成情况</w:t>
            </w:r>
          </w:p>
        </w:tc>
      </w:tr>
      <w:tr w14:paraId="773B7BA9">
        <w:tblPrEx>
          <w:tblCellMar>
            <w:top w:w="0" w:type="dxa"/>
            <w:left w:w="0" w:type="dxa"/>
            <w:bottom w:w="0" w:type="dxa"/>
            <w:right w:w="0" w:type="dxa"/>
          </w:tblCellMar>
        </w:tblPrEx>
        <w:trPr>
          <w:trHeight w:val="1600" w:hRule="atLeast"/>
        </w:trPr>
        <w:tc>
          <w:tcPr>
            <w:tcW w:w="202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80B5B9A">
            <w:pPr>
              <w:keepNext w:val="0"/>
              <w:keepLines w:val="0"/>
              <w:widowControl/>
              <w:suppressLineNumbers w:val="0"/>
              <w:jc w:val="left"/>
              <w:textAlignment w:val="top"/>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在今年收支预算内，确保完成以下整体目标：目标一：保障机关及所属事业单位的正常办公、生活秩序，更好为人民群众做好服务工作；目标二：通过预算执行，减少地质灾害造成的潜在经济损失，使人民群众能够安居乐业，不因地质灾害造成人员伤亡和财产损失；目标三：保证县重点建设项目的占补平衡，减少去交易平台购买，新增耕地可提高当地农民收入；目标四：推进农村土地规划工作、改善农村生产生活条件、加强基层组织建设等方面开展工作；</w:t>
            </w:r>
          </w:p>
        </w:tc>
        <w:tc>
          <w:tcPr>
            <w:tcW w:w="19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D9A7AAD">
            <w:pPr>
              <w:jc w:val="left"/>
              <w:rPr>
                <w:rFonts w:hint="default" w:ascii="Times New Roman" w:hAnsi="Times New Roman" w:eastAsia="宋体" w:cs="Times New Roman"/>
                <w:b w:val="0"/>
                <w:bCs/>
                <w:i w:val="0"/>
                <w:color w:val="auto"/>
                <w:sz w:val="22"/>
                <w:szCs w:val="22"/>
                <w:u w:val="none"/>
              </w:rPr>
            </w:pPr>
          </w:p>
        </w:tc>
        <w:tc>
          <w:tcPr>
            <w:tcW w:w="104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D6A3229">
            <w:pPr>
              <w:keepNext w:val="0"/>
              <w:keepLines w:val="0"/>
              <w:widowControl/>
              <w:suppressLineNumbers w:val="0"/>
              <w:jc w:val="left"/>
              <w:textAlignment w:val="top"/>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保障机关及所属事业单位的正常办公、生活秩序，更好为人民群众做好服务工作；2.通过预算执行，减少地质灾害造成的潜在经济损失，使人民群众能够安居乐业，不因地质灾害造成人员伤亡和财产损失；3.保证县重点建设项目的占补平衡，减少去交易平台购买，新增耕地可提高当地农民收入；4.推进农村土地规划工作、改善农村生产生活条件、加强基层组织建设等方面开展工作；</w:t>
            </w:r>
          </w:p>
        </w:tc>
      </w:tr>
      <w:tr w14:paraId="792BE5DA">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6EA1">
            <w:pPr>
              <w:keepNext w:val="0"/>
              <w:keepLines w:val="0"/>
              <w:widowControl/>
              <w:suppressLineNumbers w:val="0"/>
              <w:jc w:val="center"/>
              <w:textAlignment w:val="center"/>
              <w:rPr>
                <w:rFonts w:hint="default" w:ascii="Times New Roman" w:hAnsi="Times New Roman" w:eastAsia="微软雅黑" w:cs="Times New Roman"/>
                <w:b w:val="0"/>
                <w:bCs/>
                <w:i w:val="0"/>
                <w:color w:val="auto"/>
                <w:sz w:val="28"/>
                <w:szCs w:val="28"/>
                <w:u w:val="none"/>
              </w:rPr>
            </w:pPr>
            <w:r>
              <w:rPr>
                <w:rFonts w:hint="default" w:ascii="Times New Roman" w:hAnsi="Times New Roman" w:eastAsia="微软雅黑" w:cs="Times New Roman"/>
                <w:b w:val="0"/>
                <w:bCs/>
                <w:i w:val="0"/>
                <w:color w:val="auto"/>
                <w:kern w:val="0"/>
                <w:sz w:val="28"/>
                <w:szCs w:val="28"/>
                <w:u w:val="none"/>
                <w:lang w:val="en-US" w:eastAsia="zh-CN" w:bidi="ar"/>
              </w:rPr>
              <w:t>绩效指标</w:t>
            </w:r>
          </w:p>
        </w:tc>
      </w:tr>
      <w:tr w14:paraId="3DDDA0E9">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7E95">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指标名称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4C8F4">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计量单位</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6261D">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指标性质</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B644">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指标值</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F9E4">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9E89">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偏离度（%）</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3B3D0">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得分系数（%）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E23C">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指标权重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53DC">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指标得分</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6457">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是否核心指标</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9387">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说明</w:t>
            </w:r>
          </w:p>
        </w:tc>
      </w:tr>
      <w:tr w14:paraId="20826788">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F2F6">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基本支出预算执行率</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4258">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9E19">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092C">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95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5D04">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94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7526">
            <w:pPr>
              <w:keepNext w:val="0"/>
              <w:keepLines w:val="0"/>
              <w:widowControl/>
              <w:suppressLineNumbers w:val="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1.05</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D854">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89.5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B081">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F7F2">
            <w:pPr>
              <w:keepNext w:val="0"/>
              <w:keepLines w:val="0"/>
              <w:widowControl/>
              <w:suppressLineNumbers w:val="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17.9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EEC6">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是</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8A9D">
            <w:pPr>
              <w:jc w:val="left"/>
              <w:rPr>
                <w:rFonts w:hint="default" w:ascii="Times New Roman" w:hAnsi="Times New Roman" w:eastAsia="宋体" w:cs="Times New Roman"/>
                <w:b w:val="0"/>
                <w:bCs/>
                <w:i w:val="0"/>
                <w:color w:val="auto"/>
                <w:sz w:val="22"/>
                <w:szCs w:val="22"/>
                <w:u w:val="none"/>
              </w:rPr>
            </w:pPr>
          </w:p>
        </w:tc>
      </w:tr>
      <w:tr w14:paraId="63F7CB78">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E14C">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项目支出预算执行率</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06A0">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278C">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6435">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92</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1C8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92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C2F7">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2EF7">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AF67">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C527">
            <w:pPr>
              <w:keepNext w:val="0"/>
              <w:keepLines w:val="0"/>
              <w:widowControl/>
              <w:suppressLineNumbers w:val="0"/>
              <w:jc w:val="both"/>
              <w:textAlignment w:val="center"/>
              <w:rPr>
                <w:rFonts w:hint="default" w:ascii="Times New Roman" w:hAnsi="Times New Roman" w:eastAsia="宋体" w:cs="Times New Roman"/>
                <w:b w:val="0"/>
                <w:bCs/>
                <w:i w:val="0"/>
                <w:color w:val="auto"/>
                <w:sz w:val="20"/>
                <w:szCs w:val="20"/>
                <w:u w:val="none"/>
              </w:rPr>
            </w:pPr>
            <w:r>
              <w:rPr>
                <w:rFonts w:hint="default" w:ascii="Times New Roman" w:hAnsi="Times New Roman" w:eastAsia="宋体" w:cs="Times New Roman"/>
                <w:b w:val="0"/>
                <w:bCs/>
                <w:i w:val="0"/>
                <w:color w:val="auto"/>
                <w:kern w:val="0"/>
                <w:sz w:val="20"/>
                <w:szCs w:val="20"/>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32B3">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是</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E2367">
            <w:pPr>
              <w:jc w:val="left"/>
              <w:rPr>
                <w:rFonts w:hint="default" w:ascii="Times New Roman" w:hAnsi="Times New Roman" w:eastAsia="宋体" w:cs="Times New Roman"/>
                <w:b w:val="0"/>
                <w:bCs/>
                <w:i w:val="0"/>
                <w:color w:val="auto"/>
                <w:sz w:val="22"/>
                <w:szCs w:val="22"/>
                <w:u w:val="none"/>
              </w:rPr>
            </w:pPr>
          </w:p>
        </w:tc>
      </w:tr>
      <w:tr w14:paraId="2E85456E">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23AE">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支出条件符合率</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0A63F">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FA4A">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C04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9A2F">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A073">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CEDB">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B014">
            <w:pPr>
              <w:keepNext w:val="0"/>
              <w:keepLines w:val="0"/>
              <w:widowControl/>
              <w:suppressLineNumbers w:val="0"/>
              <w:ind w:firstLine="220"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E8AC">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C29D">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是</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74F1">
            <w:pPr>
              <w:jc w:val="left"/>
              <w:rPr>
                <w:rFonts w:hint="default" w:ascii="Times New Roman" w:hAnsi="Times New Roman" w:eastAsia="宋体" w:cs="Times New Roman"/>
                <w:b w:val="0"/>
                <w:bCs/>
                <w:i w:val="0"/>
                <w:color w:val="auto"/>
                <w:sz w:val="22"/>
                <w:szCs w:val="22"/>
                <w:u w:val="none"/>
              </w:rPr>
            </w:pPr>
          </w:p>
        </w:tc>
      </w:tr>
      <w:tr w14:paraId="76B0B0B3">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E06A">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支出时限</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E963">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天</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C0FD">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C846">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6373">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C38F">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C881">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E982">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0AC2">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A2D9">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是</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E88F">
            <w:pPr>
              <w:jc w:val="left"/>
              <w:rPr>
                <w:rFonts w:hint="default" w:ascii="Times New Roman" w:hAnsi="Times New Roman" w:eastAsia="宋体" w:cs="Times New Roman"/>
                <w:b w:val="0"/>
                <w:bCs/>
                <w:i w:val="0"/>
                <w:color w:val="auto"/>
                <w:sz w:val="22"/>
                <w:szCs w:val="22"/>
                <w:u w:val="none"/>
              </w:rPr>
            </w:pPr>
          </w:p>
        </w:tc>
      </w:tr>
      <w:tr w14:paraId="4391D0E6">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76CF">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资金使用效益</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85B0">
            <w:pPr>
              <w:jc w:val="left"/>
              <w:rPr>
                <w:rFonts w:hint="default" w:ascii="Times New Roman" w:hAnsi="Times New Roman" w:eastAsia="宋体" w:cs="Times New Roman"/>
                <w:b w:val="0"/>
                <w:bCs/>
                <w:i w:val="0"/>
                <w:color w:val="auto"/>
                <w:sz w:val="22"/>
                <w:szCs w:val="22"/>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FDA7">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定性</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6602">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优</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5278">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1F9F">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CE2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0103">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253A">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F38F">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是</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7572">
            <w:pPr>
              <w:jc w:val="left"/>
              <w:rPr>
                <w:rFonts w:hint="default" w:ascii="Times New Roman" w:hAnsi="Times New Roman" w:eastAsia="宋体" w:cs="Times New Roman"/>
                <w:b w:val="0"/>
                <w:bCs/>
                <w:i w:val="0"/>
                <w:color w:val="auto"/>
                <w:sz w:val="22"/>
                <w:szCs w:val="22"/>
                <w:u w:val="none"/>
              </w:rPr>
            </w:pPr>
          </w:p>
        </w:tc>
      </w:tr>
      <w:tr w14:paraId="37C97B6C">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0115">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服务群众满意度</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96A4">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F3EA">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7E4C">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95</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5B28">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05B6">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E8D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7AA99">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CDF0">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7F52">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否</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5A96">
            <w:pPr>
              <w:jc w:val="left"/>
              <w:rPr>
                <w:rFonts w:hint="default" w:ascii="Times New Roman" w:hAnsi="Times New Roman" w:eastAsia="宋体" w:cs="Times New Roman"/>
                <w:b w:val="0"/>
                <w:bCs/>
                <w:i w:val="0"/>
                <w:color w:val="auto"/>
                <w:sz w:val="22"/>
                <w:szCs w:val="22"/>
                <w:u w:val="none"/>
              </w:rPr>
            </w:pPr>
          </w:p>
        </w:tc>
      </w:tr>
      <w:tr w14:paraId="0EEDC548">
        <w:tblPrEx>
          <w:tblCellMar>
            <w:top w:w="0" w:type="dxa"/>
            <w:left w:w="0" w:type="dxa"/>
            <w:bottom w:w="0" w:type="dxa"/>
            <w:right w:w="0"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4EDE">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整体运行成本</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1C8D">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0EBD">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F5D49">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F943">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782E8">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802F">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9935C">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BF6F">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B544">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否</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C714">
            <w:pPr>
              <w:jc w:val="left"/>
              <w:rPr>
                <w:rFonts w:hint="default" w:ascii="Times New Roman" w:hAnsi="Times New Roman" w:eastAsia="宋体" w:cs="Times New Roman"/>
                <w:b w:val="0"/>
                <w:bCs/>
                <w:i w:val="0"/>
                <w:color w:val="auto"/>
                <w:sz w:val="22"/>
                <w:szCs w:val="22"/>
                <w:u w:val="none"/>
              </w:rPr>
            </w:pPr>
          </w:p>
        </w:tc>
      </w:tr>
    </w:tbl>
    <w:p w14:paraId="4BE88EDB">
      <w:pPr>
        <w:pStyle w:val="12"/>
        <w:spacing w:before="0" w:beforeAutospacing="0"/>
        <w:rPr>
          <w:rFonts w:hint="default" w:ascii="Times New Roman" w:hAnsi="Times New Roman" w:eastAsia="方正仿宋_GBK" w:cs="Times New Roman"/>
          <w:b w:val="0"/>
          <w:bCs/>
          <w:color w:val="auto"/>
          <w:sz w:val="28"/>
          <w:szCs w:val="28"/>
          <w:shd w:val="clear" w:color="auto" w:fill="FFFFFF"/>
        </w:rPr>
      </w:pPr>
      <w:r>
        <w:rPr>
          <w:rFonts w:hint="default" w:ascii="Times New Roman" w:hAnsi="Times New Roman" w:eastAsia="方正仿宋_GBK" w:cs="Times New Roman"/>
          <w:b w:val="0"/>
          <w:bCs/>
          <w:color w:val="auto"/>
          <w:sz w:val="28"/>
          <w:szCs w:val="28"/>
          <w:shd w:val="clear" w:color="auto" w:fill="FFFFFF"/>
        </w:rPr>
        <w:t>项目支出绩效自评表（一级项目）</w:t>
      </w:r>
    </w:p>
    <w:tbl>
      <w:tblPr>
        <w:tblStyle w:val="7"/>
        <w:tblW w:w="5000" w:type="pct"/>
        <w:tblInd w:w="0" w:type="dxa"/>
        <w:shd w:val="clear" w:color="auto" w:fill="auto"/>
        <w:tblLayout w:type="fixed"/>
        <w:tblCellMar>
          <w:top w:w="0" w:type="dxa"/>
          <w:left w:w="0" w:type="dxa"/>
          <w:bottom w:w="0" w:type="dxa"/>
          <w:right w:w="0" w:type="dxa"/>
        </w:tblCellMar>
      </w:tblPr>
      <w:tblGrid>
        <w:gridCol w:w="1377"/>
        <w:gridCol w:w="538"/>
        <w:gridCol w:w="1044"/>
        <w:gridCol w:w="928"/>
        <w:gridCol w:w="826"/>
        <w:gridCol w:w="816"/>
        <w:gridCol w:w="758"/>
        <w:gridCol w:w="847"/>
        <w:gridCol w:w="391"/>
        <w:gridCol w:w="615"/>
        <w:gridCol w:w="679"/>
      </w:tblGrid>
      <w:tr w14:paraId="20FDC635">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298F">
            <w:pPr>
              <w:keepNext w:val="0"/>
              <w:keepLines w:val="0"/>
              <w:widowControl/>
              <w:suppressLineNumbers w:val="0"/>
              <w:jc w:val="center"/>
              <w:textAlignment w:val="center"/>
              <w:rPr>
                <w:rFonts w:hint="default" w:ascii="Times New Roman" w:hAnsi="Times New Roman" w:eastAsia="微软雅黑" w:cs="Times New Roman"/>
                <w:b w:val="0"/>
                <w:bCs/>
                <w:i w:val="0"/>
                <w:color w:val="auto"/>
                <w:sz w:val="40"/>
                <w:szCs w:val="40"/>
                <w:u w:val="none"/>
              </w:rPr>
            </w:pPr>
            <w:r>
              <w:rPr>
                <w:rFonts w:hint="default" w:ascii="Times New Roman" w:hAnsi="Times New Roman" w:eastAsia="微软雅黑" w:cs="Times New Roman"/>
                <w:b w:val="0"/>
                <w:bCs/>
                <w:i w:val="0"/>
                <w:color w:val="auto"/>
                <w:kern w:val="0"/>
                <w:sz w:val="40"/>
                <w:szCs w:val="40"/>
                <w:u w:val="none"/>
                <w:lang w:val="en-US" w:eastAsia="zh-CN" w:bidi="ar"/>
              </w:rPr>
              <w:t>2023年度二级项目绩效自评表</w:t>
            </w:r>
          </w:p>
        </w:tc>
      </w:tr>
      <w:tr w14:paraId="402756A8">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659A">
            <w:pPr>
              <w:keepNext w:val="0"/>
              <w:keepLines w:val="0"/>
              <w:widowControl/>
              <w:suppressLineNumbers w:val="0"/>
              <w:ind w:firstLineChars="10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状态：业务审核已审</w:t>
            </w:r>
          </w:p>
        </w:tc>
      </w:tr>
      <w:tr w14:paraId="6CAD2728">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E6C7">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项目名称：</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5042">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土地指标跨省域调剂收入安排的支出</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26FE">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项目编码：</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E1FF">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50022924Y000003875759</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4FE7">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自评总分：</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21F1C">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5B2E">
            <w:pPr>
              <w:jc w:val="righ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1190B">
            <w:pPr>
              <w:rPr>
                <w:rFonts w:hint="default" w:ascii="Times New Roman" w:hAnsi="Times New Roman" w:eastAsia="宋体" w:cs="Times New Roman"/>
                <w:b w:val="0"/>
                <w:bCs/>
                <w:i w:val="0"/>
                <w:color w:val="auto"/>
                <w:sz w:val="22"/>
                <w:szCs w:val="22"/>
                <w:u w:val="none"/>
              </w:rPr>
            </w:pPr>
          </w:p>
        </w:tc>
      </w:tr>
      <w:tr w14:paraId="0E73C931">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421">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项目主管部门：</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D6C4">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324-城口县规划和自然资源局</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BA82">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财政归口处室：</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084C9">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003-经济建设和债务管理科</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EEAC">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部门联系人：</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C8E9">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付孝琴</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FE0E4">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联系电话：</w:t>
            </w: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8929">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59225753</w:t>
            </w:r>
          </w:p>
        </w:tc>
      </w:tr>
      <w:tr w14:paraId="7B195AA3">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8343">
            <w:pPr>
              <w:keepNext w:val="0"/>
              <w:keepLines w:val="0"/>
              <w:widowControl/>
              <w:suppressLineNumbers w:val="0"/>
              <w:jc w:val="center"/>
              <w:textAlignment w:val="center"/>
              <w:rPr>
                <w:rFonts w:hint="default" w:ascii="Times New Roman" w:hAnsi="Times New Roman" w:eastAsia="微软雅黑" w:cs="Times New Roman"/>
                <w:b w:val="0"/>
                <w:bCs/>
                <w:i w:val="0"/>
                <w:color w:val="auto"/>
                <w:sz w:val="28"/>
                <w:szCs w:val="28"/>
                <w:u w:val="none"/>
              </w:rPr>
            </w:pPr>
            <w:r>
              <w:rPr>
                <w:rFonts w:hint="default" w:ascii="Times New Roman" w:hAnsi="Times New Roman" w:eastAsia="微软雅黑" w:cs="Times New Roman"/>
                <w:b w:val="0"/>
                <w:bCs/>
                <w:i w:val="0"/>
                <w:color w:val="auto"/>
                <w:kern w:val="0"/>
                <w:sz w:val="28"/>
                <w:szCs w:val="28"/>
                <w:u w:val="none"/>
                <w:lang w:val="en-US" w:eastAsia="zh-CN" w:bidi="ar"/>
              </w:rPr>
              <w:t>资金情况</w:t>
            </w:r>
          </w:p>
        </w:tc>
      </w:tr>
      <w:tr w14:paraId="18BFB60B">
        <w:tblPrEx>
          <w:tblCellMar>
            <w:top w:w="0" w:type="dxa"/>
            <w:left w:w="0" w:type="dxa"/>
            <w:bottom w:w="0" w:type="dxa"/>
            <w:right w:w="0" w:type="dxa"/>
          </w:tblCellMar>
        </w:tblPrEx>
        <w:trPr>
          <w:trHeight w:val="500" w:hRule="atLeast"/>
        </w:trPr>
        <w:tc>
          <w:tcPr>
            <w:tcW w:w="108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03CA">
            <w:pPr>
              <w:jc w:val="center"/>
              <w:rPr>
                <w:rFonts w:hint="default" w:ascii="Times New Roman" w:hAnsi="Times New Roman" w:eastAsia="宋体" w:cs="Times New Roman"/>
                <w:b w:val="0"/>
                <w:bCs/>
                <w:i w:val="0"/>
                <w:color w:val="auto"/>
                <w:sz w:val="22"/>
                <w:szCs w:val="22"/>
                <w:u w:val="none"/>
              </w:rPr>
            </w:pPr>
          </w:p>
        </w:tc>
        <w:tc>
          <w:tcPr>
            <w:tcW w:w="11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38AC">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年初预算数</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5FC9">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全年（调整）预算数</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5EBFA">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全年执行数</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0811">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执行率</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C4BC">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执行率权重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2DA9">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执行率得分</w:t>
            </w:r>
          </w:p>
        </w:tc>
      </w:tr>
      <w:tr w14:paraId="5AD98F2F">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9860AB2">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年度总金额</w:t>
            </w:r>
          </w:p>
        </w:tc>
        <w:tc>
          <w:tcPr>
            <w:tcW w:w="30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EB86F80">
            <w:pPr>
              <w:rPr>
                <w:rFonts w:hint="default" w:ascii="Times New Roman" w:hAnsi="Times New Roman" w:eastAsia="宋体" w:cs="Times New Roman"/>
                <w:b w:val="0"/>
                <w:bCs/>
                <w:i w:val="0"/>
                <w:color w:val="auto"/>
                <w:sz w:val="22"/>
                <w:szCs w:val="22"/>
                <w:u w:val="none"/>
              </w:rPr>
            </w:pPr>
          </w:p>
        </w:tc>
        <w:tc>
          <w:tcPr>
            <w:tcW w:w="5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EF5A189">
            <w:pPr>
              <w:rPr>
                <w:rFonts w:hint="default" w:ascii="Times New Roman" w:hAnsi="Times New Roman" w:eastAsia="宋体" w:cs="Times New Roman"/>
                <w:b w:val="0"/>
                <w:bCs/>
                <w:i w:val="0"/>
                <w:color w:val="auto"/>
                <w:sz w:val="22"/>
                <w:szCs w:val="22"/>
                <w:u w:val="none"/>
              </w:rPr>
            </w:pPr>
          </w:p>
        </w:tc>
        <w:tc>
          <w:tcPr>
            <w:tcW w:w="52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E1A00B">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0.00</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A8B2">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74,250,000.00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1FFF">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74,250,000.00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314E">
            <w:pPr>
              <w:rPr>
                <w:rFonts w:hint="default" w:ascii="Times New Roman" w:hAnsi="Times New Roman" w:eastAsia="宋体" w:cs="Times New Roman"/>
                <w:b w:val="0"/>
                <w:bCs/>
                <w:i w:val="0"/>
                <w:color w:val="auto"/>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330A">
            <w:pPr>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B1A4">
            <w:pPr>
              <w:jc w:val="right"/>
              <w:rPr>
                <w:rFonts w:hint="default" w:ascii="Times New Roman" w:hAnsi="Times New Roman" w:eastAsia="宋体" w:cs="Times New Roman"/>
                <w:b w:val="0"/>
                <w:bCs/>
                <w:i w:val="0"/>
                <w:color w:val="auto"/>
                <w:sz w:val="22"/>
                <w:szCs w:val="22"/>
                <w:u w:val="none"/>
              </w:rPr>
            </w:pPr>
          </w:p>
        </w:tc>
      </w:tr>
      <w:tr w14:paraId="21A4CFB5">
        <w:tblPrEx>
          <w:tblCellMar>
            <w:top w:w="0" w:type="dxa"/>
            <w:left w:w="0" w:type="dxa"/>
            <w:bottom w:w="0" w:type="dxa"/>
            <w:right w:w="0" w:type="dxa"/>
          </w:tblCellMar>
        </w:tblPrEx>
        <w:trPr>
          <w:trHeight w:val="953" w:hRule="atLeast"/>
        </w:trPr>
        <w:tc>
          <w:tcPr>
            <w:tcW w:w="78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B46AEA">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其中：财政拨款</w:t>
            </w:r>
          </w:p>
        </w:tc>
        <w:tc>
          <w:tcPr>
            <w:tcW w:w="30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7C99A5E">
            <w:pPr>
              <w:rPr>
                <w:rFonts w:hint="default" w:ascii="Times New Roman" w:hAnsi="Times New Roman" w:eastAsia="宋体" w:cs="Times New Roman"/>
                <w:b w:val="0"/>
                <w:bCs/>
                <w:i w:val="0"/>
                <w:color w:val="auto"/>
                <w:sz w:val="22"/>
                <w:szCs w:val="22"/>
                <w:u w:val="none"/>
              </w:rPr>
            </w:pPr>
          </w:p>
        </w:tc>
        <w:tc>
          <w:tcPr>
            <w:tcW w:w="5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30504AA9">
            <w:pPr>
              <w:rPr>
                <w:rFonts w:hint="default" w:ascii="Times New Roman" w:hAnsi="Times New Roman" w:eastAsia="宋体" w:cs="Times New Roman"/>
                <w:b w:val="0"/>
                <w:bCs/>
                <w:i w:val="0"/>
                <w:color w:val="auto"/>
                <w:sz w:val="22"/>
                <w:szCs w:val="22"/>
                <w:u w:val="none"/>
              </w:rPr>
            </w:pPr>
          </w:p>
        </w:tc>
        <w:tc>
          <w:tcPr>
            <w:tcW w:w="52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68FDC2">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0.00</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D673">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74,250,000.00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F1FF">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74,250,000.00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1B86">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42FD">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11C4">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10.00</w:t>
            </w:r>
          </w:p>
        </w:tc>
      </w:tr>
      <w:tr w14:paraId="474ADBFC">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9FC9B58">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一般公共预算</w:t>
            </w:r>
          </w:p>
        </w:tc>
        <w:tc>
          <w:tcPr>
            <w:tcW w:w="30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9541E4A">
            <w:pPr>
              <w:rPr>
                <w:rFonts w:hint="default" w:ascii="Times New Roman" w:hAnsi="Times New Roman" w:eastAsia="宋体" w:cs="Times New Roman"/>
                <w:b w:val="0"/>
                <w:bCs/>
                <w:i w:val="0"/>
                <w:color w:val="auto"/>
                <w:sz w:val="22"/>
                <w:szCs w:val="22"/>
                <w:u w:val="none"/>
              </w:rPr>
            </w:pPr>
          </w:p>
        </w:tc>
        <w:tc>
          <w:tcPr>
            <w:tcW w:w="5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6046575">
            <w:pPr>
              <w:rPr>
                <w:rFonts w:hint="default" w:ascii="Times New Roman" w:hAnsi="Times New Roman" w:eastAsia="宋体" w:cs="Times New Roman"/>
                <w:b w:val="0"/>
                <w:bCs/>
                <w:i w:val="0"/>
                <w:color w:val="auto"/>
                <w:sz w:val="22"/>
                <w:szCs w:val="22"/>
                <w:u w:val="none"/>
              </w:rPr>
            </w:pPr>
          </w:p>
        </w:tc>
        <w:tc>
          <w:tcPr>
            <w:tcW w:w="52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E60B71E">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0.00</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0CDB4">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74,250,000.00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D755">
            <w:pPr>
              <w:keepNext w:val="0"/>
              <w:keepLines w:val="0"/>
              <w:widowControl/>
              <w:suppressLineNumbers w:val="0"/>
              <w:ind w:firstLine="660" w:firstLineChars="3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74,250,000.00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8C62">
            <w:pPr>
              <w:keepNext w:val="0"/>
              <w:keepLines w:val="0"/>
              <w:widowControl/>
              <w:suppressLineNumbers w:val="0"/>
              <w:jc w:val="righ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EAD6">
            <w:pPr>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AF49">
            <w:pPr>
              <w:jc w:val="right"/>
              <w:rPr>
                <w:rFonts w:hint="default" w:ascii="Times New Roman" w:hAnsi="Times New Roman" w:eastAsia="宋体" w:cs="Times New Roman"/>
                <w:b w:val="0"/>
                <w:bCs/>
                <w:i w:val="0"/>
                <w:color w:val="auto"/>
                <w:sz w:val="22"/>
                <w:szCs w:val="22"/>
                <w:u w:val="none"/>
              </w:rPr>
            </w:pPr>
          </w:p>
        </w:tc>
      </w:tr>
      <w:tr w14:paraId="4D2699F7">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C003">
            <w:pPr>
              <w:keepNext w:val="0"/>
              <w:keepLines w:val="0"/>
              <w:widowControl/>
              <w:suppressLineNumbers w:val="0"/>
              <w:jc w:val="center"/>
              <w:textAlignment w:val="center"/>
              <w:rPr>
                <w:rFonts w:hint="default" w:ascii="Times New Roman" w:hAnsi="Times New Roman" w:eastAsia="微软雅黑" w:cs="Times New Roman"/>
                <w:b w:val="0"/>
                <w:bCs/>
                <w:i w:val="0"/>
                <w:color w:val="auto"/>
                <w:sz w:val="28"/>
                <w:szCs w:val="28"/>
                <w:u w:val="none"/>
              </w:rPr>
            </w:pPr>
            <w:r>
              <w:rPr>
                <w:rFonts w:hint="default" w:ascii="Times New Roman" w:hAnsi="Times New Roman" w:eastAsia="微软雅黑" w:cs="Times New Roman"/>
                <w:b w:val="0"/>
                <w:bCs/>
                <w:i w:val="0"/>
                <w:color w:val="auto"/>
                <w:kern w:val="0"/>
                <w:sz w:val="28"/>
                <w:szCs w:val="28"/>
                <w:u w:val="none"/>
                <w:lang w:val="en-US" w:eastAsia="zh-CN" w:bidi="ar"/>
              </w:rPr>
              <w:t>绩效目标</w:t>
            </w:r>
          </w:p>
        </w:tc>
      </w:tr>
      <w:tr w14:paraId="54C41BBC">
        <w:tblPrEx>
          <w:tblCellMar>
            <w:top w:w="0" w:type="dxa"/>
            <w:left w:w="0" w:type="dxa"/>
            <w:bottom w:w="0" w:type="dxa"/>
            <w:right w:w="0" w:type="dxa"/>
          </w:tblCellMar>
        </w:tblPrEx>
        <w:trPr>
          <w:trHeight w:val="500" w:hRule="atLeast"/>
        </w:trPr>
        <w:tc>
          <w:tcPr>
            <w:tcW w:w="220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1EC2">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年初绩效目标</w:t>
            </w: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D3A1">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全年（调整）绩效目标</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A411">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全年目标实际完成情况</w:t>
            </w:r>
          </w:p>
        </w:tc>
      </w:tr>
      <w:tr w14:paraId="3185DC85">
        <w:tblPrEx>
          <w:tblCellMar>
            <w:top w:w="0" w:type="dxa"/>
            <w:left w:w="0" w:type="dxa"/>
            <w:bottom w:w="0" w:type="dxa"/>
            <w:right w:w="0" w:type="dxa"/>
          </w:tblCellMar>
        </w:tblPrEx>
        <w:trPr>
          <w:trHeight w:val="1264" w:hRule="atLeast"/>
        </w:trPr>
        <w:tc>
          <w:tcPr>
            <w:tcW w:w="220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BD094F">
            <w:pPr>
              <w:jc w:val="left"/>
              <w:rPr>
                <w:rFonts w:hint="default" w:ascii="Times New Roman" w:hAnsi="Times New Roman" w:eastAsia="宋体" w:cs="Times New Roman"/>
                <w:b w:val="0"/>
                <w:bCs/>
                <w:i w:val="0"/>
                <w:color w:val="auto"/>
                <w:sz w:val="22"/>
                <w:szCs w:val="22"/>
                <w:u w:val="none"/>
              </w:rPr>
            </w:pPr>
          </w:p>
        </w:tc>
        <w:tc>
          <w:tcPr>
            <w:tcW w:w="18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798B6F">
            <w:pPr>
              <w:keepNext w:val="0"/>
              <w:keepLines w:val="0"/>
              <w:widowControl/>
              <w:suppressLineNumbers w:val="0"/>
              <w:jc w:val="left"/>
              <w:textAlignment w:val="top"/>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完成项目包装实施65个农村建设用地复垦项目，减少建设用地1600余亩，覆盖多个乡镇街道，惠及一万余人。</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3DECB1">
            <w:pPr>
              <w:keepNext w:val="0"/>
              <w:keepLines w:val="0"/>
              <w:widowControl/>
              <w:suppressLineNumbers w:val="0"/>
              <w:jc w:val="left"/>
              <w:textAlignment w:val="top"/>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完成了项目包装实施65个农村建设用地复垦项目，</w:t>
            </w:r>
          </w:p>
        </w:tc>
      </w:tr>
      <w:tr w14:paraId="449DFD4B">
        <w:tblPrEx>
          <w:tblCellMar>
            <w:top w:w="0" w:type="dxa"/>
            <w:left w:w="0" w:type="dxa"/>
            <w:bottom w:w="0" w:type="dxa"/>
            <w:right w:w="0" w:type="dxa"/>
          </w:tblCellMar>
        </w:tblPrEx>
        <w:trPr>
          <w:trHeight w:val="58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9DD2">
            <w:pPr>
              <w:keepNext w:val="0"/>
              <w:keepLines w:val="0"/>
              <w:widowControl/>
              <w:suppressLineNumbers w:val="0"/>
              <w:jc w:val="center"/>
              <w:textAlignment w:val="center"/>
              <w:rPr>
                <w:rFonts w:hint="default" w:ascii="Times New Roman" w:hAnsi="Times New Roman" w:eastAsia="微软雅黑" w:cs="Times New Roman"/>
                <w:b w:val="0"/>
                <w:bCs/>
                <w:i w:val="0"/>
                <w:color w:val="auto"/>
                <w:sz w:val="28"/>
                <w:szCs w:val="28"/>
                <w:u w:val="none"/>
              </w:rPr>
            </w:pPr>
            <w:r>
              <w:rPr>
                <w:rFonts w:hint="default" w:ascii="Times New Roman" w:hAnsi="Times New Roman" w:eastAsia="微软雅黑" w:cs="Times New Roman"/>
                <w:b w:val="0"/>
                <w:bCs/>
                <w:i w:val="0"/>
                <w:color w:val="auto"/>
                <w:kern w:val="0"/>
                <w:sz w:val="28"/>
                <w:szCs w:val="28"/>
                <w:u w:val="none"/>
                <w:lang w:val="en-US" w:eastAsia="zh-CN" w:bidi="ar"/>
              </w:rPr>
              <w:t>绩效指标</w:t>
            </w:r>
          </w:p>
        </w:tc>
      </w:tr>
      <w:tr w14:paraId="148BACAF">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9A95">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指标名称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8114">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计量单位</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263A">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指标性质</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8782">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9DF6">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全年完成值</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3FA8">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偏离度（%）</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36F7">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得分系数（%）</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9A94">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指标权重</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A19E">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指标得分</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19A2">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是否核心指标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8B72">
            <w:pPr>
              <w:keepNext w:val="0"/>
              <w:keepLines w:val="0"/>
              <w:widowControl/>
              <w:suppressLineNumbers w:val="0"/>
              <w:jc w:val="center"/>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说明</w:t>
            </w:r>
          </w:p>
        </w:tc>
      </w:tr>
      <w:tr w14:paraId="19CED60A">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8D81">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完成拆旧复垦面积（亩）</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EFB5">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亩</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F051">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2492">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C3896">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742.5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80CA">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D06B">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B914">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3AEA">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E2FE">
            <w:pPr>
              <w:jc w:val="lef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9B5B">
            <w:pPr>
              <w:jc w:val="left"/>
              <w:rPr>
                <w:rFonts w:hint="default" w:ascii="Times New Roman" w:hAnsi="Times New Roman" w:eastAsia="宋体" w:cs="Times New Roman"/>
                <w:b w:val="0"/>
                <w:bCs/>
                <w:i w:val="0"/>
                <w:color w:val="auto"/>
                <w:sz w:val="22"/>
                <w:szCs w:val="22"/>
                <w:u w:val="none"/>
              </w:rPr>
            </w:pPr>
          </w:p>
        </w:tc>
      </w:tr>
      <w:tr w14:paraId="26BFC29C">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96C7">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拆旧复垦耕地验收合格率</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949D">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FC653">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13B3">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3BD">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DB8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A2B03">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50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4A06">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20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891B">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FC35">
            <w:pPr>
              <w:jc w:val="lef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5EE7">
            <w:pPr>
              <w:jc w:val="left"/>
              <w:rPr>
                <w:rFonts w:hint="default" w:ascii="Times New Roman" w:hAnsi="Times New Roman" w:eastAsia="宋体" w:cs="Times New Roman"/>
                <w:b w:val="0"/>
                <w:bCs/>
                <w:i w:val="0"/>
                <w:color w:val="auto"/>
                <w:sz w:val="22"/>
                <w:szCs w:val="22"/>
                <w:u w:val="none"/>
              </w:rPr>
            </w:pPr>
          </w:p>
        </w:tc>
      </w:tr>
      <w:tr w14:paraId="572E724A">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FAB64">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村级集体经济</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DCAA">
            <w:pPr>
              <w:jc w:val="left"/>
              <w:rPr>
                <w:rFonts w:hint="default" w:ascii="Times New Roman" w:hAnsi="Times New Roman" w:eastAsia="宋体" w:cs="Times New Roman"/>
                <w:b w:val="0"/>
                <w:bCs/>
                <w:i w:val="0"/>
                <w:color w:val="auto"/>
                <w:sz w:val="22"/>
                <w:szCs w:val="22"/>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2BE9">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定性</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B395">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收入增加</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A14D">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9D8D">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0EAF">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6D06">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368C">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1752">
            <w:pPr>
              <w:jc w:val="lef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B8FA">
            <w:pPr>
              <w:jc w:val="left"/>
              <w:rPr>
                <w:rFonts w:hint="default" w:ascii="Times New Roman" w:hAnsi="Times New Roman" w:eastAsia="宋体" w:cs="Times New Roman"/>
                <w:b w:val="0"/>
                <w:bCs/>
                <w:i w:val="0"/>
                <w:color w:val="auto"/>
                <w:sz w:val="22"/>
                <w:szCs w:val="22"/>
                <w:u w:val="none"/>
              </w:rPr>
            </w:pPr>
          </w:p>
        </w:tc>
      </w:tr>
      <w:tr w14:paraId="0AF89761">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8FAC">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耕地质量</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94B2">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级</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D2F7">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6BED7">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80B7">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4942">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9D5F">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8302">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68E4">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735F">
            <w:pPr>
              <w:jc w:val="lef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EE5F">
            <w:pPr>
              <w:jc w:val="left"/>
              <w:rPr>
                <w:rFonts w:hint="default" w:ascii="Times New Roman" w:hAnsi="Times New Roman" w:eastAsia="宋体" w:cs="Times New Roman"/>
                <w:b w:val="0"/>
                <w:bCs/>
                <w:i w:val="0"/>
                <w:color w:val="auto"/>
                <w:sz w:val="22"/>
                <w:szCs w:val="22"/>
                <w:u w:val="none"/>
              </w:rPr>
            </w:pPr>
          </w:p>
        </w:tc>
      </w:tr>
      <w:tr w14:paraId="6CA258A3">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C752">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农村人居环境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600D">
            <w:pPr>
              <w:jc w:val="left"/>
              <w:rPr>
                <w:rFonts w:hint="default" w:ascii="Times New Roman" w:hAnsi="Times New Roman" w:eastAsia="宋体" w:cs="Times New Roman"/>
                <w:b w:val="0"/>
                <w:bCs/>
                <w:i w:val="0"/>
                <w:color w:val="auto"/>
                <w:sz w:val="22"/>
                <w:szCs w:val="22"/>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011F8">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定性</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3879">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明显改善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0AC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E42F">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674E">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3366">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C7D5">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C7EF">
            <w:pPr>
              <w:jc w:val="lef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6735">
            <w:pPr>
              <w:jc w:val="left"/>
              <w:rPr>
                <w:rFonts w:hint="default" w:ascii="Times New Roman" w:hAnsi="Times New Roman" w:eastAsia="宋体" w:cs="Times New Roman"/>
                <w:b w:val="0"/>
                <w:bCs/>
                <w:i w:val="0"/>
                <w:color w:val="auto"/>
                <w:sz w:val="22"/>
                <w:szCs w:val="22"/>
                <w:u w:val="none"/>
              </w:rPr>
            </w:pPr>
          </w:p>
        </w:tc>
      </w:tr>
      <w:tr w14:paraId="0BE44616">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8BE2">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生态环境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76F3">
            <w:pPr>
              <w:jc w:val="left"/>
              <w:rPr>
                <w:rFonts w:hint="default" w:ascii="Times New Roman" w:hAnsi="Times New Roman" w:eastAsia="宋体" w:cs="Times New Roman"/>
                <w:b w:val="0"/>
                <w:bCs/>
                <w:i w:val="0"/>
                <w:color w:val="auto"/>
                <w:sz w:val="22"/>
                <w:szCs w:val="22"/>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690E">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定性</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C7EC">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明显改善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6732">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730CB">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D3BB">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578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4D3B">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04F9">
            <w:pPr>
              <w:jc w:val="lef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DF38">
            <w:pPr>
              <w:jc w:val="left"/>
              <w:rPr>
                <w:rFonts w:hint="default" w:ascii="Times New Roman" w:hAnsi="Times New Roman" w:eastAsia="宋体" w:cs="Times New Roman"/>
                <w:b w:val="0"/>
                <w:bCs/>
                <w:i w:val="0"/>
                <w:color w:val="auto"/>
                <w:sz w:val="22"/>
                <w:szCs w:val="22"/>
                <w:u w:val="none"/>
              </w:rPr>
            </w:pPr>
          </w:p>
        </w:tc>
      </w:tr>
      <w:tr w14:paraId="6F7817BE">
        <w:tblPrEx>
          <w:tblCellMar>
            <w:top w:w="0" w:type="dxa"/>
            <w:left w:w="0" w:type="dxa"/>
            <w:bottom w:w="0" w:type="dxa"/>
            <w:right w:w="0" w:type="dxa"/>
          </w:tblCellMar>
        </w:tblPrEx>
        <w:trPr>
          <w:trHeight w:val="500" w:hRule="atLeast"/>
        </w:trPr>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28DC">
            <w:pPr>
              <w:keepNext w:val="0"/>
              <w:keepLines w:val="0"/>
              <w:widowControl/>
              <w:suppressLineNumbers w:val="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受益群体满意度</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5514">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8567">
            <w:pPr>
              <w:keepNext w:val="0"/>
              <w:keepLines w:val="0"/>
              <w:widowControl/>
              <w:suppressLineNumbers w:val="0"/>
              <w:ind w:firstLineChars="100"/>
              <w:jc w:val="left"/>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DF29">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F1F90">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95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AE29">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5DF5">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7E81">
            <w:pPr>
              <w:keepNext w:val="0"/>
              <w:keepLines w:val="0"/>
              <w:widowControl/>
              <w:suppressLineNumbers w:val="0"/>
              <w:ind w:firstLineChars="10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2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7B7A">
            <w:pPr>
              <w:keepNext w:val="0"/>
              <w:keepLines w:val="0"/>
              <w:widowControl/>
              <w:suppressLineNumbers w:val="0"/>
              <w:jc w:val="both"/>
              <w:textAlignment w:val="center"/>
              <w:rPr>
                <w:rFonts w:hint="default" w:ascii="Times New Roman" w:hAnsi="Times New Roman" w:eastAsia="宋体" w:cs="Times New Roman"/>
                <w:b w:val="0"/>
                <w:bCs/>
                <w:i w:val="0"/>
                <w:color w:val="auto"/>
                <w:sz w:val="22"/>
                <w:szCs w:val="22"/>
                <w:u w:val="none"/>
              </w:rPr>
            </w:pPr>
            <w:r>
              <w:rPr>
                <w:rFonts w:hint="default" w:ascii="Times New Roman" w:hAnsi="Times New Roman" w:eastAsia="宋体" w:cs="Times New Roman"/>
                <w:b w:val="0"/>
                <w:bCs/>
                <w:i w:val="0"/>
                <w:color w:val="auto"/>
                <w:kern w:val="0"/>
                <w:sz w:val="22"/>
                <w:szCs w:val="22"/>
                <w:u w:val="none"/>
                <w:lang w:val="en-US" w:eastAsia="zh-CN" w:bidi="ar"/>
              </w:rPr>
              <w:t>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3FBB">
            <w:pPr>
              <w:jc w:val="left"/>
              <w:rPr>
                <w:rFonts w:hint="default" w:ascii="Times New Roman" w:hAnsi="Times New Roman" w:eastAsia="宋体" w:cs="Times New Roman"/>
                <w:b w:val="0"/>
                <w:bCs/>
                <w:i w:val="0"/>
                <w:color w:val="auto"/>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5FF7">
            <w:pPr>
              <w:jc w:val="left"/>
              <w:rPr>
                <w:rFonts w:hint="default" w:ascii="Times New Roman" w:hAnsi="Times New Roman" w:eastAsia="宋体" w:cs="Times New Roman"/>
                <w:b w:val="0"/>
                <w:bCs/>
                <w:i w:val="0"/>
                <w:color w:val="auto"/>
                <w:sz w:val="22"/>
                <w:szCs w:val="22"/>
                <w:u w:val="none"/>
              </w:rPr>
            </w:pPr>
          </w:p>
        </w:tc>
      </w:tr>
    </w:tbl>
    <w:p w14:paraId="09724439">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lang w:eastAsia="zh-CN"/>
        </w:rPr>
        <w:t>（一）</w:t>
      </w:r>
      <w:r>
        <w:rPr>
          <w:rFonts w:hint="default" w:ascii="Times New Roman" w:hAnsi="Times New Roman" w:eastAsia="方正楷体_GBK" w:cs="Times New Roman"/>
          <w:b w:val="0"/>
          <w:bCs/>
          <w:color w:val="auto"/>
          <w:sz w:val="32"/>
          <w:szCs w:val="32"/>
          <w:shd w:val="clear" w:color="auto" w:fill="FFFFFF"/>
        </w:rPr>
        <w:t>部门绩效评价情况</w:t>
      </w:r>
    </w:p>
    <w:p w14:paraId="1D604416">
      <w:pPr>
        <w:pStyle w:val="11"/>
        <w:keepNext w:val="0"/>
        <w:keepLines w:val="0"/>
        <w:pageBreakBefore w:val="0"/>
        <w:widowControl/>
        <w:numPr>
          <w:ilvl w:val="0"/>
          <w:numId w:val="0"/>
        </w:numPr>
        <w:kinsoku/>
        <w:wordWrap/>
        <w:overflowPunct/>
        <w:topLinePunct w:val="0"/>
        <w:autoSpaceDE w:val="0"/>
        <w:autoSpaceDN/>
        <w:bidi w:val="0"/>
        <w:adjustRightInd/>
        <w:spacing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未委托第三方对我局开展绩效评价。</w:t>
      </w:r>
    </w:p>
    <w:p w14:paraId="43CCB88E">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楷体_GBK" w:cs="Times New Roman"/>
          <w:b w:val="0"/>
          <w:bCs/>
          <w:color w:val="auto"/>
          <w:sz w:val="32"/>
          <w:szCs w:val="32"/>
          <w:shd w:val="clear" w:color="auto" w:fill="FFFFFF"/>
          <w:lang w:eastAsia="zh-CN"/>
        </w:rPr>
      </w:pPr>
      <w:r>
        <w:rPr>
          <w:rFonts w:hint="default" w:ascii="Times New Roman" w:hAnsi="Times New Roman" w:eastAsia="方正楷体_GBK" w:cs="Times New Roman"/>
          <w:b w:val="0"/>
          <w:bCs/>
          <w:color w:val="auto"/>
          <w:sz w:val="32"/>
          <w:szCs w:val="32"/>
          <w:shd w:val="clear" w:color="auto" w:fill="FFFFFF"/>
          <w:lang w:eastAsia="zh-CN"/>
        </w:rPr>
        <w:t>（二）财政绩效评价情况</w:t>
      </w:r>
    </w:p>
    <w:p w14:paraId="47707FB2">
      <w:pPr>
        <w:pStyle w:val="11"/>
        <w:keepNext w:val="0"/>
        <w:keepLines w:val="0"/>
        <w:pageBreakBefore w:val="0"/>
        <w:widowControl/>
        <w:numPr>
          <w:ilvl w:val="0"/>
          <w:numId w:val="0"/>
        </w:numPr>
        <w:kinsoku/>
        <w:wordWrap/>
        <w:overflowPunct/>
        <w:topLinePunct w:val="0"/>
        <w:autoSpaceDE w:val="0"/>
        <w:autoSpaceDN/>
        <w:bidi w:val="0"/>
        <w:adjustRightInd/>
        <w:spacing w:line="58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lang w:val="en-US" w:eastAsia="zh-CN" w:bidi="ar-SA"/>
        </w:rPr>
      </w:pPr>
      <w:r>
        <w:rPr>
          <w:rFonts w:hint="default" w:ascii="Times New Roman" w:hAnsi="Times New Roman" w:eastAsia="方正仿宋_GBK" w:cs="Times New Roman"/>
          <w:b w:val="0"/>
          <w:bCs/>
          <w:color w:val="auto"/>
          <w:sz w:val="32"/>
          <w:szCs w:val="32"/>
          <w:shd w:val="clear" w:color="auto" w:fill="FFFFFF"/>
          <w:lang w:val="en-US" w:eastAsia="zh-CN" w:bidi="ar-SA"/>
        </w:rPr>
        <w:t>市财政局未委托第三方对我部门开展绩效评价。</w:t>
      </w:r>
    </w:p>
    <w:p w14:paraId="6083E73E">
      <w:pPr>
        <w:pStyle w:val="11"/>
        <w:keepNext w:val="0"/>
        <w:keepLines w:val="0"/>
        <w:pageBreakBefore w:val="0"/>
        <w:widowControl/>
        <w:numPr>
          <w:ilvl w:val="0"/>
          <w:numId w:val="0"/>
        </w:numPr>
        <w:kinsoku/>
        <w:wordWrap/>
        <w:overflowPunct/>
        <w:topLinePunct w:val="0"/>
        <w:autoSpaceDE w:val="0"/>
        <w:autoSpaceDN/>
        <w:bidi w:val="0"/>
        <w:adjustRightInd/>
        <w:spacing w:line="580" w:lineRule="exact"/>
        <w:ind w:firstLine="640" w:firstLineChars="200"/>
        <w:textAlignment w:val="auto"/>
        <w:rPr>
          <w:rFonts w:hint="default" w:ascii="Times New Roman" w:hAnsi="Times New Roman" w:eastAsia="方正黑体_GBK" w:cs="Times New Roman"/>
          <w:b w:val="0"/>
          <w:bCs/>
          <w:color w:val="auto"/>
          <w:sz w:val="32"/>
          <w:szCs w:val="32"/>
          <w:shd w:val="clear" w:color="auto" w:fill="FFFFFF"/>
          <w:lang w:val="en-US" w:eastAsia="zh-CN"/>
        </w:rPr>
      </w:pPr>
      <w:r>
        <w:rPr>
          <w:rFonts w:hint="default" w:ascii="Times New Roman" w:hAnsi="Times New Roman" w:eastAsia="方正黑体_GBK" w:cs="Times New Roman"/>
          <w:b w:val="0"/>
          <w:bCs/>
          <w:color w:val="auto"/>
          <w:sz w:val="32"/>
          <w:szCs w:val="32"/>
          <w:shd w:val="clear" w:color="auto" w:fill="FFFFFF"/>
          <w:lang w:val="en-US" w:eastAsia="zh-CN"/>
        </w:rPr>
        <w:t>六、专业名词解释</w:t>
      </w:r>
    </w:p>
    <w:p w14:paraId="4B3F1831">
      <w:pPr>
        <w:pStyle w:val="11"/>
        <w:keepNext w:val="0"/>
        <w:keepLines w:val="0"/>
        <w:pageBreakBefore w:val="0"/>
        <w:widowControl/>
        <w:numPr>
          <w:ilvl w:val="0"/>
          <w:numId w:val="0"/>
        </w:numPr>
        <w:kinsoku/>
        <w:wordWrap/>
        <w:overflowPunct/>
        <w:topLinePunct w:val="0"/>
        <w:autoSpaceDE w:val="0"/>
        <w:autoSpaceDN/>
        <w:bidi w:val="0"/>
        <w:adjustRightInd/>
        <w:spacing w:line="580" w:lineRule="exact"/>
        <w:ind w:firstLine="640" w:firstLineChars="200"/>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（一）财政拨款收入</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指本年度从本级财政部门取得的财政拨款，包括一般公共预算财政拨款和政府性基金预算财政拨款。</w:t>
      </w:r>
    </w:p>
    <w:p w14:paraId="1CC72960">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（二）事业收入</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指事业单位开展专业业务活动及其辅助活动取得的现金流入；事业单位收到的财政专户实际核拨的教育收费等资金在此反映。</w:t>
      </w:r>
    </w:p>
    <w:p w14:paraId="65046369">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（三）经营收入</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指事业单位在专业业务活动及其辅助活动之外开展非独立核算经营活动取得的现金流入。</w:t>
      </w:r>
    </w:p>
    <w:p w14:paraId="40A7DA9D">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（四）其他收入</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FA6682">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（五）使用非财政拨款结余</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99407B">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（六）年初结转和结余</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指单位上年结转本年使用的基本支出结转、项目支出结转和结余、经营结余。</w:t>
      </w:r>
    </w:p>
    <w:p w14:paraId="1B42EA01">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（七）结余分配</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指单位按照国家有关规定，缴纳所得税、提取专用基金、转入非财政拨款结余等当年结余的分配情况。</w:t>
      </w:r>
    </w:p>
    <w:p w14:paraId="4118236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（八）年末结转和结余</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指单位结转下年的基本支出结转、项目支出结转和结余、经营结余。</w:t>
      </w:r>
    </w:p>
    <w:p w14:paraId="27ED4E7E">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（九）基本支出</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EE4EB0">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（十）项目支出</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指在基本支出之外为完成特定行政任务和事业发展目标所发生的支出。</w:t>
      </w:r>
    </w:p>
    <w:p w14:paraId="5A3BE206">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（十一）经营支出</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指事业单位在专业业务活动及其辅助活动之外开展非独立核算经营活动发生的支出。</w:t>
      </w:r>
    </w:p>
    <w:p w14:paraId="4DDC3E0A">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（十二）“三公”经费</w:t>
      </w:r>
      <w:r>
        <w:rPr>
          <w:rFonts w:hint="default" w:ascii="Times New Roman" w:hAnsi="Times New Roman" w:eastAsia="楷体" w:cs="Times New Roman"/>
          <w:b w:val="0"/>
          <w:bCs/>
          <w:color w:val="auto"/>
          <w:sz w:val="32"/>
          <w:szCs w:val="32"/>
          <w:shd w:val="clear" w:color="auto" w:fill="FFFFFF"/>
        </w:rPr>
        <w:t>：</w:t>
      </w:r>
      <w:bookmarkStart w:id="0" w:name="_GoBack"/>
      <w:r>
        <w:rPr>
          <w:rFonts w:hint="default" w:ascii="Times New Roman" w:hAnsi="Times New Roman" w:eastAsia="方正仿宋_GBK" w:cs="Times New Roman"/>
          <w:b w:val="0"/>
          <w:bCs/>
          <w:color w:val="auto"/>
          <w:sz w:val="32"/>
          <w:szCs w:val="32"/>
          <w:shd w:val="clear" w:color="auto" w:fill="FFFFFF"/>
        </w:rPr>
        <w:t>指</w:t>
      </w:r>
      <w:bookmarkEnd w:id="0"/>
      <w:r>
        <w:rPr>
          <w:rFonts w:hint="default" w:ascii="Times New Roman" w:hAnsi="Times New Roman" w:eastAsia="方正仿宋_GBK" w:cs="Times New Roman"/>
          <w:b w:val="0"/>
          <w:bCs/>
          <w:color w:val="auto"/>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28ECF3">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（十三）机关运行经费</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6EF31BF">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（十四）工资福利支出（支出经济分类科目类级）</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反映单位开支的在职职工和编制外长期聘用人员的各类劳动报酬，以及为上述人员缴纳的各项社会保险费等。</w:t>
      </w:r>
    </w:p>
    <w:p w14:paraId="70C933E8">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（十五）商品和服务支出（支出经济分类科目类级）</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反映单位购买商品和服务的支出（不包括用于购置固定资产的支出、战略性和应急储备支出）。</w:t>
      </w:r>
    </w:p>
    <w:p w14:paraId="128F9F9B">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楷体_GBK" w:cs="Times New Roman"/>
          <w:b w:val="0"/>
          <w:bCs/>
          <w:color w:val="auto"/>
          <w:sz w:val="32"/>
          <w:szCs w:val="32"/>
          <w:shd w:val="clear" w:color="auto" w:fill="FFFFFF"/>
          <w:lang w:val="en-US" w:eastAsia="zh-CN" w:bidi="ar-SA"/>
        </w:rPr>
        <w:t>（十六）对个人和家庭的补助（支出经济分类科目类级）</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反映用于对个人和家庭的补助支出。</w:t>
      </w:r>
    </w:p>
    <w:p w14:paraId="3FBA5C5B">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lang w:val="en-US" w:eastAsia="zh-CN" w:bidi="ar-SA"/>
        </w:rPr>
        <w:t>（十七）其他资本性支出（支出经济分类科目类级）</w:t>
      </w:r>
      <w:r>
        <w:rPr>
          <w:rFonts w:hint="default" w:ascii="Times New Roman" w:hAnsi="Times New Roman" w:eastAsia="楷体"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9729C73">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color w:val="auto"/>
          <w:sz w:val="32"/>
          <w:szCs w:val="32"/>
          <w:shd w:val="clear" w:color="auto" w:fill="FFFFFF"/>
          <w:lang w:eastAsia="zh-CN"/>
        </w:rPr>
      </w:pPr>
      <w:r>
        <w:rPr>
          <w:rFonts w:hint="default" w:ascii="Times New Roman" w:hAnsi="Times New Roman" w:eastAsia="方正黑体_GBK" w:cs="Times New Roman"/>
          <w:b w:val="0"/>
          <w:bCs/>
          <w:color w:val="auto"/>
          <w:sz w:val="32"/>
          <w:szCs w:val="32"/>
          <w:shd w:val="clear" w:color="auto" w:fill="FFFFFF"/>
          <w:lang w:eastAsia="zh-CN"/>
        </w:rPr>
        <w:t>七、决算公开联系方式及信息反馈渠道</w:t>
      </w:r>
    </w:p>
    <w:p w14:paraId="42B7E0A9">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023-59225753。</w:t>
      </w:r>
    </w:p>
    <w:p w14:paraId="0720C281">
      <w:pPr>
        <w:pStyle w:val="6"/>
        <w:keepNext w:val="0"/>
        <w:keepLines w:val="0"/>
        <w:pageBreakBefore w:val="0"/>
        <w:widowControl/>
        <w:kinsoku/>
        <w:wordWrap/>
        <w:overflowPunct/>
        <w:topLinePunct w:val="0"/>
        <w:autoSpaceDN/>
        <w:bidi w:val="0"/>
        <w:adjustRightInd/>
        <w:snapToGrid w:val="0"/>
        <w:spacing w:before="0" w:beforeAutospacing="0" w:after="0" w:afterAutospacing="0" w:line="580" w:lineRule="exact"/>
        <w:jc w:val="both"/>
        <w:textAlignment w:val="auto"/>
        <w:rPr>
          <w:rFonts w:hint="default" w:ascii="Times New Roman" w:hAnsi="Times New Roman" w:eastAsia="方正仿宋_GBK" w:cs="Times New Roman"/>
          <w:b w:val="0"/>
          <w:bCs/>
          <w:color w:val="auto"/>
          <w:sz w:val="32"/>
          <w:szCs w:val="32"/>
          <w:shd w:val="clear" w:color="auto" w:fill="FFFFFF"/>
        </w:rPr>
        <w:sectPr>
          <w:headerReference r:id="rId3" w:type="default"/>
          <w:footerReference r:id="rId4" w:type="default"/>
          <w:pgSz w:w="11850" w:h="16783"/>
          <w:pgMar w:top="2098" w:right="1474" w:bottom="1984" w:left="1587" w:header="0" w:footer="283" w:gutter="0"/>
          <w:pgNumType w:fmt="numberInDash"/>
          <w:cols w:space="0" w:num="1"/>
          <w:rtlGutter w:val="0"/>
          <w:docGrid w:type="lines" w:linePitch="334" w:charSpace="0"/>
        </w:sectPr>
      </w:pPr>
    </w:p>
    <w:p w14:paraId="6EE47275">
      <w:pPr>
        <w:pStyle w:val="6"/>
        <w:snapToGrid w:val="0"/>
        <w:spacing w:before="0" w:beforeAutospacing="0" w:after="0" w:afterAutospacing="0" w:line="600" w:lineRule="exact"/>
        <w:jc w:val="both"/>
        <w:rPr>
          <w:rFonts w:hint="default" w:ascii="Times New Roman" w:hAnsi="Times New Roman" w:eastAsia="方正仿宋_GBK" w:cs="Times New Roman"/>
          <w:color w:val="FF0000"/>
          <w:sz w:val="32"/>
          <w:szCs w:val="32"/>
          <w:shd w:val="clear" w:color="auto" w:fill="FFFFFF"/>
        </w:rPr>
      </w:pPr>
    </w:p>
    <w:tbl>
      <w:tblPr>
        <w:tblStyle w:val="7"/>
        <w:tblW w:w="5005" w:type="pct"/>
        <w:tblInd w:w="0" w:type="dxa"/>
        <w:tblLayout w:type="autofit"/>
        <w:tblCellMar>
          <w:top w:w="0" w:type="dxa"/>
          <w:left w:w="0" w:type="dxa"/>
          <w:bottom w:w="0" w:type="dxa"/>
          <w:right w:w="0" w:type="dxa"/>
        </w:tblCellMar>
      </w:tblPr>
      <w:tblGrid>
        <w:gridCol w:w="4400"/>
        <w:gridCol w:w="1734"/>
        <w:gridCol w:w="4130"/>
        <w:gridCol w:w="2956"/>
      </w:tblGrid>
      <w:tr w14:paraId="548740E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7D7CBF2">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4548FD7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42D27C4">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8A000B4">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896C0F3">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119A8FB">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53C6917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4365D20">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重庆市城口县规划和自然资源局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10939C2">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3E06752">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12C34B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E9BA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7E788B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5AB6CD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07DD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7FD65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76C98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FA088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71AA1F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B6AA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4539">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13,746.18</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520EA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E4D57">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10.65</w:t>
            </w:r>
          </w:p>
        </w:tc>
      </w:tr>
      <w:tr w14:paraId="3A9C00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B34D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43FD6">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8,938.42</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42080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1AD1E">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7C7F1D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9A72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2CD2">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FAA0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052E">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4B10D7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C63F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79BB">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AE5B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9FF05">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60CF80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3E84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9A4D">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1A3D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43D0">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59E584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DF4D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7A44">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C726B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138B8">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7065A4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CEEF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7711">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F037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856A">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151F47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A646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FC6B7B5">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15.00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68B3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409E8">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407.62</w:t>
            </w:r>
          </w:p>
        </w:tc>
      </w:tr>
      <w:tr w14:paraId="44CB92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347AA">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1DF16D">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5B1D9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3006">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118.73</w:t>
            </w:r>
          </w:p>
        </w:tc>
      </w:tr>
      <w:tr w14:paraId="6F856D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F8B37">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BD014F">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34C6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F8EBD">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4A690A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589F1">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AACB20">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D11F5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3A987">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8,938.42</w:t>
            </w:r>
          </w:p>
        </w:tc>
      </w:tr>
      <w:tr w14:paraId="6AC4A6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A9077">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51686">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E8E529">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A0A26">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7,715.00</w:t>
            </w:r>
          </w:p>
        </w:tc>
      </w:tr>
      <w:tr w14:paraId="51CCDF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1D5A3">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2DB4">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FEC14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F588F">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092E5E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36BA3">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4D010">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27DF6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892DF">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512B17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ED7A1">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4680">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81F17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1E38">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2A19A8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67567">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534B">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AA0DD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FE9D">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1F3C33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9938E">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53C4E">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10933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5E88">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26B739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6F6F7">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1F9DD">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091B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085A">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12,192.88</w:t>
            </w:r>
          </w:p>
        </w:tc>
      </w:tr>
      <w:tr w14:paraId="426B47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5B0A7">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B05D0">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50238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38579">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154.95</w:t>
            </w:r>
          </w:p>
        </w:tc>
      </w:tr>
      <w:tr w14:paraId="3BCBEA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5BFA3">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2CAE9">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C16F1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23B45">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458238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A85B3">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13B24">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96DD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137A2">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30D607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4090D">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3FCA3">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DB673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A7BA">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455.40</w:t>
            </w:r>
          </w:p>
        </w:tc>
      </w:tr>
      <w:tr w14:paraId="010460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79F2C">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01468">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4B6474">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47CF6">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766CFF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25103">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B601B">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26D1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C973">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5AB162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4DD74">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03786">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39F6C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4D621">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7761D2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C4386">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779EC">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72C7A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5E6D">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61DCA1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C493D">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C9196">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22,699.60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7978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A9803">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29,993.64</w:t>
            </w:r>
          </w:p>
        </w:tc>
      </w:tr>
      <w:tr w14:paraId="2EC8B5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9E52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57B40">
            <w:pPr>
              <w:spacing w:line="240" w:lineRule="exact"/>
              <w:jc w:val="right"/>
              <w:textAlignment w:val="center"/>
              <w:rPr>
                <w:rFonts w:hint="eastAsia" w:ascii="Times New Roman" w:hAnsi="Times New Roman" w:eastAsia="宋体" w:cs="Times New Roman"/>
                <w:color w:val="000000"/>
                <w:sz w:val="20"/>
                <w:szCs w:val="20"/>
                <w:lang w:eastAsia="zh-CN"/>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BEB74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DEB1A">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25F386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FC9F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CC261">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7,294.04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21BA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29F3069">
            <w:pPr>
              <w:spacing w:line="240" w:lineRule="exact"/>
              <w:jc w:val="right"/>
              <w:textAlignment w:val="center"/>
              <w:rPr>
                <w:rFonts w:hint="eastAsia" w:ascii="Times New Roman" w:hAnsi="Times New Roman" w:eastAsia="宋体" w:cs="Times New Roman"/>
                <w:color w:val="000000"/>
                <w:sz w:val="20"/>
                <w:szCs w:val="20"/>
                <w:lang w:eastAsia="zh-CN"/>
              </w:rPr>
            </w:pPr>
          </w:p>
        </w:tc>
      </w:tr>
      <w:tr w14:paraId="31A4C94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4569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D557">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29,993.64</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238A64B">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E275E">
            <w:pPr>
              <w:spacing w:line="240" w:lineRule="exact"/>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29,993.64</w:t>
            </w:r>
          </w:p>
        </w:tc>
      </w:tr>
    </w:tbl>
    <w:p w14:paraId="1BB70F6E">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460"/>
        <w:gridCol w:w="2723"/>
        <w:gridCol w:w="1059"/>
        <w:gridCol w:w="1059"/>
        <w:gridCol w:w="1059"/>
        <w:gridCol w:w="1059"/>
        <w:gridCol w:w="1173"/>
        <w:gridCol w:w="1122"/>
        <w:gridCol w:w="1236"/>
        <w:gridCol w:w="1255"/>
      </w:tblGrid>
      <w:tr w14:paraId="0B00908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A49779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1B3C8AC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6F79529">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重庆市城口县规划和自然资源局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ED91BA7">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7CDE23">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E9E2B8A">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A232B83">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7EFED28">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2CC3928">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C135D9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0EEF412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08A600B">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F74F04C">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CBD0039">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0669C48">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4EE14D0">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B0FFC1">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785FC6A">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68BABE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D170DB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CD55B00">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83C5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BBC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39F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DF8F88">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6203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160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DFA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7DCCE8D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0BD6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32E8FD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CB55D">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D0E89">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BFC38">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1FFE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5A85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CE411">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2EF34">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34757">
            <w:pPr>
              <w:jc w:val="center"/>
              <w:rPr>
                <w:rFonts w:hint="default" w:ascii="Times New Roman" w:hAnsi="Times New Roman" w:cs="Times New Roman"/>
                <w:b/>
                <w:color w:val="000000"/>
                <w:sz w:val="20"/>
                <w:szCs w:val="20"/>
              </w:rPr>
            </w:pPr>
          </w:p>
        </w:tc>
      </w:tr>
      <w:tr w14:paraId="1916114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A801B">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B030C7">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A36EF">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F6FE9">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DC61B">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725F6">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9CACB">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C74CB">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5496A">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35107">
            <w:pPr>
              <w:jc w:val="center"/>
              <w:rPr>
                <w:rFonts w:hint="default" w:ascii="Times New Roman" w:hAnsi="Times New Roman" w:cs="Times New Roman"/>
                <w:b/>
                <w:color w:val="000000"/>
                <w:sz w:val="20"/>
                <w:szCs w:val="20"/>
              </w:rPr>
            </w:pPr>
          </w:p>
        </w:tc>
      </w:tr>
      <w:tr w14:paraId="605D748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49F81">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970C6B">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8B974">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9DB1B">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2021D">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E7D72">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A17F4">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7BA9E">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28364">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801F6">
            <w:pPr>
              <w:jc w:val="center"/>
              <w:rPr>
                <w:rFonts w:hint="default" w:ascii="Times New Roman" w:hAnsi="Times New Roman" w:cs="Times New Roman"/>
                <w:b/>
                <w:color w:val="000000"/>
                <w:sz w:val="20"/>
                <w:szCs w:val="20"/>
              </w:rPr>
            </w:pPr>
          </w:p>
        </w:tc>
      </w:tr>
      <w:tr w14:paraId="1704EC5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9F546">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766985">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0832D">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BCCB6">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28DD9">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62CCD">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D275E">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6CD42">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08E49">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2B51B">
            <w:pPr>
              <w:jc w:val="center"/>
              <w:rPr>
                <w:rFonts w:hint="default" w:ascii="Times New Roman" w:hAnsi="Times New Roman" w:cs="Times New Roman"/>
                <w:b/>
                <w:color w:val="000000"/>
                <w:sz w:val="20"/>
                <w:szCs w:val="20"/>
              </w:rPr>
            </w:pPr>
          </w:p>
        </w:tc>
      </w:tr>
      <w:tr w14:paraId="159B52C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855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7BE4">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22,699.60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25B07">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22,684.60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5F735">
            <w:pPr>
              <w:wordWrap w:val="0"/>
              <w:jc w:val="right"/>
              <w:textAlignment w:val="center"/>
              <w:rPr>
                <w:rFonts w:hint="eastAsia" w:ascii="Times New Roman" w:hAnsi="Times New Roman" w:eastAsia="宋体" w:cs="Times New Roman"/>
                <w:b/>
                <w:color w:val="000000"/>
                <w:sz w:val="20"/>
                <w:szCs w:val="20"/>
                <w:lang w:eastAsia="zh-CN"/>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8FD8A">
            <w:pPr>
              <w:wordWrap w:val="0"/>
              <w:jc w:val="right"/>
              <w:textAlignment w:val="center"/>
              <w:rPr>
                <w:rFonts w:hint="eastAsia" w:ascii="Times New Roman" w:hAnsi="Times New Roman" w:eastAsia="宋体" w:cs="Times New Roman"/>
                <w:b/>
                <w:color w:val="000000"/>
                <w:sz w:val="20"/>
                <w:szCs w:val="20"/>
                <w:lang w:eastAsia="zh-CN"/>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2DD1B">
            <w:pPr>
              <w:wordWrap w:val="0"/>
              <w:jc w:val="right"/>
              <w:textAlignment w:val="center"/>
              <w:rPr>
                <w:rFonts w:hint="eastAsia" w:ascii="Times New Roman" w:hAnsi="Times New Roman" w:eastAsia="宋体" w:cs="Times New Roman"/>
                <w:b/>
                <w:color w:val="000000"/>
                <w:sz w:val="20"/>
                <w:szCs w:val="20"/>
                <w:lang w:eastAsia="zh-CN"/>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44FF">
            <w:pPr>
              <w:wordWrap w:val="0"/>
              <w:jc w:val="right"/>
              <w:textAlignment w:val="center"/>
              <w:rPr>
                <w:rFonts w:hint="eastAsia" w:ascii="Times New Roman" w:hAnsi="Times New Roman" w:eastAsia="宋体" w:cs="Times New Roman"/>
                <w:b/>
                <w:color w:val="000000"/>
                <w:sz w:val="20"/>
                <w:szCs w:val="20"/>
                <w:lang w:eastAsia="zh-CN"/>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AFD41">
            <w:pPr>
              <w:wordWrap w:val="0"/>
              <w:jc w:val="right"/>
              <w:textAlignment w:val="center"/>
              <w:rPr>
                <w:rFonts w:hint="eastAsia" w:ascii="Times New Roman" w:hAnsi="Times New Roman" w:eastAsia="宋体" w:cs="Times New Roman"/>
                <w:b/>
                <w:color w:val="000000"/>
                <w:sz w:val="20"/>
                <w:szCs w:val="20"/>
                <w:lang w:eastAsia="zh-CN"/>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2A62">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15.00</w:t>
            </w:r>
          </w:p>
        </w:tc>
      </w:tr>
      <w:tr w14:paraId="14DA97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EE50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F663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9081">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C4C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6D9D">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2259">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F9C4">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53D9">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71DD">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8C5D">
            <w:pPr>
              <w:wordWrap w:val="0"/>
              <w:jc w:val="right"/>
              <w:textAlignment w:val="center"/>
              <w:rPr>
                <w:rFonts w:hint="eastAsia" w:ascii="Times New Roman" w:hAnsi="Times New Roman" w:eastAsia="宋体" w:cs="Times New Roman"/>
                <w:color w:val="000000"/>
                <w:sz w:val="20"/>
                <w:szCs w:val="20"/>
                <w:lang w:eastAsia="zh-CN"/>
              </w:rPr>
            </w:pPr>
          </w:p>
        </w:tc>
      </w:tr>
      <w:tr w14:paraId="618D23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AAB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6719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A69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F3D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EE40E">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4D35">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7F25">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F162">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4AC4">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48E7">
            <w:pPr>
              <w:wordWrap w:val="0"/>
              <w:jc w:val="right"/>
              <w:textAlignment w:val="center"/>
              <w:rPr>
                <w:rFonts w:hint="eastAsia" w:ascii="Times New Roman" w:hAnsi="Times New Roman" w:eastAsia="宋体" w:cs="Times New Roman"/>
                <w:color w:val="000000"/>
                <w:sz w:val="20"/>
                <w:szCs w:val="20"/>
                <w:lang w:eastAsia="zh-CN"/>
              </w:rPr>
            </w:pPr>
          </w:p>
        </w:tc>
      </w:tr>
      <w:tr w14:paraId="654AEF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CFF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AE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F3C8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693D">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10.65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9369">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86F6">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7A15">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285B">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063D">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4ADF">
            <w:pPr>
              <w:wordWrap w:val="0"/>
              <w:jc w:val="right"/>
              <w:textAlignment w:val="center"/>
              <w:rPr>
                <w:rFonts w:hint="eastAsia" w:ascii="Times New Roman" w:hAnsi="Times New Roman" w:eastAsia="宋体" w:cs="Times New Roman"/>
                <w:color w:val="000000"/>
                <w:sz w:val="20"/>
                <w:szCs w:val="20"/>
                <w:lang w:eastAsia="zh-CN"/>
              </w:rPr>
            </w:pPr>
          </w:p>
        </w:tc>
      </w:tr>
      <w:tr w14:paraId="76B504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EDB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21DE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142B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F85D">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2016">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D716">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9DB4">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0B22">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1FBE">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AABC">
            <w:pPr>
              <w:wordWrap w:val="0"/>
              <w:jc w:val="right"/>
              <w:textAlignment w:val="center"/>
              <w:rPr>
                <w:rFonts w:hint="eastAsia" w:ascii="Times New Roman" w:hAnsi="Times New Roman" w:eastAsia="宋体" w:cs="Times New Roman"/>
                <w:color w:val="000000"/>
                <w:sz w:val="20"/>
                <w:szCs w:val="20"/>
                <w:lang w:eastAsia="zh-CN"/>
              </w:rPr>
            </w:pPr>
          </w:p>
        </w:tc>
      </w:tr>
      <w:tr w14:paraId="24CC8F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FC0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3A1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461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1C6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64BD">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E77CB">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0EAB">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A0B8">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4604">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6EB6F">
            <w:pPr>
              <w:wordWrap w:val="0"/>
              <w:jc w:val="right"/>
              <w:textAlignment w:val="center"/>
              <w:rPr>
                <w:rFonts w:hint="eastAsia" w:ascii="Times New Roman" w:hAnsi="Times New Roman" w:eastAsia="宋体" w:cs="Times New Roman"/>
                <w:color w:val="000000"/>
                <w:sz w:val="20"/>
                <w:szCs w:val="20"/>
                <w:lang w:eastAsia="zh-CN"/>
              </w:rPr>
            </w:pPr>
          </w:p>
        </w:tc>
      </w:tr>
      <w:tr w14:paraId="4DED8B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2E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A313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D72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194.46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E8C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194.46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180B">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E16B">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ABC0">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2586">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8124">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A774">
            <w:pPr>
              <w:wordWrap w:val="0"/>
              <w:jc w:val="right"/>
              <w:textAlignment w:val="center"/>
              <w:rPr>
                <w:rFonts w:hint="eastAsia" w:ascii="Times New Roman" w:hAnsi="Times New Roman" w:eastAsia="宋体" w:cs="Times New Roman"/>
                <w:color w:val="000000"/>
                <w:sz w:val="20"/>
                <w:szCs w:val="20"/>
                <w:lang w:eastAsia="zh-CN"/>
              </w:rPr>
            </w:pPr>
          </w:p>
        </w:tc>
      </w:tr>
      <w:tr w14:paraId="14998E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9B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272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FF0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CA3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94.13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524F">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2198">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C1474">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5A2D">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B0D1">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ABCD">
            <w:pPr>
              <w:wordWrap w:val="0"/>
              <w:jc w:val="right"/>
              <w:textAlignment w:val="center"/>
              <w:rPr>
                <w:rFonts w:hint="eastAsia" w:ascii="Times New Roman" w:hAnsi="Times New Roman" w:eastAsia="宋体" w:cs="Times New Roman"/>
                <w:color w:val="000000"/>
                <w:sz w:val="20"/>
                <w:szCs w:val="20"/>
                <w:lang w:eastAsia="zh-CN"/>
              </w:rPr>
            </w:pPr>
          </w:p>
        </w:tc>
      </w:tr>
      <w:tr w14:paraId="75C633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D19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F1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5D1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119.03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CF4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119.03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8AE6">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C298">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0939">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1475">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A9842">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7FE1">
            <w:pPr>
              <w:wordWrap w:val="0"/>
              <w:jc w:val="right"/>
              <w:textAlignment w:val="center"/>
              <w:rPr>
                <w:rFonts w:hint="eastAsia" w:ascii="Times New Roman" w:hAnsi="Times New Roman" w:eastAsia="宋体" w:cs="Times New Roman"/>
                <w:color w:val="000000"/>
                <w:sz w:val="20"/>
                <w:szCs w:val="20"/>
                <w:lang w:eastAsia="zh-CN"/>
              </w:rPr>
            </w:pPr>
          </w:p>
        </w:tc>
      </w:tr>
      <w:tr w14:paraId="631E66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184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C215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507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71A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8818">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5264">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6462">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566A">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164E">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8936">
            <w:pPr>
              <w:wordWrap w:val="0"/>
              <w:jc w:val="right"/>
              <w:textAlignment w:val="center"/>
              <w:rPr>
                <w:rFonts w:hint="eastAsia" w:ascii="Times New Roman" w:hAnsi="Times New Roman" w:eastAsia="宋体" w:cs="Times New Roman"/>
                <w:color w:val="000000"/>
                <w:sz w:val="20"/>
                <w:szCs w:val="20"/>
                <w:lang w:eastAsia="zh-CN"/>
              </w:rPr>
            </w:pPr>
          </w:p>
        </w:tc>
      </w:tr>
      <w:tr w14:paraId="326A7E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E7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676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744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9AE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0D3A">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B55C">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4085">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573C">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EE52">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DA7B">
            <w:pPr>
              <w:wordWrap w:val="0"/>
              <w:jc w:val="right"/>
              <w:textAlignment w:val="center"/>
              <w:rPr>
                <w:rFonts w:hint="eastAsia" w:ascii="Times New Roman" w:hAnsi="Times New Roman" w:eastAsia="宋体" w:cs="Times New Roman"/>
                <w:color w:val="000000"/>
                <w:sz w:val="20"/>
                <w:szCs w:val="20"/>
                <w:lang w:eastAsia="zh-CN"/>
              </w:rPr>
            </w:pPr>
          </w:p>
        </w:tc>
      </w:tr>
      <w:tr w14:paraId="1B9F79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C04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B532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F462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5F5D">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8C6D">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6BB7">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4AEE">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3C68">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8D48">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6D2FE">
            <w:pPr>
              <w:wordWrap w:val="0"/>
              <w:jc w:val="right"/>
              <w:textAlignment w:val="center"/>
              <w:rPr>
                <w:rFonts w:hint="eastAsia" w:ascii="Times New Roman" w:hAnsi="Times New Roman" w:eastAsia="宋体" w:cs="Times New Roman"/>
                <w:color w:val="000000"/>
                <w:sz w:val="20"/>
                <w:szCs w:val="20"/>
                <w:lang w:eastAsia="zh-CN"/>
              </w:rPr>
            </w:pPr>
          </w:p>
        </w:tc>
      </w:tr>
      <w:tr w14:paraId="4C7831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7C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D1B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A11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63.62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5B5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63.62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A18F">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356D">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A692">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9F90">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40BF">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71F8">
            <w:pPr>
              <w:wordWrap w:val="0"/>
              <w:jc w:val="right"/>
              <w:textAlignment w:val="center"/>
              <w:rPr>
                <w:rFonts w:hint="eastAsia" w:ascii="Times New Roman" w:hAnsi="Times New Roman" w:eastAsia="宋体" w:cs="Times New Roman"/>
                <w:color w:val="000000"/>
                <w:sz w:val="20"/>
                <w:szCs w:val="20"/>
                <w:lang w:eastAsia="zh-CN"/>
              </w:rPr>
            </w:pPr>
          </w:p>
        </w:tc>
      </w:tr>
      <w:tr w14:paraId="77B9B8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98E1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4487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067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E37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3571">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AC46">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73FD">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9D37">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EDA8">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091B">
            <w:pPr>
              <w:wordWrap w:val="0"/>
              <w:jc w:val="right"/>
              <w:textAlignment w:val="center"/>
              <w:rPr>
                <w:rFonts w:hint="eastAsia" w:ascii="Times New Roman" w:hAnsi="Times New Roman" w:eastAsia="宋体" w:cs="Times New Roman"/>
                <w:color w:val="000000"/>
                <w:sz w:val="20"/>
                <w:szCs w:val="20"/>
                <w:lang w:eastAsia="zh-CN"/>
              </w:rPr>
            </w:pPr>
          </w:p>
        </w:tc>
      </w:tr>
      <w:tr w14:paraId="3055BB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701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B891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CD9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52B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260A">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E271">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5F03">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FC66">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8BD1">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31FC">
            <w:pPr>
              <w:wordWrap w:val="0"/>
              <w:jc w:val="right"/>
              <w:textAlignment w:val="center"/>
              <w:rPr>
                <w:rFonts w:hint="eastAsia" w:ascii="Times New Roman" w:hAnsi="Times New Roman" w:eastAsia="宋体" w:cs="Times New Roman"/>
                <w:color w:val="000000"/>
                <w:sz w:val="20"/>
                <w:szCs w:val="20"/>
                <w:lang w:eastAsia="zh-CN"/>
              </w:rPr>
            </w:pPr>
          </w:p>
        </w:tc>
      </w:tr>
      <w:tr w14:paraId="041223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57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C0C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928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1,416.74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5F2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1,416.74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3013">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281B">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0628">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E97B">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2472">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18EFA">
            <w:pPr>
              <w:wordWrap w:val="0"/>
              <w:jc w:val="right"/>
              <w:textAlignment w:val="center"/>
              <w:rPr>
                <w:rFonts w:hint="eastAsia" w:ascii="Times New Roman" w:hAnsi="Times New Roman" w:eastAsia="宋体" w:cs="Times New Roman"/>
                <w:color w:val="000000"/>
                <w:sz w:val="20"/>
                <w:szCs w:val="20"/>
                <w:lang w:eastAsia="zh-CN"/>
              </w:rPr>
            </w:pPr>
          </w:p>
        </w:tc>
      </w:tr>
      <w:tr w14:paraId="5AB184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E0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7CC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2AF5">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3,009.29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DF9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3,009.29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D8484">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D63C">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CCE2">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09CB">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672B">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6433">
            <w:pPr>
              <w:wordWrap w:val="0"/>
              <w:jc w:val="right"/>
              <w:textAlignment w:val="center"/>
              <w:rPr>
                <w:rFonts w:hint="eastAsia" w:ascii="Times New Roman" w:hAnsi="Times New Roman" w:eastAsia="宋体" w:cs="Times New Roman"/>
                <w:color w:val="000000"/>
                <w:sz w:val="20"/>
                <w:szCs w:val="20"/>
                <w:lang w:eastAsia="zh-CN"/>
              </w:rPr>
            </w:pPr>
          </w:p>
        </w:tc>
      </w:tr>
      <w:tr w14:paraId="00C2B9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262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582D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FC0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3,160.87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164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3,160.87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B6BD">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8911">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4771">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B571">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1152">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3572">
            <w:pPr>
              <w:wordWrap w:val="0"/>
              <w:jc w:val="right"/>
              <w:textAlignment w:val="center"/>
              <w:rPr>
                <w:rFonts w:hint="eastAsia" w:ascii="Times New Roman" w:hAnsi="Times New Roman" w:eastAsia="宋体" w:cs="Times New Roman"/>
                <w:color w:val="000000"/>
                <w:sz w:val="20"/>
                <w:szCs w:val="20"/>
                <w:lang w:eastAsia="zh-CN"/>
              </w:rPr>
            </w:pPr>
          </w:p>
        </w:tc>
      </w:tr>
      <w:tr w14:paraId="1BEE30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034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4A52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C5BD">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1,351.52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221F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1,351.52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1ECB">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2089">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74E5">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3AF0">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B1A4">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0575">
            <w:pPr>
              <w:wordWrap w:val="0"/>
              <w:jc w:val="right"/>
              <w:textAlignment w:val="center"/>
              <w:rPr>
                <w:rFonts w:hint="eastAsia" w:ascii="Times New Roman" w:hAnsi="Times New Roman" w:eastAsia="宋体" w:cs="Times New Roman"/>
                <w:color w:val="000000"/>
                <w:sz w:val="20"/>
                <w:szCs w:val="20"/>
                <w:lang w:eastAsia="zh-CN"/>
              </w:rPr>
            </w:pPr>
          </w:p>
        </w:tc>
      </w:tr>
      <w:tr w14:paraId="3A1192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7F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AA2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2F92">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9043">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3680">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5648">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7017">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7A28">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8534">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3005">
            <w:pPr>
              <w:wordWrap w:val="0"/>
              <w:jc w:val="right"/>
              <w:textAlignment w:val="center"/>
              <w:rPr>
                <w:rFonts w:hint="eastAsia" w:ascii="Times New Roman" w:hAnsi="Times New Roman" w:eastAsia="宋体" w:cs="Times New Roman"/>
                <w:color w:val="000000"/>
                <w:sz w:val="20"/>
                <w:szCs w:val="20"/>
                <w:lang w:eastAsia="zh-CN"/>
              </w:rPr>
            </w:pPr>
          </w:p>
        </w:tc>
      </w:tr>
      <w:tr w14:paraId="00B631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7A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6407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2F8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2823">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317F">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44B5">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4D1D">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E470">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811F">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9CDB">
            <w:pPr>
              <w:wordWrap w:val="0"/>
              <w:jc w:val="right"/>
              <w:textAlignment w:val="center"/>
              <w:rPr>
                <w:rFonts w:hint="eastAsia" w:ascii="Times New Roman" w:hAnsi="Times New Roman" w:eastAsia="宋体" w:cs="Times New Roman"/>
                <w:color w:val="000000"/>
                <w:sz w:val="20"/>
                <w:szCs w:val="20"/>
                <w:lang w:eastAsia="zh-CN"/>
              </w:rPr>
            </w:pPr>
          </w:p>
        </w:tc>
      </w:tr>
      <w:tr w14:paraId="666A3C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8ED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9DCA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8EE1">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D162">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1BAA">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1F39">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EEF3">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EC39">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9B9D">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D5BA">
            <w:pPr>
              <w:wordWrap w:val="0"/>
              <w:jc w:val="right"/>
              <w:textAlignment w:val="center"/>
              <w:rPr>
                <w:rFonts w:hint="eastAsia" w:ascii="Times New Roman" w:hAnsi="Times New Roman" w:eastAsia="宋体" w:cs="Times New Roman"/>
                <w:color w:val="000000"/>
                <w:sz w:val="20"/>
                <w:szCs w:val="20"/>
                <w:lang w:eastAsia="zh-CN"/>
              </w:rPr>
            </w:pPr>
          </w:p>
        </w:tc>
      </w:tr>
      <w:tr w14:paraId="4DD518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99B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9DE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E82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4,898.84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D3A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4,883.84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CA9F">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D3E9">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BFEF">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9E56">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46F33">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F05F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15.00</w:t>
            </w:r>
          </w:p>
        </w:tc>
      </w:tr>
      <w:tr w14:paraId="32C16F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4BC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B0A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CFE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4,898.84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D7C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4,883.84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7E92">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A81A">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8CA9">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15C2">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66CC">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C78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15.00</w:t>
            </w:r>
          </w:p>
        </w:tc>
      </w:tr>
      <w:tr w14:paraId="4B6D6A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FE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D88F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B67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3,348.88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F6A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3,348.88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9354B">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F42F">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4A0C">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E476">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1B2A">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175D">
            <w:pPr>
              <w:wordWrap w:val="0"/>
              <w:jc w:val="right"/>
              <w:textAlignment w:val="center"/>
              <w:rPr>
                <w:rFonts w:hint="eastAsia" w:ascii="Times New Roman" w:hAnsi="Times New Roman" w:eastAsia="宋体" w:cs="Times New Roman"/>
                <w:color w:val="000000"/>
                <w:sz w:val="20"/>
                <w:szCs w:val="20"/>
                <w:lang w:eastAsia="zh-CN"/>
              </w:rPr>
            </w:pPr>
          </w:p>
        </w:tc>
      </w:tr>
      <w:tr w14:paraId="643FAE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4E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117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CE5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F35D">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2B2D">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846F">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4D56F">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57B3">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B16F">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58CD">
            <w:pPr>
              <w:wordWrap w:val="0"/>
              <w:jc w:val="right"/>
              <w:textAlignment w:val="center"/>
              <w:rPr>
                <w:rFonts w:hint="eastAsia" w:ascii="Times New Roman" w:hAnsi="Times New Roman" w:eastAsia="宋体" w:cs="Times New Roman"/>
                <w:color w:val="000000"/>
                <w:sz w:val="20"/>
                <w:szCs w:val="20"/>
                <w:lang w:eastAsia="zh-CN"/>
              </w:rPr>
            </w:pPr>
          </w:p>
        </w:tc>
      </w:tr>
      <w:tr w14:paraId="2CD4EC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6A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199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E56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377.72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91E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377.72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714E">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CCEB">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0A48">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1A78">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409C">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09B7">
            <w:pPr>
              <w:wordWrap w:val="0"/>
              <w:jc w:val="right"/>
              <w:textAlignment w:val="center"/>
              <w:rPr>
                <w:rFonts w:hint="eastAsia" w:ascii="Times New Roman" w:hAnsi="Times New Roman" w:eastAsia="宋体" w:cs="Times New Roman"/>
                <w:color w:val="000000"/>
                <w:sz w:val="20"/>
                <w:szCs w:val="20"/>
                <w:lang w:eastAsia="zh-CN"/>
              </w:rPr>
            </w:pPr>
          </w:p>
        </w:tc>
      </w:tr>
      <w:tr w14:paraId="2AE3D1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B5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6D3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E70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1,037.25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8A0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1,037.25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BA15">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E3B5">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D214">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76BE">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58CE">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3B3BF">
            <w:pPr>
              <w:wordWrap w:val="0"/>
              <w:jc w:val="right"/>
              <w:textAlignment w:val="center"/>
              <w:rPr>
                <w:rFonts w:hint="eastAsia" w:ascii="Times New Roman" w:hAnsi="Times New Roman" w:eastAsia="宋体" w:cs="Times New Roman"/>
                <w:color w:val="000000"/>
                <w:sz w:val="20"/>
                <w:szCs w:val="20"/>
                <w:lang w:eastAsia="zh-CN"/>
              </w:rPr>
            </w:pPr>
          </w:p>
        </w:tc>
      </w:tr>
      <w:tr w14:paraId="168BFF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6A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EFE4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648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31A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7744">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A50D">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72DE5">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CF3F">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247E">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5AD3">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15.00</w:t>
            </w:r>
          </w:p>
        </w:tc>
      </w:tr>
      <w:tr w14:paraId="23AA9E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41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687F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EF8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34C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2220">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E35C5">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FADB">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FED1">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B27A">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9C40">
            <w:pPr>
              <w:wordWrap w:val="0"/>
              <w:jc w:val="right"/>
              <w:textAlignment w:val="center"/>
              <w:rPr>
                <w:rFonts w:hint="eastAsia" w:ascii="Times New Roman" w:hAnsi="Times New Roman" w:eastAsia="宋体" w:cs="Times New Roman"/>
                <w:color w:val="000000"/>
                <w:sz w:val="20"/>
                <w:szCs w:val="20"/>
                <w:lang w:eastAsia="zh-CN"/>
              </w:rPr>
            </w:pPr>
          </w:p>
        </w:tc>
      </w:tr>
      <w:tr w14:paraId="646CC4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5185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7D4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5AB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F3A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5353">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AF44">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F2FF">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35CD2">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D358">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8617">
            <w:pPr>
              <w:wordWrap w:val="0"/>
              <w:jc w:val="right"/>
              <w:textAlignment w:val="center"/>
              <w:rPr>
                <w:rFonts w:hint="eastAsia" w:ascii="Times New Roman" w:hAnsi="Times New Roman" w:eastAsia="宋体" w:cs="Times New Roman"/>
                <w:color w:val="000000"/>
                <w:sz w:val="20"/>
                <w:szCs w:val="20"/>
                <w:lang w:eastAsia="zh-CN"/>
              </w:rPr>
            </w:pPr>
          </w:p>
        </w:tc>
      </w:tr>
      <w:tr w14:paraId="67A736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E68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B10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530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872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8BD9">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DC3CF">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10DC">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FA6BB">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B77C">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346F">
            <w:pPr>
              <w:wordWrap w:val="0"/>
              <w:jc w:val="right"/>
              <w:textAlignment w:val="center"/>
              <w:rPr>
                <w:rFonts w:hint="eastAsia" w:ascii="Times New Roman" w:hAnsi="Times New Roman" w:eastAsia="宋体" w:cs="Times New Roman"/>
                <w:color w:val="000000"/>
                <w:sz w:val="20"/>
                <w:szCs w:val="20"/>
                <w:lang w:eastAsia="zh-CN"/>
              </w:rPr>
            </w:pPr>
          </w:p>
        </w:tc>
      </w:tr>
      <w:tr w14:paraId="5B59BE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040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A69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8A05">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7571">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81B7">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6EAB">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2D06">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531C">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485C">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6AD5">
            <w:pPr>
              <w:wordWrap w:val="0"/>
              <w:jc w:val="right"/>
              <w:textAlignment w:val="center"/>
              <w:rPr>
                <w:rFonts w:hint="eastAsia" w:ascii="Times New Roman" w:hAnsi="Times New Roman" w:eastAsia="宋体" w:cs="Times New Roman"/>
                <w:color w:val="000000"/>
                <w:sz w:val="20"/>
                <w:szCs w:val="20"/>
                <w:lang w:eastAsia="zh-CN"/>
              </w:rPr>
            </w:pPr>
          </w:p>
        </w:tc>
      </w:tr>
      <w:tr w14:paraId="0A77FA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A66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0BB7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3F3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3F65">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3F1A">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0D8A">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EC24">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0DE8">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11FD">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F84F">
            <w:pPr>
              <w:wordWrap w:val="0"/>
              <w:jc w:val="right"/>
              <w:textAlignment w:val="center"/>
              <w:rPr>
                <w:rFonts w:hint="eastAsia" w:ascii="Times New Roman" w:hAnsi="Times New Roman" w:eastAsia="宋体" w:cs="Times New Roman"/>
                <w:color w:val="000000"/>
                <w:sz w:val="20"/>
                <w:szCs w:val="20"/>
                <w:lang w:eastAsia="zh-CN"/>
              </w:rPr>
            </w:pPr>
          </w:p>
        </w:tc>
      </w:tr>
      <w:tr w14:paraId="3B93EB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A2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F7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870D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455.40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32C1">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455.40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45F0">
            <w:pPr>
              <w:wordWrap w:val="0"/>
              <w:jc w:val="right"/>
              <w:textAlignment w:val="center"/>
              <w:rPr>
                <w:rFonts w:hint="eastAsia" w:ascii="Times New Roman" w:hAnsi="Times New Roman" w:eastAsia="宋体" w:cs="Times New Roman"/>
                <w:color w:val="000000"/>
                <w:sz w:val="20"/>
                <w:szCs w:val="20"/>
                <w:lang w:eastAsia="zh-CN"/>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F76B">
            <w:pPr>
              <w:wordWrap w:val="0"/>
              <w:jc w:val="right"/>
              <w:textAlignment w:val="center"/>
              <w:rPr>
                <w:rFonts w:hint="eastAsia" w:ascii="Times New Roman" w:hAnsi="Times New Roman" w:eastAsia="宋体" w:cs="Times New Roman"/>
                <w:color w:val="000000"/>
                <w:sz w:val="20"/>
                <w:szCs w:val="20"/>
                <w:lang w:eastAsia="zh-CN"/>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C800">
            <w:pPr>
              <w:wordWrap w:val="0"/>
              <w:jc w:val="right"/>
              <w:textAlignment w:val="center"/>
              <w:rPr>
                <w:rFonts w:hint="eastAsia" w:ascii="Times New Roman" w:hAnsi="Times New Roman" w:eastAsia="宋体" w:cs="Times New Roman"/>
                <w:color w:val="000000"/>
                <w:sz w:val="20"/>
                <w:szCs w:val="20"/>
                <w:lang w:eastAsia="zh-CN"/>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8EFD1">
            <w:pPr>
              <w:wordWrap w:val="0"/>
              <w:jc w:val="right"/>
              <w:textAlignment w:val="center"/>
              <w:rPr>
                <w:rFonts w:hint="eastAsia" w:ascii="Times New Roman" w:hAnsi="Times New Roman" w:eastAsia="宋体" w:cs="Times New Roman"/>
                <w:color w:val="000000"/>
                <w:sz w:val="20"/>
                <w:szCs w:val="20"/>
                <w:lang w:eastAsia="zh-CN"/>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902F">
            <w:pPr>
              <w:wordWrap w:val="0"/>
              <w:jc w:val="right"/>
              <w:textAlignment w:val="center"/>
              <w:rPr>
                <w:rFonts w:hint="eastAsia" w:ascii="Times New Roman" w:hAnsi="Times New Roman" w:eastAsia="宋体" w:cs="Times New Roman"/>
                <w:color w:val="000000"/>
                <w:sz w:val="20"/>
                <w:szCs w:val="20"/>
                <w:lang w:eastAsia="zh-CN"/>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8414">
            <w:pPr>
              <w:wordWrap w:val="0"/>
              <w:jc w:val="right"/>
              <w:textAlignment w:val="center"/>
              <w:rPr>
                <w:rFonts w:hint="eastAsia" w:ascii="Times New Roman" w:hAnsi="Times New Roman" w:eastAsia="宋体" w:cs="Times New Roman"/>
                <w:color w:val="000000"/>
                <w:sz w:val="20"/>
                <w:szCs w:val="20"/>
                <w:lang w:eastAsia="zh-CN"/>
              </w:rPr>
            </w:pPr>
          </w:p>
        </w:tc>
      </w:tr>
    </w:tbl>
    <w:p w14:paraId="0C65EF18">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6A5FE6B">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630"/>
        <w:gridCol w:w="1321"/>
        <w:gridCol w:w="1321"/>
        <w:gridCol w:w="1321"/>
        <w:gridCol w:w="1308"/>
        <w:gridCol w:w="1308"/>
        <w:gridCol w:w="1361"/>
      </w:tblGrid>
      <w:tr w14:paraId="4AFC59A3">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C1EA3C2">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6CC04AE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2965070">
            <w:pPr>
              <w:rPr>
                <w:rFonts w:hint="eastAsia" w:ascii="Times New Roman" w:hAnsi="Times New Roman" w:eastAsia="宋体" w:cs="Times New Roman"/>
                <w:color w:val="000000"/>
                <w:sz w:val="20"/>
                <w:szCs w:val="20"/>
                <w:lang w:eastAsia="zh-CN"/>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重庆市城口县规划和自然资源局</w:t>
            </w:r>
          </w:p>
        </w:tc>
        <w:tc>
          <w:tcPr>
            <w:tcW w:w="553" w:type="pct"/>
            <w:tcBorders>
              <w:top w:val="nil"/>
              <w:left w:val="nil"/>
              <w:bottom w:val="nil"/>
              <w:right w:val="nil"/>
            </w:tcBorders>
            <w:shd w:val="clear" w:color="auto" w:fill="auto"/>
            <w:noWrap/>
            <w:tcMar>
              <w:top w:w="15" w:type="dxa"/>
              <w:left w:w="15" w:type="dxa"/>
              <w:right w:w="15" w:type="dxa"/>
            </w:tcMar>
            <w:vAlign w:val="bottom"/>
          </w:tcPr>
          <w:p w14:paraId="5318CEEC">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679289">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91F0E6E">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0826E6">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14667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11B06E1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3E9C320">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6B7CBAC">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D0D67EB">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582B4EC">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D281B41">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79304B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B9D04A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38867C">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4F6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1961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2EE1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66C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DD47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42BB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46FE087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195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CA0F47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012EE">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15DD8">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12BB2">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149D0">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8EF4D">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0696C">
            <w:pPr>
              <w:jc w:val="center"/>
              <w:rPr>
                <w:rFonts w:hint="default" w:ascii="Times New Roman" w:hAnsi="Times New Roman" w:cs="Times New Roman"/>
                <w:b/>
                <w:color w:val="000000"/>
                <w:sz w:val="20"/>
                <w:szCs w:val="20"/>
              </w:rPr>
            </w:pPr>
          </w:p>
        </w:tc>
      </w:tr>
      <w:tr w14:paraId="2C09C76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A230F">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B3DB57">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6BA9C">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4B686">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E5C73">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A7C8F">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34B8D">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8DFEC">
            <w:pPr>
              <w:jc w:val="center"/>
              <w:rPr>
                <w:rFonts w:hint="default" w:ascii="Times New Roman" w:hAnsi="Times New Roman" w:cs="Times New Roman"/>
                <w:b/>
                <w:color w:val="000000"/>
                <w:sz w:val="20"/>
                <w:szCs w:val="20"/>
              </w:rPr>
            </w:pPr>
          </w:p>
        </w:tc>
      </w:tr>
      <w:tr w14:paraId="19E007C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1D0AF">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E2F900">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78F23">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2471D">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A5AFC">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3279A">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3BD83">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8EC20">
            <w:pPr>
              <w:jc w:val="center"/>
              <w:rPr>
                <w:rFonts w:hint="default" w:ascii="Times New Roman" w:hAnsi="Times New Roman" w:cs="Times New Roman"/>
                <w:b/>
                <w:color w:val="000000"/>
                <w:sz w:val="20"/>
                <w:szCs w:val="20"/>
              </w:rPr>
            </w:pPr>
          </w:p>
        </w:tc>
      </w:tr>
      <w:tr w14:paraId="4EC2EE8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87104">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3C5A96">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B443E">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CA621">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1CBC2">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A49B0">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ADE9B">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28D15">
            <w:pPr>
              <w:jc w:val="center"/>
              <w:rPr>
                <w:rFonts w:hint="default" w:ascii="Times New Roman" w:hAnsi="Times New Roman" w:cs="Times New Roman"/>
                <w:b/>
                <w:color w:val="000000"/>
                <w:sz w:val="20"/>
                <w:szCs w:val="20"/>
              </w:rPr>
            </w:pPr>
          </w:p>
        </w:tc>
      </w:tr>
      <w:tr w14:paraId="622ED56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E9C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8E4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29,993.64</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E04B7">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5,078.06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19CCC">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24,915.58</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D9782">
            <w:pPr>
              <w:wordWrap w:val="0"/>
              <w:jc w:val="right"/>
              <w:textAlignment w:val="center"/>
              <w:rPr>
                <w:rFonts w:hint="eastAsia" w:ascii="Times New Roman" w:hAnsi="Times New Roman" w:eastAsia="宋体" w:cs="Times New Roman"/>
                <w:b/>
                <w:color w:val="000000"/>
                <w:sz w:val="20"/>
                <w:szCs w:val="20"/>
                <w:lang w:eastAsia="zh-CN"/>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A51EB">
            <w:pPr>
              <w:wordWrap w:val="0"/>
              <w:jc w:val="right"/>
              <w:textAlignment w:val="center"/>
              <w:rPr>
                <w:rFonts w:hint="eastAsia" w:ascii="Times New Roman" w:hAnsi="Times New Roman" w:eastAsia="宋体" w:cs="Times New Roman"/>
                <w:b/>
                <w:color w:val="000000"/>
                <w:sz w:val="20"/>
                <w:szCs w:val="20"/>
                <w:lang w:eastAsia="zh-CN"/>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25A12">
            <w:pPr>
              <w:wordWrap w:val="0"/>
              <w:jc w:val="right"/>
              <w:textAlignment w:val="center"/>
              <w:rPr>
                <w:rFonts w:hint="eastAsia" w:ascii="Times New Roman" w:hAnsi="Times New Roman" w:eastAsia="宋体" w:cs="Times New Roman"/>
                <w:b/>
                <w:color w:val="000000"/>
                <w:sz w:val="20"/>
                <w:szCs w:val="20"/>
                <w:lang w:eastAsia="zh-CN"/>
              </w:rPr>
            </w:pPr>
          </w:p>
        </w:tc>
      </w:tr>
      <w:tr w14:paraId="2A5D3D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5E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FDE1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F3D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6F8F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1BCC">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CCC4">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8A39">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FD56">
            <w:pPr>
              <w:wordWrap w:val="0"/>
              <w:jc w:val="right"/>
              <w:textAlignment w:val="center"/>
              <w:rPr>
                <w:rFonts w:hint="eastAsia" w:ascii="Times New Roman" w:hAnsi="Times New Roman" w:eastAsia="宋体" w:cs="Times New Roman"/>
                <w:color w:val="000000"/>
                <w:sz w:val="20"/>
                <w:szCs w:val="20"/>
                <w:lang w:eastAsia="zh-CN"/>
              </w:rPr>
            </w:pPr>
          </w:p>
        </w:tc>
      </w:tr>
      <w:tr w14:paraId="767123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A09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C047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3EC5">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C20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10.65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9B1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534C">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F06C">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C21A">
            <w:pPr>
              <w:wordWrap w:val="0"/>
              <w:jc w:val="right"/>
              <w:textAlignment w:val="center"/>
              <w:rPr>
                <w:rFonts w:hint="eastAsia" w:ascii="Times New Roman" w:hAnsi="Times New Roman" w:eastAsia="宋体" w:cs="Times New Roman"/>
                <w:color w:val="000000"/>
                <w:sz w:val="20"/>
                <w:szCs w:val="20"/>
                <w:lang w:eastAsia="zh-CN"/>
              </w:rPr>
            </w:pPr>
          </w:p>
        </w:tc>
      </w:tr>
      <w:tr w14:paraId="780295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71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969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F1E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1BD2">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10.65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C35D">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2B0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E9006">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7407">
            <w:pPr>
              <w:wordWrap w:val="0"/>
              <w:jc w:val="right"/>
              <w:textAlignment w:val="center"/>
              <w:rPr>
                <w:rFonts w:hint="eastAsia" w:ascii="Times New Roman" w:hAnsi="Times New Roman" w:eastAsia="宋体" w:cs="Times New Roman"/>
                <w:color w:val="000000"/>
                <w:sz w:val="20"/>
                <w:szCs w:val="20"/>
                <w:lang w:eastAsia="zh-CN"/>
              </w:rPr>
            </w:pPr>
          </w:p>
        </w:tc>
      </w:tr>
      <w:tr w14:paraId="050C6F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A28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0F9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6D1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1025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1C34">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A434">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1060">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1DFD">
            <w:pPr>
              <w:wordWrap w:val="0"/>
              <w:jc w:val="right"/>
              <w:textAlignment w:val="center"/>
              <w:rPr>
                <w:rFonts w:hint="eastAsia" w:ascii="Times New Roman" w:hAnsi="Times New Roman" w:eastAsia="宋体" w:cs="Times New Roman"/>
                <w:color w:val="000000"/>
                <w:sz w:val="20"/>
                <w:szCs w:val="20"/>
                <w:lang w:eastAsia="zh-CN"/>
              </w:rPr>
            </w:pPr>
          </w:p>
        </w:tc>
      </w:tr>
      <w:tr w14:paraId="23316E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28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058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90F2">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48B2">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407.62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B5C9">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C420">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FEFB">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B5BF">
            <w:pPr>
              <w:wordWrap w:val="0"/>
              <w:jc w:val="right"/>
              <w:textAlignment w:val="center"/>
              <w:rPr>
                <w:rFonts w:hint="eastAsia" w:ascii="Times New Roman" w:hAnsi="Times New Roman" w:eastAsia="宋体" w:cs="Times New Roman"/>
                <w:color w:val="000000"/>
                <w:sz w:val="20"/>
                <w:szCs w:val="20"/>
                <w:lang w:eastAsia="zh-CN"/>
              </w:rPr>
            </w:pPr>
          </w:p>
        </w:tc>
      </w:tr>
      <w:tr w14:paraId="286B49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CA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8C1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CDC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194.46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DD0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194.46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FDF7">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49D">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CA38">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9E80">
            <w:pPr>
              <w:wordWrap w:val="0"/>
              <w:jc w:val="right"/>
              <w:textAlignment w:val="center"/>
              <w:rPr>
                <w:rFonts w:hint="eastAsia" w:ascii="Times New Roman" w:hAnsi="Times New Roman" w:eastAsia="宋体" w:cs="Times New Roman"/>
                <w:color w:val="000000"/>
                <w:sz w:val="20"/>
                <w:szCs w:val="20"/>
                <w:lang w:eastAsia="zh-CN"/>
              </w:rPr>
            </w:pPr>
          </w:p>
        </w:tc>
      </w:tr>
      <w:tr w14:paraId="092B4C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16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44AE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E95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94.13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751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94.13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E9D1">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809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73378">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8647">
            <w:pPr>
              <w:wordWrap w:val="0"/>
              <w:jc w:val="right"/>
              <w:textAlignment w:val="center"/>
              <w:rPr>
                <w:rFonts w:hint="eastAsia" w:ascii="Times New Roman" w:hAnsi="Times New Roman" w:eastAsia="宋体" w:cs="Times New Roman"/>
                <w:color w:val="000000"/>
                <w:sz w:val="20"/>
                <w:szCs w:val="20"/>
                <w:lang w:eastAsia="zh-CN"/>
              </w:rPr>
            </w:pPr>
          </w:p>
        </w:tc>
      </w:tr>
      <w:tr w14:paraId="40EF38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1E9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9B4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45A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119.03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CA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119.03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4651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D185">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7D7A">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CA37">
            <w:pPr>
              <w:wordWrap w:val="0"/>
              <w:jc w:val="right"/>
              <w:textAlignment w:val="center"/>
              <w:rPr>
                <w:rFonts w:hint="eastAsia" w:ascii="Times New Roman" w:hAnsi="Times New Roman" w:eastAsia="宋体" w:cs="Times New Roman"/>
                <w:color w:val="000000"/>
                <w:sz w:val="20"/>
                <w:szCs w:val="20"/>
                <w:lang w:eastAsia="zh-CN"/>
              </w:rPr>
            </w:pPr>
          </w:p>
        </w:tc>
      </w:tr>
      <w:tr w14:paraId="07AF91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EF2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83B3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0B0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E10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B2496">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3719">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766C">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04C6">
            <w:pPr>
              <w:wordWrap w:val="0"/>
              <w:jc w:val="right"/>
              <w:textAlignment w:val="center"/>
              <w:rPr>
                <w:rFonts w:hint="eastAsia" w:ascii="Times New Roman" w:hAnsi="Times New Roman" w:eastAsia="宋体" w:cs="Times New Roman"/>
                <w:color w:val="000000"/>
                <w:sz w:val="20"/>
                <w:szCs w:val="20"/>
                <w:lang w:eastAsia="zh-CN"/>
              </w:rPr>
            </w:pPr>
          </w:p>
        </w:tc>
      </w:tr>
      <w:tr w14:paraId="339373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08B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C35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446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8B7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118.73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A4E77">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AB8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6F28">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E4AF">
            <w:pPr>
              <w:wordWrap w:val="0"/>
              <w:jc w:val="right"/>
              <w:textAlignment w:val="center"/>
              <w:rPr>
                <w:rFonts w:hint="eastAsia" w:ascii="Times New Roman" w:hAnsi="Times New Roman" w:eastAsia="宋体" w:cs="Times New Roman"/>
                <w:color w:val="000000"/>
                <w:sz w:val="20"/>
                <w:szCs w:val="20"/>
                <w:lang w:eastAsia="zh-CN"/>
              </w:rPr>
            </w:pPr>
          </w:p>
        </w:tc>
      </w:tr>
      <w:tr w14:paraId="245B78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38E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DCE9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9B15">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C83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55.10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79D4">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393D">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F68B">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EB74">
            <w:pPr>
              <w:wordWrap w:val="0"/>
              <w:jc w:val="right"/>
              <w:textAlignment w:val="center"/>
              <w:rPr>
                <w:rFonts w:hint="eastAsia" w:ascii="Times New Roman" w:hAnsi="Times New Roman" w:eastAsia="宋体" w:cs="Times New Roman"/>
                <w:color w:val="000000"/>
                <w:sz w:val="20"/>
                <w:szCs w:val="20"/>
                <w:lang w:eastAsia="zh-CN"/>
              </w:rPr>
            </w:pPr>
          </w:p>
        </w:tc>
      </w:tr>
      <w:tr w14:paraId="4A1AEB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21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9D3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1C13">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63.62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6B71">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63.62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F156">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9C9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A09A">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55A6">
            <w:pPr>
              <w:wordWrap w:val="0"/>
              <w:jc w:val="right"/>
              <w:textAlignment w:val="center"/>
              <w:rPr>
                <w:rFonts w:hint="eastAsia" w:ascii="Times New Roman" w:hAnsi="Times New Roman" w:eastAsia="宋体" w:cs="Times New Roman"/>
                <w:color w:val="000000"/>
                <w:sz w:val="20"/>
                <w:szCs w:val="20"/>
                <w:lang w:eastAsia="zh-CN"/>
              </w:rPr>
            </w:pPr>
          </w:p>
        </w:tc>
      </w:tr>
      <w:tr w14:paraId="0ACC26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B3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B6F7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709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FDF2">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0E0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4B1E">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0913">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7F0E8">
            <w:pPr>
              <w:wordWrap w:val="0"/>
              <w:jc w:val="right"/>
              <w:textAlignment w:val="center"/>
              <w:rPr>
                <w:rFonts w:hint="eastAsia" w:ascii="Times New Roman" w:hAnsi="Times New Roman" w:eastAsia="宋体" w:cs="Times New Roman"/>
                <w:color w:val="000000"/>
                <w:sz w:val="20"/>
                <w:szCs w:val="20"/>
                <w:lang w:eastAsia="zh-CN"/>
              </w:rPr>
            </w:pPr>
          </w:p>
        </w:tc>
      </w:tr>
      <w:tr w14:paraId="2DEE31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F48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46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904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68D5">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A86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8,938.42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C2B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86D5">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7B74">
            <w:pPr>
              <w:wordWrap w:val="0"/>
              <w:jc w:val="right"/>
              <w:textAlignment w:val="center"/>
              <w:rPr>
                <w:rFonts w:hint="eastAsia" w:ascii="Times New Roman" w:hAnsi="Times New Roman" w:eastAsia="宋体" w:cs="Times New Roman"/>
                <w:color w:val="000000"/>
                <w:sz w:val="20"/>
                <w:szCs w:val="20"/>
                <w:lang w:eastAsia="zh-CN"/>
              </w:rPr>
            </w:pPr>
          </w:p>
        </w:tc>
      </w:tr>
      <w:tr w14:paraId="147D90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46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17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2E6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1,416.74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F397">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857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1,416.74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7A83">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2CCE">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570D">
            <w:pPr>
              <w:wordWrap w:val="0"/>
              <w:jc w:val="right"/>
              <w:textAlignment w:val="center"/>
              <w:rPr>
                <w:rFonts w:hint="eastAsia" w:ascii="Times New Roman" w:hAnsi="Times New Roman" w:eastAsia="宋体" w:cs="Times New Roman"/>
                <w:color w:val="000000"/>
                <w:sz w:val="20"/>
                <w:szCs w:val="20"/>
                <w:lang w:eastAsia="zh-CN"/>
              </w:rPr>
            </w:pPr>
          </w:p>
        </w:tc>
      </w:tr>
      <w:tr w14:paraId="117B1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DB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3E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11B3">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3,009.29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BBD4">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08C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3,009.29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06AB">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D195">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49CE">
            <w:pPr>
              <w:wordWrap w:val="0"/>
              <w:jc w:val="right"/>
              <w:textAlignment w:val="center"/>
              <w:rPr>
                <w:rFonts w:hint="eastAsia" w:ascii="Times New Roman" w:hAnsi="Times New Roman" w:eastAsia="宋体" w:cs="Times New Roman"/>
                <w:color w:val="000000"/>
                <w:sz w:val="20"/>
                <w:szCs w:val="20"/>
                <w:lang w:eastAsia="zh-CN"/>
              </w:rPr>
            </w:pPr>
          </w:p>
        </w:tc>
      </w:tr>
      <w:tr w14:paraId="05AA96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7A9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FDA4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4DD2">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3,160.87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D0ED">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3CA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3,160.87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F2A5">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4CFE">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3108">
            <w:pPr>
              <w:wordWrap w:val="0"/>
              <w:jc w:val="right"/>
              <w:textAlignment w:val="center"/>
              <w:rPr>
                <w:rFonts w:hint="eastAsia" w:ascii="Times New Roman" w:hAnsi="Times New Roman" w:eastAsia="宋体" w:cs="Times New Roman"/>
                <w:color w:val="000000"/>
                <w:sz w:val="20"/>
                <w:szCs w:val="20"/>
                <w:lang w:eastAsia="zh-CN"/>
              </w:rPr>
            </w:pPr>
          </w:p>
        </w:tc>
      </w:tr>
      <w:tr w14:paraId="3E74BB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5A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25C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1AA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1,351.52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3888">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EC0A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1,351.52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053F">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AE63">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73E2">
            <w:pPr>
              <w:wordWrap w:val="0"/>
              <w:jc w:val="right"/>
              <w:textAlignment w:val="center"/>
              <w:rPr>
                <w:rFonts w:hint="eastAsia" w:ascii="Times New Roman" w:hAnsi="Times New Roman" w:eastAsia="宋体" w:cs="Times New Roman"/>
                <w:color w:val="000000"/>
                <w:sz w:val="20"/>
                <w:szCs w:val="20"/>
                <w:lang w:eastAsia="zh-CN"/>
              </w:rPr>
            </w:pPr>
          </w:p>
        </w:tc>
      </w:tr>
      <w:tr w14:paraId="4B292D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E95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A02F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397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AEE8">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D2D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184D">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12123">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5FFB">
            <w:pPr>
              <w:wordWrap w:val="0"/>
              <w:jc w:val="right"/>
              <w:textAlignment w:val="center"/>
              <w:rPr>
                <w:rFonts w:hint="eastAsia" w:ascii="Times New Roman" w:hAnsi="Times New Roman" w:eastAsia="宋体" w:cs="Times New Roman"/>
                <w:color w:val="000000"/>
                <w:sz w:val="20"/>
                <w:szCs w:val="20"/>
                <w:lang w:eastAsia="zh-CN"/>
              </w:rPr>
            </w:pPr>
          </w:p>
        </w:tc>
      </w:tr>
      <w:tr w14:paraId="4F2CD0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8B1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1C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0F3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9051">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AC6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7,715.00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2231">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7B8D">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4E24">
            <w:pPr>
              <w:wordWrap w:val="0"/>
              <w:jc w:val="right"/>
              <w:textAlignment w:val="center"/>
              <w:rPr>
                <w:rFonts w:hint="eastAsia" w:ascii="Times New Roman" w:hAnsi="Times New Roman" w:eastAsia="宋体" w:cs="Times New Roman"/>
                <w:color w:val="000000"/>
                <w:sz w:val="20"/>
                <w:szCs w:val="20"/>
                <w:lang w:eastAsia="zh-CN"/>
              </w:rPr>
            </w:pPr>
          </w:p>
        </w:tc>
      </w:tr>
      <w:tr w14:paraId="57C8B9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EA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A49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0681">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7,715.00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6BA1">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FEBB">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7,715.00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BC7B">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C3D7">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F65C">
            <w:pPr>
              <w:wordWrap w:val="0"/>
              <w:jc w:val="right"/>
              <w:textAlignment w:val="center"/>
              <w:rPr>
                <w:rFonts w:hint="eastAsia" w:ascii="Times New Roman" w:hAnsi="Times New Roman" w:eastAsia="宋体" w:cs="Times New Roman"/>
                <w:color w:val="000000"/>
                <w:sz w:val="20"/>
                <w:szCs w:val="20"/>
                <w:lang w:eastAsia="zh-CN"/>
              </w:rPr>
            </w:pPr>
          </w:p>
        </w:tc>
      </w:tr>
      <w:tr w14:paraId="64F9BB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0FC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F4D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D92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12,192.88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C22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4,386.12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A336">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7,806.76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2DC7">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2CBF">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7CEA8">
            <w:pPr>
              <w:wordWrap w:val="0"/>
              <w:jc w:val="right"/>
              <w:textAlignment w:val="center"/>
              <w:rPr>
                <w:rFonts w:hint="eastAsia" w:ascii="Times New Roman" w:hAnsi="Times New Roman" w:eastAsia="宋体" w:cs="Times New Roman"/>
                <w:color w:val="000000"/>
                <w:sz w:val="20"/>
                <w:szCs w:val="20"/>
                <w:lang w:eastAsia="zh-CN"/>
              </w:rPr>
            </w:pPr>
          </w:p>
        </w:tc>
      </w:tr>
      <w:tr w14:paraId="63949F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52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43AB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695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12,192.88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861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4,386.12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2A1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7,806.76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FF0C">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6DC3">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70D1">
            <w:pPr>
              <w:wordWrap w:val="0"/>
              <w:jc w:val="right"/>
              <w:textAlignment w:val="center"/>
              <w:rPr>
                <w:rFonts w:hint="eastAsia" w:ascii="Times New Roman" w:hAnsi="Times New Roman" w:eastAsia="宋体" w:cs="Times New Roman"/>
                <w:color w:val="000000"/>
                <w:sz w:val="20"/>
                <w:szCs w:val="20"/>
                <w:lang w:eastAsia="zh-CN"/>
              </w:rPr>
            </w:pPr>
          </w:p>
        </w:tc>
      </w:tr>
      <w:tr w14:paraId="52B237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FB9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BB00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9AD3">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3,348.88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61F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3,348.88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30A3">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DEFB">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4082">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4033">
            <w:pPr>
              <w:wordWrap w:val="0"/>
              <w:jc w:val="right"/>
              <w:textAlignment w:val="center"/>
              <w:rPr>
                <w:rFonts w:hint="eastAsia" w:ascii="Times New Roman" w:hAnsi="Times New Roman" w:eastAsia="宋体" w:cs="Times New Roman"/>
                <w:color w:val="000000"/>
                <w:sz w:val="20"/>
                <w:szCs w:val="20"/>
                <w:lang w:eastAsia="zh-CN"/>
              </w:rPr>
            </w:pPr>
          </w:p>
        </w:tc>
      </w:tr>
      <w:tr w14:paraId="13C30F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186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8BB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62B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EF83">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B70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8488">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55D9">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9893">
            <w:pPr>
              <w:wordWrap w:val="0"/>
              <w:jc w:val="right"/>
              <w:textAlignment w:val="center"/>
              <w:rPr>
                <w:rFonts w:hint="eastAsia" w:ascii="Times New Roman" w:hAnsi="Times New Roman" w:eastAsia="宋体" w:cs="Times New Roman"/>
                <w:color w:val="000000"/>
                <w:sz w:val="20"/>
                <w:szCs w:val="20"/>
                <w:lang w:eastAsia="zh-CN"/>
              </w:rPr>
            </w:pPr>
          </w:p>
        </w:tc>
      </w:tr>
      <w:tr w14:paraId="549F65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AF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D539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4299">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377.72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24A8">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A368">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377.72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FF6D">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9B22">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453B">
            <w:pPr>
              <w:wordWrap w:val="0"/>
              <w:jc w:val="right"/>
              <w:textAlignment w:val="center"/>
              <w:rPr>
                <w:rFonts w:hint="eastAsia" w:ascii="Times New Roman" w:hAnsi="Times New Roman" w:eastAsia="宋体" w:cs="Times New Roman"/>
                <w:color w:val="000000"/>
                <w:sz w:val="20"/>
                <w:szCs w:val="20"/>
                <w:lang w:eastAsia="zh-CN"/>
              </w:rPr>
            </w:pPr>
          </w:p>
        </w:tc>
      </w:tr>
      <w:tr w14:paraId="152539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24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77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土地资源储备支出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E43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260.29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B792">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F37D">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260.29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EDAB">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8B8A">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55E9">
            <w:pPr>
              <w:wordWrap w:val="0"/>
              <w:jc w:val="right"/>
              <w:textAlignment w:val="center"/>
              <w:rPr>
                <w:rFonts w:hint="eastAsia" w:ascii="Times New Roman" w:hAnsi="Times New Roman" w:eastAsia="宋体" w:cs="Times New Roman"/>
                <w:color w:val="000000"/>
                <w:sz w:val="20"/>
                <w:szCs w:val="20"/>
                <w:lang w:eastAsia="zh-CN"/>
              </w:rPr>
            </w:pPr>
          </w:p>
        </w:tc>
      </w:tr>
      <w:tr w14:paraId="125155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8F6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6A54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E853">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1,037.25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0B91">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1,037.25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AE99C">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1F13">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9C21">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E078">
            <w:pPr>
              <w:wordWrap w:val="0"/>
              <w:jc w:val="right"/>
              <w:textAlignment w:val="center"/>
              <w:rPr>
                <w:rFonts w:hint="eastAsia" w:ascii="Times New Roman" w:hAnsi="Times New Roman" w:eastAsia="宋体" w:cs="Times New Roman"/>
                <w:color w:val="000000"/>
                <w:sz w:val="20"/>
                <w:szCs w:val="20"/>
                <w:lang w:eastAsia="zh-CN"/>
              </w:rPr>
            </w:pPr>
          </w:p>
        </w:tc>
      </w:tr>
      <w:tr w14:paraId="0CE70C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28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26DB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EBCE">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7,148.75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E32A">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FC45">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7,148.75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75BB7">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34D4">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086F">
            <w:pPr>
              <w:wordWrap w:val="0"/>
              <w:jc w:val="right"/>
              <w:textAlignment w:val="center"/>
              <w:rPr>
                <w:rFonts w:hint="eastAsia" w:ascii="Times New Roman" w:hAnsi="Times New Roman" w:eastAsia="宋体" w:cs="Times New Roman"/>
                <w:color w:val="000000"/>
                <w:sz w:val="20"/>
                <w:szCs w:val="20"/>
                <w:lang w:eastAsia="zh-CN"/>
              </w:rPr>
            </w:pPr>
          </w:p>
        </w:tc>
      </w:tr>
      <w:tr w14:paraId="33F06F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051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EF0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182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3D3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E57D">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3885">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D2B7">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1A35">
            <w:pPr>
              <w:wordWrap w:val="0"/>
              <w:jc w:val="right"/>
              <w:textAlignment w:val="center"/>
              <w:rPr>
                <w:rFonts w:hint="eastAsia" w:ascii="Times New Roman" w:hAnsi="Times New Roman" w:eastAsia="宋体" w:cs="Times New Roman"/>
                <w:color w:val="000000"/>
                <w:sz w:val="20"/>
                <w:szCs w:val="20"/>
                <w:lang w:eastAsia="zh-CN"/>
              </w:rPr>
            </w:pPr>
          </w:p>
        </w:tc>
      </w:tr>
      <w:tr w14:paraId="6FB0D1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9F6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D3C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CDD2">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4F8C">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154.95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C36C">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75EC">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18E9">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5404">
            <w:pPr>
              <w:wordWrap w:val="0"/>
              <w:jc w:val="right"/>
              <w:textAlignment w:val="center"/>
              <w:rPr>
                <w:rFonts w:hint="eastAsia" w:ascii="Times New Roman" w:hAnsi="Times New Roman" w:eastAsia="宋体" w:cs="Times New Roman"/>
                <w:color w:val="000000"/>
                <w:sz w:val="20"/>
                <w:szCs w:val="20"/>
                <w:lang w:eastAsia="zh-CN"/>
              </w:rPr>
            </w:pPr>
          </w:p>
        </w:tc>
      </w:tr>
      <w:tr w14:paraId="747998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881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A145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4559F">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59D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154.95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65E7">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E627">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3061">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D599">
            <w:pPr>
              <w:wordWrap w:val="0"/>
              <w:jc w:val="right"/>
              <w:textAlignment w:val="center"/>
              <w:rPr>
                <w:rFonts w:hint="eastAsia" w:ascii="Times New Roman" w:hAnsi="Times New Roman" w:eastAsia="宋体" w:cs="Times New Roman"/>
                <w:color w:val="000000"/>
                <w:sz w:val="20"/>
                <w:szCs w:val="20"/>
                <w:lang w:eastAsia="zh-CN"/>
              </w:rPr>
            </w:pPr>
          </w:p>
        </w:tc>
      </w:tr>
      <w:tr w14:paraId="08C00E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EFF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6C2A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F90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406B">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879A">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46E0">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3009">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50B6">
            <w:pPr>
              <w:wordWrap w:val="0"/>
              <w:jc w:val="right"/>
              <w:textAlignment w:val="center"/>
              <w:rPr>
                <w:rFonts w:hint="eastAsia" w:ascii="Times New Roman" w:hAnsi="Times New Roman" w:eastAsia="宋体" w:cs="Times New Roman"/>
                <w:color w:val="000000"/>
                <w:sz w:val="20"/>
                <w:szCs w:val="20"/>
                <w:lang w:eastAsia="zh-CN"/>
              </w:rPr>
            </w:pPr>
          </w:p>
        </w:tc>
      </w:tr>
      <w:tr w14:paraId="31D49F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55A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BD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F507">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DA84">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C0D4">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b/>
                <w:color w:val="000000"/>
                <w:sz w:val="20"/>
                <w:szCs w:val="20"/>
              </w:rPr>
              <w:t>455.40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3425">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C884">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3C4B">
            <w:pPr>
              <w:wordWrap w:val="0"/>
              <w:jc w:val="right"/>
              <w:textAlignment w:val="center"/>
              <w:rPr>
                <w:rFonts w:hint="eastAsia" w:ascii="Times New Roman" w:hAnsi="Times New Roman" w:eastAsia="宋体" w:cs="Times New Roman"/>
                <w:color w:val="000000"/>
                <w:sz w:val="20"/>
                <w:szCs w:val="20"/>
                <w:lang w:eastAsia="zh-CN"/>
              </w:rPr>
            </w:pPr>
          </w:p>
        </w:tc>
      </w:tr>
      <w:tr w14:paraId="049707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03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DAF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9CF5">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455.40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082E">
            <w:pPr>
              <w:wordWrap w:val="0"/>
              <w:jc w:val="right"/>
              <w:textAlignment w:val="center"/>
              <w:rPr>
                <w:rFonts w:hint="eastAsia" w:ascii="Times New Roman" w:hAnsi="Times New Roman" w:eastAsia="宋体" w:cs="Times New Roman"/>
                <w:color w:val="000000"/>
                <w:sz w:val="20"/>
                <w:szCs w:val="20"/>
                <w:lang w:eastAsia="zh-CN"/>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2210">
            <w:pPr>
              <w:wordWrap w:val="0"/>
              <w:jc w:val="right"/>
              <w:textAlignment w:val="center"/>
              <w:rPr>
                <w:rFonts w:hint="eastAsia"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455.40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8D67">
            <w:pPr>
              <w:wordWrap w:val="0"/>
              <w:jc w:val="right"/>
              <w:textAlignment w:val="center"/>
              <w:rPr>
                <w:rFonts w:hint="eastAsia" w:ascii="Times New Roman" w:hAnsi="Times New Roman" w:eastAsia="宋体" w:cs="Times New Roman"/>
                <w:color w:val="000000"/>
                <w:sz w:val="20"/>
                <w:szCs w:val="20"/>
                <w:lang w:eastAsia="zh-CN"/>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48D0">
            <w:pPr>
              <w:wordWrap w:val="0"/>
              <w:jc w:val="right"/>
              <w:textAlignment w:val="center"/>
              <w:rPr>
                <w:rFonts w:hint="eastAsia" w:ascii="Times New Roman" w:hAnsi="Times New Roman" w:eastAsia="宋体" w:cs="Times New Roman"/>
                <w:color w:val="000000"/>
                <w:sz w:val="20"/>
                <w:szCs w:val="20"/>
                <w:lang w:eastAsia="zh-CN"/>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FFDF">
            <w:pPr>
              <w:wordWrap w:val="0"/>
              <w:jc w:val="right"/>
              <w:textAlignment w:val="center"/>
              <w:rPr>
                <w:rFonts w:hint="eastAsia" w:ascii="Times New Roman" w:hAnsi="Times New Roman" w:eastAsia="宋体" w:cs="Times New Roman"/>
                <w:color w:val="000000"/>
                <w:sz w:val="20"/>
                <w:szCs w:val="20"/>
                <w:lang w:eastAsia="zh-CN"/>
              </w:rPr>
            </w:pPr>
          </w:p>
        </w:tc>
      </w:tr>
    </w:tbl>
    <w:p w14:paraId="6952405F">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F62F7A5">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30C4026A">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558"/>
        <w:gridCol w:w="1311"/>
        <w:gridCol w:w="2740"/>
        <w:gridCol w:w="1460"/>
        <w:gridCol w:w="1460"/>
        <w:gridCol w:w="1460"/>
        <w:gridCol w:w="1663"/>
      </w:tblGrid>
      <w:tr w14:paraId="7C4D1AC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0E2EDA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5EF2BF4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664906">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重庆市城口县规划和自然资源局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308619D">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CD5F3B">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268F93">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F5BF00F">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94264A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EED7136">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A80BFC">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2CB5A4">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58F068">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11FD72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3C5F10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2BED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13C1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支出</w:t>
            </w:r>
          </w:p>
        </w:tc>
      </w:tr>
      <w:tr w14:paraId="6C5E159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57E2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B154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F715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AC5DF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F34764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F08F2">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B2CA2">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7004F">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33913">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C046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79BD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A3DC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46A7D7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C88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4794">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13,746.18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F3E0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5E12">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10.65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4350">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10.65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FFC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886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0B214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18F5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BF2B">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8,938.42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E63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5865F">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C65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954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6B4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56699A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143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238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7A76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902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611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0D0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510A">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6BA22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447EE">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52C24A">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7568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B6D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C86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540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7FE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C3AE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5D9A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B986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387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1CC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C6D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524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8E4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105082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4EC81">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0ED046">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F3A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7E8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6ED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3117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E1F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1A5ABB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399D5">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A7C9E">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DAB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B5F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741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6CC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9D35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0F6EC6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2D5AB">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A7A707">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A9A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A91E">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407.62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603E">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407.62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EAB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2C8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148A9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15B4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7649A">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CD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E449">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118.73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F7E6">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118.73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271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2B2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239684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F5DD9">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5E9BA">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F69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9738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805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6F4A">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9E6F">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04EE6B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807E0">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CEA1">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2A2F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9B79">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8,938.42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936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DBF1">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8,938.42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A149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29DBB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72E4B">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320F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DDE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CA17">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7,715.00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D474">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7,715.00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D6D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B42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CC30A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14A6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E9A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26D9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15B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895A">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18F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D9C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2589B4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45AFD">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39E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A584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28DE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CD12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635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FF2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02B1B9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6ED7F">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259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03F5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2C7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C8B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1C7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F83F">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7B764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022B6">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131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00B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CD1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D99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CB5F">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4B9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D4B57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508BA">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F17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A01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4F7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63A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0C1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9A9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F347B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E0B9A">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A21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55B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1BED">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4,883.84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B7DA">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4,883.84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983A">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741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0215F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FB7F5">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948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58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72CA">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154.95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1877">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154.95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A29F">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499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128932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79325">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0E0F">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111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165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080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7F79">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02A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01AFFA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86A93">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4504">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D70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4B0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D88A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939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A89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92A66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89592">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5FA5">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08C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6AA0">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455.40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D0DC">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455.40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C823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5C1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84C08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77685">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7AA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188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C45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080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F06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E42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5FFD26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5EB063">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C903">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8BC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B27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CBBA">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EBEF">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D33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6A60D2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14F1BC">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38B7">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1BA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A79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189A">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F61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586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35A0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F84159">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EBFC">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18E4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B42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85C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40D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D01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5D8F3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93A8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7B51">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22,684.60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AAC6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BA8E">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22,684.60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7FE1">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13,746.18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7607">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8,938.42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EC9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2DA8EC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E8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AAD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4A52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E3F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0639">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5AB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FB9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6C6A9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D3C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475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9D9331">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97AE5B">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1FE23F">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15520">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4F2018">
            <w:pPr>
              <w:spacing w:line="200" w:lineRule="exact"/>
              <w:rPr>
                <w:rFonts w:hint="default" w:ascii="Times New Roman" w:hAnsi="Times New Roman" w:cs="Times New Roman"/>
                <w:color w:val="000000"/>
                <w:sz w:val="18"/>
                <w:szCs w:val="18"/>
              </w:rPr>
            </w:pPr>
          </w:p>
        </w:tc>
      </w:tr>
      <w:tr w14:paraId="67CAD9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B8F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7D8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A124D">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1215">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012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4DC8">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757D">
            <w:pPr>
              <w:spacing w:line="200" w:lineRule="exact"/>
              <w:jc w:val="right"/>
              <w:rPr>
                <w:rFonts w:hint="default" w:ascii="Times New Roman" w:hAnsi="Times New Roman" w:cs="Times New Roman"/>
                <w:color w:val="000000"/>
                <w:sz w:val="18"/>
                <w:szCs w:val="18"/>
              </w:rPr>
            </w:pPr>
          </w:p>
        </w:tc>
      </w:tr>
      <w:tr w14:paraId="21EF9E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A2C1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685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582C4">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7D23">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93EA">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13B2">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9AD1">
            <w:pPr>
              <w:spacing w:line="200" w:lineRule="exact"/>
              <w:jc w:val="right"/>
              <w:rPr>
                <w:rFonts w:hint="default" w:ascii="Times New Roman" w:hAnsi="Times New Roman" w:cs="Times New Roman"/>
                <w:color w:val="000000"/>
                <w:sz w:val="18"/>
                <w:szCs w:val="18"/>
              </w:rPr>
            </w:pPr>
          </w:p>
        </w:tc>
      </w:tr>
      <w:tr w14:paraId="15513C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C996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5F27">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22,684.60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014E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4F67">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22,684.60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2516">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13,746.18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35390">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8,938.42</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91B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bl>
    <w:p w14:paraId="58100CA2">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549"/>
        <w:gridCol w:w="3230"/>
        <w:gridCol w:w="2805"/>
        <w:gridCol w:w="2805"/>
        <w:gridCol w:w="2818"/>
      </w:tblGrid>
      <w:tr w14:paraId="1403759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9365BB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24804A0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8F0C48E">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重庆市城口县规划和自然资源局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EB94DCA">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C07012">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148CC21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EE7AE31">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5A5D916">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E4B5819">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1DE756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40C5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F8E33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58365FC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98B0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57898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933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B5F0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FCFB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CA6AAF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B6A8C">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8B03B">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C146D">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B3848E">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35E79">
            <w:pPr>
              <w:jc w:val="center"/>
              <w:rPr>
                <w:rFonts w:hint="default" w:ascii="Times New Roman" w:hAnsi="Times New Roman" w:cs="Times New Roman"/>
                <w:b/>
                <w:color w:val="000000"/>
                <w:sz w:val="20"/>
                <w:szCs w:val="20"/>
              </w:rPr>
            </w:pPr>
          </w:p>
        </w:tc>
      </w:tr>
      <w:tr w14:paraId="0F51F41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61EC1">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46B25">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58EF5">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98F69">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6863D">
            <w:pPr>
              <w:jc w:val="center"/>
              <w:rPr>
                <w:rFonts w:hint="default" w:ascii="Times New Roman" w:hAnsi="Times New Roman" w:cs="Times New Roman"/>
                <w:b/>
                <w:color w:val="000000"/>
                <w:sz w:val="20"/>
                <w:szCs w:val="20"/>
              </w:rPr>
            </w:pPr>
          </w:p>
        </w:tc>
      </w:tr>
      <w:tr w14:paraId="6C3453E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A0C9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C1E25">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13,746.18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8257">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5,078.06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66C60">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8,668.12</w:t>
            </w:r>
          </w:p>
        </w:tc>
      </w:tr>
      <w:tr w14:paraId="7DC819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D8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2CA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855C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10.65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A10DA">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10.65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69EFE">
            <w:pPr>
              <w:wordWrap w:val="0"/>
              <w:jc w:val="right"/>
              <w:textAlignment w:val="center"/>
              <w:rPr>
                <w:rFonts w:hint="eastAsia" w:ascii="Times New Roman" w:hAnsi="Times New Roman" w:eastAsia="宋体" w:cs="Times New Roman"/>
                <w:b/>
                <w:color w:val="000000"/>
                <w:sz w:val="20"/>
                <w:szCs w:val="20"/>
                <w:lang w:eastAsia="zh-CN"/>
              </w:rPr>
            </w:pPr>
          </w:p>
        </w:tc>
      </w:tr>
      <w:tr w14:paraId="1EFA8F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85E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13FA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D12C">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10.65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A573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10.65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994DD">
            <w:pPr>
              <w:wordWrap w:val="0"/>
              <w:jc w:val="right"/>
              <w:textAlignment w:val="center"/>
              <w:rPr>
                <w:rFonts w:hint="eastAsia" w:ascii="Times New Roman" w:hAnsi="Times New Roman" w:eastAsia="宋体" w:cs="Times New Roman"/>
                <w:b/>
                <w:color w:val="000000"/>
                <w:sz w:val="20"/>
                <w:szCs w:val="20"/>
                <w:lang w:eastAsia="zh-CN"/>
              </w:rPr>
            </w:pPr>
          </w:p>
        </w:tc>
      </w:tr>
      <w:tr w14:paraId="016989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BB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6B2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09011">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10.65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6E7F">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10.65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9773">
            <w:pPr>
              <w:wordWrap w:val="0"/>
              <w:jc w:val="right"/>
              <w:textAlignment w:val="center"/>
              <w:rPr>
                <w:rFonts w:hint="eastAsia" w:ascii="Times New Roman" w:hAnsi="Times New Roman" w:eastAsia="宋体" w:cs="Times New Roman"/>
                <w:b/>
                <w:color w:val="000000"/>
                <w:sz w:val="20"/>
                <w:szCs w:val="20"/>
                <w:lang w:eastAsia="zh-CN"/>
              </w:rPr>
            </w:pPr>
          </w:p>
        </w:tc>
      </w:tr>
      <w:tr w14:paraId="677D8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AE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08CA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06D2">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407.62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528F">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407.62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4607">
            <w:pPr>
              <w:wordWrap w:val="0"/>
              <w:jc w:val="right"/>
              <w:textAlignment w:val="center"/>
              <w:rPr>
                <w:rFonts w:hint="eastAsia" w:ascii="Times New Roman" w:hAnsi="Times New Roman" w:eastAsia="宋体" w:cs="Times New Roman"/>
                <w:b/>
                <w:color w:val="000000"/>
                <w:sz w:val="20"/>
                <w:szCs w:val="20"/>
                <w:lang w:eastAsia="zh-CN"/>
              </w:rPr>
            </w:pPr>
          </w:p>
        </w:tc>
      </w:tr>
      <w:tr w14:paraId="15A950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FD3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E87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C5087">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407.62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E4D9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407.62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3038A">
            <w:pPr>
              <w:wordWrap w:val="0"/>
              <w:jc w:val="right"/>
              <w:textAlignment w:val="center"/>
              <w:rPr>
                <w:rFonts w:hint="eastAsia" w:ascii="Times New Roman" w:hAnsi="Times New Roman" w:eastAsia="宋体" w:cs="Times New Roman"/>
                <w:b/>
                <w:color w:val="000000"/>
                <w:sz w:val="20"/>
                <w:szCs w:val="20"/>
                <w:lang w:eastAsia="zh-CN"/>
              </w:rPr>
            </w:pPr>
          </w:p>
        </w:tc>
      </w:tr>
      <w:tr w14:paraId="5A76B6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170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42BE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1777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194.46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A532">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194.46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A634">
            <w:pPr>
              <w:wordWrap w:val="0"/>
              <w:jc w:val="right"/>
              <w:textAlignment w:val="center"/>
              <w:rPr>
                <w:rFonts w:hint="eastAsia" w:ascii="Times New Roman" w:hAnsi="Times New Roman" w:eastAsia="宋体" w:cs="Times New Roman"/>
                <w:b/>
                <w:color w:val="000000"/>
                <w:sz w:val="20"/>
                <w:szCs w:val="20"/>
                <w:lang w:eastAsia="zh-CN"/>
              </w:rPr>
            </w:pPr>
          </w:p>
        </w:tc>
      </w:tr>
      <w:tr w14:paraId="67F189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FA2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11D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75B4">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94.13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F28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94.13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FF434">
            <w:pPr>
              <w:wordWrap w:val="0"/>
              <w:jc w:val="right"/>
              <w:textAlignment w:val="center"/>
              <w:rPr>
                <w:rFonts w:hint="eastAsia" w:ascii="Times New Roman" w:hAnsi="Times New Roman" w:eastAsia="宋体" w:cs="Times New Roman"/>
                <w:b/>
                <w:color w:val="000000"/>
                <w:sz w:val="20"/>
                <w:szCs w:val="20"/>
                <w:lang w:eastAsia="zh-CN"/>
              </w:rPr>
            </w:pPr>
          </w:p>
        </w:tc>
      </w:tr>
      <w:tr w14:paraId="1B98A7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3C7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B15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034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119.03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AC2D">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119.03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D5F3">
            <w:pPr>
              <w:wordWrap w:val="0"/>
              <w:jc w:val="right"/>
              <w:textAlignment w:val="center"/>
              <w:rPr>
                <w:rFonts w:hint="eastAsia" w:ascii="Times New Roman" w:hAnsi="Times New Roman" w:eastAsia="宋体" w:cs="Times New Roman"/>
                <w:b/>
                <w:color w:val="000000"/>
                <w:sz w:val="20"/>
                <w:szCs w:val="20"/>
                <w:lang w:eastAsia="zh-CN"/>
              </w:rPr>
            </w:pPr>
          </w:p>
        </w:tc>
      </w:tr>
      <w:tr w14:paraId="2EA170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E7F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BCDC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8B15D">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118.73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FC864">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118.73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B5A3">
            <w:pPr>
              <w:wordWrap w:val="0"/>
              <w:jc w:val="right"/>
              <w:textAlignment w:val="center"/>
              <w:rPr>
                <w:rFonts w:hint="eastAsia" w:ascii="Times New Roman" w:hAnsi="Times New Roman" w:eastAsia="宋体" w:cs="Times New Roman"/>
                <w:b/>
                <w:color w:val="000000"/>
                <w:sz w:val="20"/>
                <w:szCs w:val="20"/>
                <w:lang w:eastAsia="zh-CN"/>
              </w:rPr>
            </w:pPr>
          </w:p>
        </w:tc>
      </w:tr>
      <w:tr w14:paraId="2A6F23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DED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50F1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3C21">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118.73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1C3A">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118.73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BC1BB">
            <w:pPr>
              <w:wordWrap w:val="0"/>
              <w:jc w:val="right"/>
              <w:textAlignment w:val="center"/>
              <w:rPr>
                <w:rFonts w:hint="eastAsia" w:ascii="Times New Roman" w:hAnsi="Times New Roman" w:eastAsia="宋体" w:cs="Times New Roman"/>
                <w:b/>
                <w:color w:val="000000"/>
                <w:sz w:val="20"/>
                <w:szCs w:val="20"/>
                <w:lang w:eastAsia="zh-CN"/>
              </w:rPr>
            </w:pPr>
          </w:p>
        </w:tc>
      </w:tr>
      <w:tr w14:paraId="456CCA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47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BA2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C414">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55.10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513E4">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55.10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3C4A2">
            <w:pPr>
              <w:wordWrap w:val="0"/>
              <w:jc w:val="right"/>
              <w:textAlignment w:val="center"/>
              <w:rPr>
                <w:rFonts w:hint="eastAsia" w:ascii="Times New Roman" w:hAnsi="Times New Roman" w:eastAsia="宋体" w:cs="Times New Roman"/>
                <w:b/>
                <w:color w:val="000000"/>
                <w:sz w:val="20"/>
                <w:szCs w:val="20"/>
                <w:lang w:eastAsia="zh-CN"/>
              </w:rPr>
            </w:pPr>
          </w:p>
        </w:tc>
      </w:tr>
      <w:tr w14:paraId="5799F0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14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4F8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A6A50">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63.62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0B043">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63.62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9910C">
            <w:pPr>
              <w:wordWrap w:val="0"/>
              <w:jc w:val="right"/>
              <w:textAlignment w:val="center"/>
              <w:rPr>
                <w:rFonts w:hint="eastAsia" w:ascii="Times New Roman" w:hAnsi="Times New Roman" w:eastAsia="宋体" w:cs="Times New Roman"/>
                <w:b/>
                <w:color w:val="000000"/>
                <w:sz w:val="20"/>
                <w:szCs w:val="20"/>
                <w:lang w:eastAsia="zh-CN"/>
              </w:rPr>
            </w:pPr>
          </w:p>
        </w:tc>
      </w:tr>
      <w:tr w14:paraId="38E314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8CE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5C50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883BD">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7,715.00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AEA8">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38AB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7,715.00</w:t>
            </w:r>
          </w:p>
        </w:tc>
      </w:tr>
      <w:tr w14:paraId="25A24F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3F7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4203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A3DF3">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7,715.00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BD438">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90F5">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7,715.00</w:t>
            </w:r>
          </w:p>
        </w:tc>
      </w:tr>
      <w:tr w14:paraId="4CD2A5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934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D4AA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30D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7,715.00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D3EC1">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578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7,715.00</w:t>
            </w:r>
          </w:p>
        </w:tc>
      </w:tr>
      <w:tr w14:paraId="37576A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D3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1169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76DF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4,883.84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0743">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4,386.12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0221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497.72</w:t>
            </w:r>
          </w:p>
        </w:tc>
      </w:tr>
      <w:tr w14:paraId="4AD579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84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45F4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B6140">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4,883.84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5C65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4,386.12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55CA5">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497.72</w:t>
            </w:r>
          </w:p>
        </w:tc>
      </w:tr>
      <w:tr w14:paraId="05D4F2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39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441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6C24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3,348.88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CDA0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3,348.88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69F5">
            <w:pPr>
              <w:wordWrap w:val="0"/>
              <w:jc w:val="right"/>
              <w:textAlignment w:val="center"/>
              <w:rPr>
                <w:rFonts w:hint="eastAsia" w:ascii="Times New Roman" w:hAnsi="Times New Roman" w:eastAsia="宋体" w:cs="Times New Roman"/>
                <w:b/>
                <w:color w:val="000000"/>
                <w:sz w:val="20"/>
                <w:szCs w:val="20"/>
                <w:lang w:eastAsia="zh-CN"/>
              </w:rPr>
            </w:pPr>
          </w:p>
        </w:tc>
      </w:tr>
      <w:tr w14:paraId="70A9F5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9EB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1CF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CC4F">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CE6C">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AD29">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20.00</w:t>
            </w:r>
          </w:p>
        </w:tc>
      </w:tr>
      <w:tr w14:paraId="183C2C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855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796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D11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377.72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AA474">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E93EA">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377.72</w:t>
            </w:r>
          </w:p>
        </w:tc>
      </w:tr>
      <w:tr w14:paraId="08C573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74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D614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760D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1,037.25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BA22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1,037.25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90CBB">
            <w:pPr>
              <w:wordWrap w:val="0"/>
              <w:jc w:val="right"/>
              <w:textAlignment w:val="center"/>
              <w:rPr>
                <w:rFonts w:hint="eastAsia" w:ascii="Times New Roman" w:hAnsi="Times New Roman" w:eastAsia="宋体" w:cs="Times New Roman"/>
                <w:b/>
                <w:color w:val="000000"/>
                <w:sz w:val="20"/>
                <w:szCs w:val="20"/>
                <w:lang w:eastAsia="zh-CN"/>
              </w:rPr>
            </w:pPr>
          </w:p>
        </w:tc>
      </w:tr>
      <w:tr w14:paraId="181EA6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986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C24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6ECC">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DD06D">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E78B3">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100.00</w:t>
            </w:r>
          </w:p>
        </w:tc>
      </w:tr>
      <w:tr w14:paraId="4AE797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DC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897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C18F3">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154.95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C34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154.95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4153">
            <w:pPr>
              <w:wordWrap w:val="0"/>
              <w:jc w:val="right"/>
              <w:textAlignment w:val="center"/>
              <w:rPr>
                <w:rFonts w:hint="eastAsia" w:ascii="Times New Roman" w:hAnsi="Times New Roman" w:eastAsia="宋体" w:cs="Times New Roman"/>
                <w:b/>
                <w:color w:val="000000"/>
                <w:sz w:val="20"/>
                <w:szCs w:val="20"/>
                <w:lang w:eastAsia="zh-CN"/>
              </w:rPr>
            </w:pPr>
          </w:p>
        </w:tc>
      </w:tr>
      <w:tr w14:paraId="64F6EE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8EED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1A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A122">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154.95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5B0BF">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154.95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B685">
            <w:pPr>
              <w:wordWrap w:val="0"/>
              <w:jc w:val="right"/>
              <w:textAlignment w:val="center"/>
              <w:rPr>
                <w:rFonts w:hint="eastAsia" w:ascii="Times New Roman" w:hAnsi="Times New Roman" w:eastAsia="宋体" w:cs="Times New Roman"/>
                <w:b/>
                <w:color w:val="000000"/>
                <w:sz w:val="20"/>
                <w:szCs w:val="20"/>
                <w:lang w:eastAsia="zh-CN"/>
              </w:rPr>
            </w:pPr>
          </w:p>
        </w:tc>
      </w:tr>
      <w:tr w14:paraId="4F1194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74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7D7E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FF05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154.95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9F16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154.95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BF06">
            <w:pPr>
              <w:wordWrap w:val="0"/>
              <w:jc w:val="right"/>
              <w:textAlignment w:val="center"/>
              <w:rPr>
                <w:rFonts w:hint="eastAsia" w:ascii="Times New Roman" w:hAnsi="Times New Roman" w:eastAsia="宋体" w:cs="Times New Roman"/>
                <w:b/>
                <w:color w:val="000000"/>
                <w:sz w:val="20"/>
                <w:szCs w:val="20"/>
                <w:lang w:eastAsia="zh-CN"/>
              </w:rPr>
            </w:pPr>
          </w:p>
        </w:tc>
      </w:tr>
      <w:tr w14:paraId="76A43C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D5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DDD2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AEBD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455.40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403B3">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9415">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455.40</w:t>
            </w:r>
          </w:p>
        </w:tc>
      </w:tr>
      <w:tr w14:paraId="1A4239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97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9A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60F3B">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455.40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92F98">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32EC3">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455.40</w:t>
            </w:r>
          </w:p>
        </w:tc>
      </w:tr>
      <w:tr w14:paraId="7EAE8F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5EE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F76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A7D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455.40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212D7">
            <w:pPr>
              <w:wordWrap w:val="0"/>
              <w:jc w:val="right"/>
              <w:textAlignment w:val="center"/>
              <w:rPr>
                <w:rFonts w:hint="eastAsia" w:ascii="Times New Roman" w:hAnsi="Times New Roman" w:eastAsia="宋体" w:cs="Times New Roman"/>
                <w:b/>
                <w:color w:val="000000"/>
                <w:sz w:val="20"/>
                <w:szCs w:val="20"/>
                <w:lang w:eastAsia="zh-CN"/>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8D19">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455.40</w:t>
            </w:r>
          </w:p>
        </w:tc>
      </w:tr>
    </w:tbl>
    <w:p w14:paraId="7A4C9B31">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5831204">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520"/>
        <w:gridCol w:w="2353"/>
        <w:gridCol w:w="1182"/>
        <w:gridCol w:w="718"/>
        <w:gridCol w:w="1651"/>
        <w:gridCol w:w="1422"/>
        <w:gridCol w:w="694"/>
        <w:gridCol w:w="3029"/>
        <w:gridCol w:w="1622"/>
      </w:tblGrid>
      <w:tr w14:paraId="28929D0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184F329">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752F64A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53BEE73">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重庆市城口县规划和自然资源局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6F9B0C2B">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E4BA227">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993AE1E">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6D3C91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1316FDA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48B4FA0">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CF086D5">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2FD3EAD">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D365689">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C7D220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3E2D59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2190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966112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386E9E8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C1D0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E1337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A694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CEA5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6488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4897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6900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2D0C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74BA0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3422320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8CF5B">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D9D51C">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58CFA">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0562D">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F1FAC">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E1569">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C01BF">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54A062">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F2528">
            <w:pPr>
              <w:spacing w:line="200" w:lineRule="exact"/>
              <w:jc w:val="center"/>
              <w:rPr>
                <w:rFonts w:hint="default" w:ascii="Times New Roman" w:hAnsi="Times New Roman" w:cs="Times New Roman"/>
                <w:b/>
                <w:color w:val="000000"/>
                <w:sz w:val="18"/>
                <w:szCs w:val="18"/>
              </w:rPr>
            </w:pPr>
          </w:p>
        </w:tc>
      </w:tr>
      <w:tr w14:paraId="668ED0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747C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9C0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F048">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2,429.74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B4A3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367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A694">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2,526.56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3B1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359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B7E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E7369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F58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CD7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2BD6">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556.70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C392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EACD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56A6">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2,396.67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F3B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6D6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房屋建筑物</w:t>
            </w:r>
            <w:r>
              <w:rPr>
                <w:rFonts w:hint="eastAsia" w:ascii="Times New Roman" w:hAnsi="Times New Roman" w:cs="Times New Roman"/>
                <w:color w:val="000000"/>
                <w:sz w:val="18"/>
                <w:szCs w:val="18"/>
                <w:lang w:eastAsia="zh-CN"/>
              </w:rPr>
              <w:t>构建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E1ED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0ED33E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1255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823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1B86">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410.40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926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15A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F034">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B09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DB1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DBB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2472F9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D46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539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38CF">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317.28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B64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E44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36C0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990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5A7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D11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9C436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A88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FF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48A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460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339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410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8AD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E79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C4A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4F562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79A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095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9A86">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580.00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706A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828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4E5A1">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1.39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C58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DB5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5A5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1E6B8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1DD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650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4AFC">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194.46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52F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75A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39223">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AE4A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21D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D671F">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635C2F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E52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FFD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E338">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94.13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FB25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66A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B061">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3.84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955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222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4F99">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24AABA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F64F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DF3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DDDC">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103.24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E222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A3A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E7D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3C80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9506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CCD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218EFE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25B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F86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2BA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6CB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6D7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F51C">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8.44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585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C8E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C91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1E8D57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66E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8474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B7CB">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18.58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A19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F89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D9B43">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22.92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F3C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567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582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08CCD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257F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8C5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F301">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154.95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49B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AF99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10F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8A6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51B2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C1A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BFF0B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6D4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F87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4A4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DD2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A56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B56C">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B8F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81D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FEA9">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C4D3D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14B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283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01C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69BE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540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CFE9">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1.52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A09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AB70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C42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C70A1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0CD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075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C612">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121.76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6ED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5840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DBD6">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1.80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368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E65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B2C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68584C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4A77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9CC4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103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99A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846D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54EE">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2.05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747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8CE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A71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196BF8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301B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7C1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8A38">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12.11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AA03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DCE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AB21">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4.92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6A3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6FA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0A0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22A1F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7045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AC5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06A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5E31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FB6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CD5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A4FA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70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B746">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E7DFC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FCAC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7B9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7DA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1CC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CFC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8AD4">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E66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C37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043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08A3B0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AA2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D345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7F6A">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108.73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062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B81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373E">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428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7668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338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647D72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A68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C2C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A4F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DB0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E55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E410">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0.76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47C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15D8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B2E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977DC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32C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0E5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3B62">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0.92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110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9042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EA8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0FB1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E63B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327D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16CFAA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BA5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327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D39B">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A8EE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F41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7537">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24.91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FCEB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9D1B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AB8C7">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01ABAA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7E86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E1F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2F8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6FB5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A1C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FD8E">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10.65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DC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F26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5098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A366A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1FD6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0EAB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7919">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17A2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241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BE67">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12.00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1472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310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4BC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35C1F8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0ADC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EEEA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655A">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7526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CFC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05F4">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26.70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DC7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316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5AF5">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5CA2BA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C0F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01F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2B4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34F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1C0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B761">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095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2DA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经常性</w:t>
            </w:r>
            <w:r>
              <w:rPr>
                <w:rFonts w:hint="eastAsia" w:ascii="Times New Roman" w:hAnsi="Times New Roman" w:cs="Times New Roman"/>
                <w:color w:val="000000"/>
                <w:sz w:val="18"/>
                <w:szCs w:val="18"/>
                <w:lang w:eastAsia="zh-CN"/>
              </w:rPr>
              <w:t>赠予</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F182">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A4716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EAC0A">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6AAD7">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D6FA6">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1D42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4F1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83F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25C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909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w:t>
            </w:r>
            <w:r>
              <w:rPr>
                <w:rFonts w:hint="eastAsia" w:ascii="Times New Roman" w:hAnsi="Times New Roman" w:cs="Times New Roman"/>
                <w:color w:val="000000"/>
                <w:sz w:val="18"/>
                <w:szCs w:val="18"/>
                <w:lang w:eastAsia="zh-CN"/>
              </w:rPr>
              <w:t>赠予</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138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7AD265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8D13A">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18EA7">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B7869">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874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700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7C00">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79BB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701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AAF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r>
      <w:tr w14:paraId="4E50DA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AD24">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5152D">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8722A">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9AA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D97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AA63">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E6810">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DB9DF">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B36C">
            <w:pPr>
              <w:spacing w:line="200" w:lineRule="exact"/>
              <w:jc w:val="right"/>
              <w:rPr>
                <w:rFonts w:hint="default" w:ascii="Times New Roman" w:hAnsi="Times New Roman" w:cs="Times New Roman"/>
                <w:color w:val="000000"/>
                <w:sz w:val="18"/>
                <w:szCs w:val="18"/>
              </w:rPr>
            </w:pPr>
          </w:p>
        </w:tc>
      </w:tr>
      <w:tr w14:paraId="53BD8E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3FC47">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E20CC">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FD7FEE">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75C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815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8A1BC">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041FE">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75D63">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B99B">
            <w:pPr>
              <w:spacing w:line="200" w:lineRule="exact"/>
              <w:jc w:val="right"/>
              <w:rPr>
                <w:rFonts w:hint="default" w:ascii="Times New Roman" w:hAnsi="Times New Roman" w:cs="Times New Roman"/>
                <w:color w:val="000000"/>
                <w:sz w:val="18"/>
                <w:szCs w:val="18"/>
              </w:rPr>
            </w:pPr>
          </w:p>
        </w:tc>
      </w:tr>
      <w:tr w14:paraId="279CA1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AEC4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4F2CC">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1046F">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368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F853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EE28">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892E1">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ADE92">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B773">
            <w:pPr>
              <w:spacing w:line="200" w:lineRule="exact"/>
              <w:jc w:val="right"/>
              <w:rPr>
                <w:rFonts w:hint="default" w:ascii="Times New Roman" w:hAnsi="Times New Roman" w:cs="Times New Roman"/>
                <w:color w:val="000000"/>
                <w:sz w:val="18"/>
                <w:szCs w:val="18"/>
              </w:rPr>
            </w:pPr>
          </w:p>
        </w:tc>
      </w:tr>
      <w:tr w14:paraId="636FF4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3E259">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2A80D">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E4BE91">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A9E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4E01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F45D">
            <w:pPr>
              <w:wordWrap w:val="0"/>
              <w:spacing w:line="200" w:lineRule="exact"/>
              <w:jc w:val="right"/>
              <w:textAlignment w:val="center"/>
              <w:rPr>
                <w:rFonts w:hint="eastAsia" w:ascii="Times New Roman" w:hAnsi="Times New Roman" w:eastAsia="宋体" w:cs="Times New Roman"/>
                <w:color w:val="000000"/>
                <w:sz w:val="18"/>
                <w:szCs w:val="18"/>
                <w:lang w:eastAsia="zh-CN"/>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28817">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BD029">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19C3">
            <w:pPr>
              <w:spacing w:line="200" w:lineRule="exact"/>
              <w:jc w:val="right"/>
              <w:rPr>
                <w:rFonts w:hint="default" w:ascii="Times New Roman" w:hAnsi="Times New Roman" w:cs="Times New Roman"/>
                <w:color w:val="000000"/>
                <w:sz w:val="18"/>
                <w:szCs w:val="18"/>
              </w:rPr>
            </w:pPr>
          </w:p>
        </w:tc>
      </w:tr>
      <w:tr w14:paraId="5D5D8F1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67D3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4DFCD4">
            <w:pPr>
              <w:wordWrap w:val="0"/>
              <w:spacing w:line="200" w:lineRule="exact"/>
              <w:jc w:val="right"/>
              <w:textAlignment w:val="bottom"/>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2,551.50</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6C142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C6892">
            <w:pPr>
              <w:wordWrap w:val="0"/>
              <w:spacing w:line="200" w:lineRule="exact"/>
              <w:jc w:val="right"/>
              <w:textAlignment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2,526.56</w:t>
            </w:r>
          </w:p>
        </w:tc>
      </w:tr>
    </w:tbl>
    <w:p w14:paraId="1C0FA964">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453"/>
        <w:gridCol w:w="3630"/>
        <w:gridCol w:w="1326"/>
        <w:gridCol w:w="1326"/>
        <w:gridCol w:w="1326"/>
        <w:gridCol w:w="1326"/>
        <w:gridCol w:w="1382"/>
        <w:gridCol w:w="1438"/>
      </w:tblGrid>
      <w:tr w14:paraId="08A2D87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2025F6C">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EDC258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9851DF1">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重庆市城口县规划和自然资源局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BB5737F">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5EC5A2">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BA162B">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E075A6">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6FC2F6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183FF20D">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CCEF6DE">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95BB78">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A99D7C">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65B4E8">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FD0AA31">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004EB25">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0CC89C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DBB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02676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643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EB613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4912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64245DD9">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71AD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0415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F7770D">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46F4A">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03F11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40F8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75B4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91217">
            <w:pPr>
              <w:jc w:val="center"/>
              <w:rPr>
                <w:rFonts w:hint="default" w:ascii="Times New Roman" w:hAnsi="Times New Roman" w:cs="Times New Roman"/>
                <w:b/>
                <w:color w:val="000000"/>
                <w:sz w:val="20"/>
                <w:szCs w:val="20"/>
              </w:rPr>
            </w:pPr>
          </w:p>
        </w:tc>
      </w:tr>
      <w:tr w14:paraId="34A5854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F72D3">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B92E3">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8B16B4">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C5F28">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608BA">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5C8B97">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4A7E7D">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EB249">
            <w:pPr>
              <w:jc w:val="center"/>
              <w:rPr>
                <w:rFonts w:hint="default" w:ascii="Times New Roman" w:hAnsi="Times New Roman" w:cs="Times New Roman"/>
                <w:b/>
                <w:color w:val="000000"/>
                <w:sz w:val="20"/>
                <w:szCs w:val="20"/>
              </w:rPr>
            </w:pPr>
          </w:p>
        </w:tc>
      </w:tr>
      <w:tr w14:paraId="16891D1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DBDB8">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EC392">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4E0206">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2AC0C">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21E11">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CE6639">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9367B9">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D5014">
            <w:pPr>
              <w:jc w:val="center"/>
              <w:rPr>
                <w:rFonts w:hint="default" w:ascii="Times New Roman" w:hAnsi="Times New Roman" w:cs="Times New Roman"/>
                <w:b/>
                <w:color w:val="000000"/>
                <w:sz w:val="20"/>
                <w:szCs w:val="20"/>
              </w:rPr>
            </w:pPr>
          </w:p>
        </w:tc>
      </w:tr>
      <w:tr w14:paraId="42A418D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6EB4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3F596">
            <w:pPr>
              <w:wordWrap w:val="0"/>
              <w:jc w:val="right"/>
              <w:textAlignment w:val="center"/>
              <w:rPr>
                <w:rFonts w:hint="eastAsia" w:ascii="Times New Roman" w:hAnsi="Times New Roman" w:eastAsia="宋体" w:cs="Times New Roman"/>
                <w:b/>
                <w:color w:val="000000"/>
                <w:sz w:val="20"/>
                <w:szCs w:val="20"/>
                <w:lang w:eastAsia="zh-CN"/>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CDB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8,938.42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37A8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8,938.42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0A2E3">
            <w:pPr>
              <w:wordWrap w:val="0"/>
              <w:jc w:val="right"/>
              <w:textAlignment w:val="center"/>
              <w:rPr>
                <w:rFonts w:hint="eastAsia" w:ascii="Times New Roman" w:hAnsi="Times New Roman" w:eastAsia="宋体" w:cs="Times New Roman"/>
                <w:b/>
                <w:color w:val="000000"/>
                <w:sz w:val="20"/>
                <w:szCs w:val="20"/>
                <w:lang w:eastAsia="zh-CN"/>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9DAE">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bCs/>
                <w:color w:val="000000"/>
                <w:sz w:val="20"/>
                <w:szCs w:val="20"/>
              </w:rPr>
              <w:t>8,938.42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26004">
            <w:pPr>
              <w:wordWrap w:val="0"/>
              <w:jc w:val="right"/>
              <w:textAlignment w:val="center"/>
              <w:rPr>
                <w:rFonts w:hint="eastAsia" w:ascii="Times New Roman" w:hAnsi="Times New Roman" w:eastAsia="宋体" w:cs="Times New Roman"/>
                <w:b/>
                <w:color w:val="000000"/>
                <w:sz w:val="20"/>
                <w:szCs w:val="20"/>
                <w:lang w:eastAsia="zh-CN"/>
              </w:rPr>
            </w:pPr>
          </w:p>
        </w:tc>
      </w:tr>
      <w:tr w14:paraId="728B93A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6A3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0CDF2">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337F">
            <w:pPr>
              <w:wordWrap w:val="0"/>
              <w:jc w:val="right"/>
              <w:textAlignment w:val="center"/>
              <w:rPr>
                <w:rFonts w:hint="eastAsia" w:ascii="Times New Roman" w:hAnsi="Times New Roman" w:eastAsia="宋体" w:cs="Times New Roman"/>
                <w:b/>
                <w:color w:val="000000"/>
                <w:sz w:val="20"/>
                <w:szCs w:val="20"/>
                <w:lang w:eastAsia="zh-CN"/>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8D5A5">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8,938.42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91C7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8,938.42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6F114">
            <w:pPr>
              <w:wordWrap w:val="0"/>
              <w:jc w:val="right"/>
              <w:textAlignment w:val="center"/>
              <w:rPr>
                <w:rFonts w:hint="eastAsia" w:ascii="Times New Roman" w:hAnsi="Times New Roman" w:eastAsia="宋体" w:cs="Times New Roman"/>
                <w:b/>
                <w:color w:val="000000"/>
                <w:sz w:val="20"/>
                <w:szCs w:val="20"/>
                <w:lang w:eastAsia="zh-CN"/>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E5FD0">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8,938.42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8DDA">
            <w:pPr>
              <w:wordWrap w:val="0"/>
              <w:jc w:val="right"/>
              <w:textAlignment w:val="center"/>
              <w:rPr>
                <w:rFonts w:hint="eastAsia" w:ascii="Times New Roman" w:hAnsi="Times New Roman" w:eastAsia="宋体" w:cs="Times New Roman"/>
                <w:b/>
                <w:color w:val="000000"/>
                <w:sz w:val="20"/>
                <w:szCs w:val="20"/>
                <w:lang w:eastAsia="zh-CN"/>
              </w:rPr>
            </w:pPr>
          </w:p>
        </w:tc>
      </w:tr>
      <w:tr w14:paraId="0DBE876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20A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4F14C">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2AEB4">
            <w:pPr>
              <w:wordWrap w:val="0"/>
              <w:jc w:val="right"/>
              <w:textAlignment w:val="center"/>
              <w:rPr>
                <w:rFonts w:hint="eastAsia" w:ascii="Times New Roman" w:hAnsi="Times New Roman" w:eastAsia="宋体" w:cs="Times New Roman"/>
                <w:b/>
                <w:color w:val="000000"/>
                <w:sz w:val="20"/>
                <w:szCs w:val="20"/>
                <w:lang w:eastAsia="zh-CN"/>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7DF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8,938.42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27BD">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8,938.42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C0EC">
            <w:pPr>
              <w:wordWrap w:val="0"/>
              <w:jc w:val="right"/>
              <w:textAlignment w:val="center"/>
              <w:rPr>
                <w:rFonts w:hint="eastAsia" w:ascii="Times New Roman" w:hAnsi="Times New Roman" w:eastAsia="宋体" w:cs="Times New Roman"/>
                <w:b/>
                <w:color w:val="000000"/>
                <w:sz w:val="20"/>
                <w:szCs w:val="20"/>
                <w:lang w:eastAsia="zh-CN"/>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9EA69">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b/>
                <w:color w:val="000000"/>
                <w:sz w:val="20"/>
                <w:szCs w:val="20"/>
              </w:rPr>
              <w:t>8,938.42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0A72">
            <w:pPr>
              <w:wordWrap w:val="0"/>
              <w:jc w:val="right"/>
              <w:textAlignment w:val="center"/>
              <w:rPr>
                <w:rFonts w:hint="eastAsia" w:ascii="Times New Roman" w:hAnsi="Times New Roman" w:eastAsia="宋体" w:cs="Times New Roman"/>
                <w:b/>
                <w:color w:val="000000"/>
                <w:sz w:val="20"/>
                <w:szCs w:val="20"/>
                <w:lang w:eastAsia="zh-CN"/>
              </w:rPr>
            </w:pPr>
          </w:p>
        </w:tc>
      </w:tr>
      <w:tr w14:paraId="119EB8F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A48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00D3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8C2A">
            <w:pPr>
              <w:wordWrap w:val="0"/>
              <w:jc w:val="right"/>
              <w:textAlignment w:val="center"/>
              <w:rPr>
                <w:rFonts w:hint="eastAsia" w:ascii="Times New Roman" w:hAnsi="Times New Roman" w:eastAsia="宋体" w:cs="Times New Roman"/>
                <w:b/>
                <w:color w:val="000000"/>
                <w:sz w:val="20"/>
                <w:szCs w:val="20"/>
                <w:lang w:eastAsia="zh-CN"/>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4169D">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1,416.74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1E802">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1,416.74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D6BF0">
            <w:pPr>
              <w:wordWrap w:val="0"/>
              <w:jc w:val="right"/>
              <w:textAlignment w:val="center"/>
              <w:rPr>
                <w:rFonts w:hint="eastAsia" w:ascii="Times New Roman" w:hAnsi="Times New Roman" w:eastAsia="宋体" w:cs="Times New Roman"/>
                <w:b/>
                <w:color w:val="000000"/>
                <w:sz w:val="20"/>
                <w:szCs w:val="20"/>
                <w:lang w:eastAsia="zh-CN"/>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9ECAA">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1,416.74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D37F6">
            <w:pPr>
              <w:wordWrap w:val="0"/>
              <w:jc w:val="right"/>
              <w:textAlignment w:val="center"/>
              <w:rPr>
                <w:rFonts w:hint="eastAsia" w:ascii="Times New Roman" w:hAnsi="Times New Roman" w:eastAsia="宋体" w:cs="Times New Roman"/>
                <w:b/>
                <w:color w:val="000000"/>
                <w:sz w:val="20"/>
                <w:szCs w:val="20"/>
                <w:lang w:eastAsia="zh-CN"/>
              </w:rPr>
            </w:pPr>
          </w:p>
        </w:tc>
      </w:tr>
      <w:tr w14:paraId="134D6A5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A1B8">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E3064">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FBAD">
            <w:pPr>
              <w:wordWrap w:val="0"/>
              <w:jc w:val="right"/>
              <w:textAlignment w:val="center"/>
              <w:rPr>
                <w:rFonts w:hint="eastAsia" w:ascii="Times New Roman" w:hAnsi="Times New Roman" w:eastAsia="宋体" w:cs="Times New Roman"/>
                <w:b/>
                <w:color w:val="000000"/>
                <w:sz w:val="20"/>
                <w:szCs w:val="20"/>
                <w:lang w:eastAsia="zh-CN"/>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690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3,009.29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BF4F">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3,009.29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C1A02">
            <w:pPr>
              <w:wordWrap w:val="0"/>
              <w:jc w:val="right"/>
              <w:textAlignment w:val="center"/>
              <w:rPr>
                <w:rFonts w:hint="eastAsia" w:ascii="Times New Roman" w:hAnsi="Times New Roman" w:eastAsia="宋体" w:cs="Times New Roman"/>
                <w:b/>
                <w:color w:val="000000"/>
                <w:sz w:val="20"/>
                <w:szCs w:val="20"/>
                <w:lang w:eastAsia="zh-CN"/>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5166">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3,009.29</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3E7F3">
            <w:pPr>
              <w:wordWrap w:val="0"/>
              <w:jc w:val="right"/>
              <w:textAlignment w:val="center"/>
              <w:rPr>
                <w:rFonts w:hint="eastAsia" w:ascii="Times New Roman" w:hAnsi="Times New Roman" w:eastAsia="宋体" w:cs="Times New Roman"/>
                <w:b/>
                <w:color w:val="000000"/>
                <w:sz w:val="20"/>
                <w:szCs w:val="20"/>
                <w:lang w:eastAsia="zh-CN"/>
              </w:rPr>
            </w:pPr>
          </w:p>
        </w:tc>
      </w:tr>
      <w:tr w14:paraId="72A60EA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7ECA">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7967">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6831">
            <w:pPr>
              <w:wordWrap w:val="0"/>
              <w:jc w:val="right"/>
              <w:textAlignment w:val="center"/>
              <w:rPr>
                <w:rFonts w:hint="eastAsia" w:ascii="Times New Roman" w:hAnsi="Times New Roman" w:eastAsia="宋体" w:cs="Times New Roman"/>
                <w:b/>
                <w:color w:val="000000"/>
                <w:sz w:val="20"/>
                <w:szCs w:val="20"/>
                <w:lang w:eastAsia="zh-CN"/>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408E0">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3,160.87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91E37">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3,160.87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C2A7">
            <w:pPr>
              <w:wordWrap w:val="0"/>
              <w:jc w:val="right"/>
              <w:textAlignment w:val="center"/>
              <w:rPr>
                <w:rFonts w:hint="eastAsia" w:ascii="Times New Roman" w:hAnsi="Times New Roman" w:eastAsia="宋体" w:cs="Times New Roman"/>
                <w:b/>
                <w:color w:val="000000"/>
                <w:sz w:val="20"/>
                <w:szCs w:val="20"/>
                <w:lang w:eastAsia="zh-CN"/>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85B4">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3,160.87</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941B1">
            <w:pPr>
              <w:wordWrap w:val="0"/>
              <w:jc w:val="right"/>
              <w:textAlignment w:val="center"/>
              <w:rPr>
                <w:rFonts w:hint="eastAsia" w:ascii="Times New Roman" w:hAnsi="Times New Roman" w:eastAsia="宋体" w:cs="Times New Roman"/>
                <w:b/>
                <w:color w:val="000000"/>
                <w:sz w:val="20"/>
                <w:szCs w:val="20"/>
                <w:lang w:eastAsia="zh-CN"/>
              </w:rPr>
            </w:pPr>
          </w:p>
        </w:tc>
      </w:tr>
      <w:tr w14:paraId="7CDBA38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272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DEDF6">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8FDA3">
            <w:pPr>
              <w:wordWrap w:val="0"/>
              <w:jc w:val="right"/>
              <w:textAlignment w:val="center"/>
              <w:rPr>
                <w:rFonts w:hint="eastAsia" w:ascii="Times New Roman" w:hAnsi="Times New Roman" w:eastAsia="宋体" w:cs="Times New Roman"/>
                <w:b/>
                <w:color w:val="000000"/>
                <w:sz w:val="20"/>
                <w:szCs w:val="20"/>
                <w:lang w:eastAsia="zh-CN"/>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AC90">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1,351.52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8E8A">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1,351.52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A871">
            <w:pPr>
              <w:wordWrap w:val="0"/>
              <w:jc w:val="right"/>
              <w:textAlignment w:val="center"/>
              <w:rPr>
                <w:rFonts w:hint="eastAsia" w:ascii="Times New Roman" w:hAnsi="Times New Roman" w:eastAsia="宋体" w:cs="Times New Roman"/>
                <w:b/>
                <w:color w:val="000000"/>
                <w:sz w:val="20"/>
                <w:szCs w:val="20"/>
                <w:lang w:eastAsia="zh-CN"/>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BA68">
            <w:pPr>
              <w:wordWrap w:val="0"/>
              <w:jc w:val="right"/>
              <w:textAlignment w:val="center"/>
              <w:rPr>
                <w:rFonts w:hint="eastAsia" w:ascii="Times New Roman" w:hAnsi="Times New Roman" w:eastAsia="宋体" w:cs="Times New Roman"/>
                <w:b/>
                <w:color w:val="000000"/>
                <w:sz w:val="20"/>
                <w:szCs w:val="20"/>
                <w:lang w:eastAsia="zh-CN"/>
              </w:rPr>
            </w:pPr>
            <w:r>
              <w:rPr>
                <w:rFonts w:hint="default" w:ascii="Times New Roman" w:hAnsi="Times New Roman" w:cs="Times New Roman"/>
                <w:color w:val="000000"/>
                <w:sz w:val="20"/>
                <w:szCs w:val="20"/>
              </w:rPr>
              <w:t>1,351.52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A824">
            <w:pPr>
              <w:wordWrap w:val="0"/>
              <w:jc w:val="right"/>
              <w:textAlignment w:val="center"/>
              <w:rPr>
                <w:rFonts w:hint="eastAsia" w:ascii="Times New Roman" w:hAnsi="Times New Roman" w:eastAsia="宋体" w:cs="Times New Roman"/>
                <w:b/>
                <w:color w:val="000000"/>
                <w:sz w:val="20"/>
                <w:szCs w:val="20"/>
                <w:lang w:eastAsia="zh-CN"/>
              </w:rPr>
            </w:pPr>
          </w:p>
        </w:tc>
      </w:tr>
    </w:tbl>
    <w:p w14:paraId="753510AF">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E45F24D">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16"/>
        <w:gridCol w:w="2628"/>
        <w:gridCol w:w="2813"/>
        <w:gridCol w:w="172"/>
        <w:gridCol w:w="2985"/>
        <w:gridCol w:w="66"/>
        <w:gridCol w:w="2927"/>
      </w:tblGrid>
      <w:tr w14:paraId="0348A37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35E3B94">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6C8D955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37D397D">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重庆市城口县规划和自然资源局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FD380BD">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4C63B37">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4C621BE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F1A26C7">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C6752EF">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49D94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08D1E0B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8BD4BE">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C23204">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03C9ADD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88C3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7313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6DFF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4DFB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68A5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166CDB5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FF07E">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1320E">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DA354">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6724C">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9AE1F">
            <w:pPr>
              <w:jc w:val="center"/>
              <w:rPr>
                <w:rFonts w:hint="default" w:ascii="Times New Roman" w:hAnsi="Times New Roman" w:cs="Times New Roman"/>
                <w:b/>
                <w:color w:val="000000"/>
                <w:sz w:val="20"/>
                <w:szCs w:val="20"/>
              </w:rPr>
            </w:pPr>
          </w:p>
        </w:tc>
      </w:tr>
      <w:tr w14:paraId="6BA4F3A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596B9">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2B685">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1E23B">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FFD2A">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EDCFE">
            <w:pPr>
              <w:jc w:val="center"/>
              <w:rPr>
                <w:rFonts w:hint="default" w:ascii="Times New Roman" w:hAnsi="Times New Roman" w:cs="Times New Roman"/>
                <w:b/>
                <w:color w:val="000000"/>
                <w:sz w:val="20"/>
                <w:szCs w:val="20"/>
              </w:rPr>
            </w:pPr>
          </w:p>
        </w:tc>
      </w:tr>
      <w:tr w14:paraId="3ACB621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522B2">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21DCB2">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5BEDB">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35288">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32C308">
            <w:pPr>
              <w:jc w:val="center"/>
              <w:rPr>
                <w:rFonts w:hint="default" w:ascii="Times New Roman" w:hAnsi="Times New Roman" w:cs="Times New Roman"/>
                <w:b/>
                <w:color w:val="000000"/>
                <w:sz w:val="20"/>
                <w:szCs w:val="20"/>
              </w:rPr>
            </w:pPr>
          </w:p>
        </w:tc>
      </w:tr>
      <w:tr w14:paraId="700FAAB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634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DA3D0">
            <w:pPr>
              <w:wordWrap w:val="0"/>
              <w:jc w:val="right"/>
              <w:textAlignment w:val="center"/>
              <w:rPr>
                <w:rFonts w:hint="eastAsia" w:ascii="Times New Roman" w:hAnsi="Times New Roman" w:eastAsia="宋体" w:cs="Times New Roman"/>
                <w:b/>
                <w:color w:val="000000"/>
                <w:sz w:val="20"/>
                <w:szCs w:val="20"/>
                <w:lang w:eastAsia="zh-CN"/>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4998">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89E2D">
            <w:pPr>
              <w:wordWrap w:val="0"/>
              <w:jc w:val="right"/>
              <w:textAlignment w:val="center"/>
              <w:rPr>
                <w:rFonts w:hint="eastAsia" w:ascii="Times New Roman" w:hAnsi="Times New Roman" w:eastAsia="宋体" w:cs="Times New Roman"/>
                <w:b/>
                <w:color w:val="000000"/>
                <w:sz w:val="20"/>
                <w:szCs w:val="20"/>
                <w:lang w:eastAsia="zh-CN"/>
              </w:rPr>
            </w:pPr>
          </w:p>
        </w:tc>
      </w:tr>
    </w:tbl>
    <w:p w14:paraId="3FFCDCD6">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1DADDF78">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850" w:type="pct"/>
        <w:tblInd w:w="0" w:type="dxa"/>
        <w:tblLayout w:type="fixed"/>
        <w:tblCellMar>
          <w:top w:w="0" w:type="dxa"/>
          <w:left w:w="170" w:type="dxa"/>
          <w:bottom w:w="0" w:type="dxa"/>
          <w:right w:w="170" w:type="dxa"/>
        </w:tblCellMar>
      </w:tblPr>
      <w:tblGrid>
        <w:gridCol w:w="3451"/>
        <w:gridCol w:w="1850"/>
        <w:gridCol w:w="1804"/>
        <w:gridCol w:w="3863"/>
        <w:gridCol w:w="1842"/>
      </w:tblGrid>
      <w:tr w14:paraId="254FBC1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EBB351D">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14:paraId="0E31DC55">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2AE85AD4">
            <w:pPr>
              <w:spacing w:line="280" w:lineRule="exact"/>
              <w:rPr>
                <w:rFonts w:hint="default" w:ascii="Times New Roman" w:hAnsi="Times New Roman" w:cs="Times New Roman"/>
                <w:color w:val="000000"/>
                <w:kern w:val="2"/>
                <w:sz w:val="20"/>
                <w:szCs w:val="20"/>
              </w:rPr>
            </w:pPr>
          </w:p>
        </w:tc>
        <w:tc>
          <w:tcPr>
            <w:tcW w:w="722" w:type="pct"/>
            <w:shd w:val="clear" w:color="auto" w:fill="auto"/>
            <w:noWrap/>
            <w:tcMar>
              <w:top w:w="15" w:type="dxa"/>
              <w:left w:w="15" w:type="dxa"/>
              <w:right w:w="15" w:type="dxa"/>
            </w:tcMar>
            <w:vAlign w:val="bottom"/>
          </w:tcPr>
          <w:p w14:paraId="07A440E2">
            <w:pPr>
              <w:spacing w:line="280" w:lineRule="exact"/>
              <w:jc w:val="center"/>
              <w:rPr>
                <w:rFonts w:hint="default" w:ascii="Times New Roman" w:hAnsi="Times New Roman" w:cs="Times New Roman"/>
                <w:color w:val="000000"/>
                <w:kern w:val="2"/>
                <w:sz w:val="20"/>
                <w:szCs w:val="20"/>
              </w:rPr>
            </w:pPr>
          </w:p>
        </w:tc>
        <w:tc>
          <w:tcPr>
            <w:tcW w:w="704" w:type="pct"/>
            <w:shd w:val="clear" w:color="auto" w:fill="auto"/>
            <w:noWrap/>
            <w:tcMar>
              <w:top w:w="15" w:type="dxa"/>
              <w:left w:w="15" w:type="dxa"/>
              <w:right w:w="15" w:type="dxa"/>
            </w:tcMar>
            <w:vAlign w:val="bottom"/>
          </w:tcPr>
          <w:p w14:paraId="56FE43D0">
            <w:pPr>
              <w:spacing w:line="280" w:lineRule="exact"/>
              <w:jc w:val="right"/>
              <w:rPr>
                <w:rFonts w:hint="default" w:ascii="Times New Roman" w:hAnsi="Times New Roman" w:cs="Times New Roman"/>
                <w:color w:val="000000"/>
                <w:kern w:val="2"/>
                <w:sz w:val="20"/>
                <w:szCs w:val="20"/>
              </w:rPr>
            </w:pPr>
          </w:p>
        </w:tc>
        <w:tc>
          <w:tcPr>
            <w:tcW w:w="1508" w:type="pct"/>
            <w:shd w:val="clear" w:color="auto" w:fill="auto"/>
            <w:noWrap/>
            <w:tcMar>
              <w:top w:w="15" w:type="dxa"/>
              <w:left w:w="15" w:type="dxa"/>
              <w:right w:w="15" w:type="dxa"/>
            </w:tcMar>
            <w:vAlign w:val="bottom"/>
          </w:tcPr>
          <w:p w14:paraId="2A7B02A6">
            <w:pPr>
              <w:spacing w:line="280" w:lineRule="exact"/>
              <w:rPr>
                <w:rFonts w:hint="default" w:ascii="Times New Roman" w:hAnsi="Times New Roman" w:cs="Times New Roman"/>
                <w:color w:val="000000"/>
                <w:kern w:val="2"/>
                <w:sz w:val="20"/>
                <w:szCs w:val="20"/>
              </w:rPr>
            </w:pPr>
          </w:p>
        </w:tc>
        <w:tc>
          <w:tcPr>
            <w:tcW w:w="719" w:type="pct"/>
            <w:shd w:val="clear" w:color="auto" w:fill="auto"/>
            <w:noWrap/>
            <w:tcMar>
              <w:top w:w="15" w:type="dxa"/>
              <w:left w:w="15" w:type="dxa"/>
              <w:right w:w="15" w:type="dxa"/>
            </w:tcMar>
            <w:vAlign w:val="bottom"/>
          </w:tcPr>
          <w:p w14:paraId="5E66C7B9">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14:paraId="7E4B74F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E318302">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w:t>
            </w:r>
            <w:r>
              <w:rPr>
                <w:rFonts w:hint="default" w:ascii="Times New Roman" w:hAnsi="Times New Roman" w:cs="Times New Roman"/>
                <w:color w:val="000000"/>
                <w:sz w:val="20"/>
                <w:u w:color="auto"/>
              </w:rPr>
              <w:t>重庆市城口县规划和自然资源局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EEED4CA">
            <w:pPr>
              <w:spacing w:line="280" w:lineRule="exact"/>
              <w:jc w:val="right"/>
              <w:rPr>
                <w:rFonts w:hint="default" w:ascii="Times New Roman" w:hAnsi="Times New Roman" w:cs="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110B695">
            <w:pPr>
              <w:spacing w:line="280" w:lineRule="exact"/>
              <w:rPr>
                <w:rFonts w:hint="default" w:ascii="Times New Roman" w:hAnsi="Times New Roman" w:cs="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4B077F7">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14:paraId="45E2153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E1A1B1">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94FCC8">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1F3AEB">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58BD89">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0C8C5B">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14:paraId="290BA07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A0CE7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FFC68">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1D8A0">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3A660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196190">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2,526.56</w:t>
            </w:r>
          </w:p>
        </w:tc>
      </w:tr>
      <w:tr w14:paraId="54571E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EB5D6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5DC08">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16.92</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DB7A5">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16.92</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03F4D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83710">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2,526.56</w:t>
            </w:r>
          </w:p>
        </w:tc>
      </w:tr>
      <w:tr w14:paraId="615999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70E1F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A0585">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8C9B0">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05FBFE">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00AC3">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332BEA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799A2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ECE7A1">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12.00</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E5BED4">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12.00</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27D172">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9769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759826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382D6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88D047">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F4484">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E988A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5A05D">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4</w:t>
            </w:r>
          </w:p>
        </w:tc>
      </w:tr>
      <w:tr w14:paraId="75EA42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7814A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20F00">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12.00</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BE2EF">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12.00</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575CD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7A254">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21AF632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783A8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F04BD">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4.92</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B8A3D">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4.92</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E6786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F0A34">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33B8E9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1876A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43E35">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3ECCB">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4.92</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38185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868585">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3CC2D2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D59C8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A845C">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35745">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93131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E9D19">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3</w:t>
            </w:r>
          </w:p>
        </w:tc>
      </w:tr>
      <w:tr w14:paraId="76E661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2BCF4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DF8E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2538E">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A6937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15C61">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w:t>
            </w:r>
          </w:p>
        </w:tc>
      </w:tr>
      <w:tr w14:paraId="1DAC31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5AABCE">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4CA47">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5EEB46">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04E790">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BA609">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500A4A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4E1B4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A67CE">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4973A8">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9B7E55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E3EF7">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1096A5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FA4D3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FEF88">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68B660">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94AE07">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E65E6">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111372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56C43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C976C">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82C290">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F5EF355">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69042">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633D86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38C0B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DC92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4617CE">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4</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2D1D81">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D7A7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14:paraId="2D4282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D14184">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18B3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54FF66">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68</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B19BF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1BB01">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631.65</w:t>
            </w:r>
          </w:p>
        </w:tc>
      </w:tr>
      <w:tr w14:paraId="4D49D9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24690B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B9DFB">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3F67AB">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E43E9B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291BD">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53.28</w:t>
            </w:r>
          </w:p>
        </w:tc>
      </w:tr>
      <w:tr w14:paraId="296424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4614D6">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85A8C5">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6AB06A">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619</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81532E">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7D131">
            <w:pPr>
              <w:spacing w:line="200" w:lineRule="exact"/>
              <w:jc w:val="right"/>
              <w:textAlignment w:val="bottom"/>
              <w:rPr>
                <w:rFonts w:hint="eastAsia" w:ascii="Times New Roman" w:hAnsi="Times New Roman" w:eastAsia="宋体" w:cs="Times New Roman"/>
                <w:color w:val="000000"/>
                <w:kern w:val="2"/>
                <w:sz w:val="16"/>
                <w:szCs w:val="16"/>
                <w:lang w:eastAsia="zh-CN"/>
              </w:rPr>
            </w:pPr>
          </w:p>
        </w:tc>
      </w:tr>
      <w:tr w14:paraId="65AA93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3200D8">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83D04">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6732A0">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54C5E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F241F">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578.37</w:t>
            </w:r>
          </w:p>
        </w:tc>
      </w:tr>
      <w:tr w14:paraId="3F4771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EE48DA">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04448">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D47AAC">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02123C">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D22E6">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568.89</w:t>
            </w:r>
          </w:p>
        </w:tc>
      </w:tr>
      <w:tr w14:paraId="1B1FBC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BB1FB9">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7A2D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37894F">
            <w:pPr>
              <w:spacing w:line="200" w:lineRule="exact"/>
              <w:jc w:val="right"/>
              <w:textAlignment w:val="bottom"/>
              <w:rPr>
                <w:rFonts w:hint="eastAsia" w:ascii="Times New Roman" w:hAnsi="Times New Roman" w:eastAsia="宋体" w:cs="Times New Roman"/>
                <w:color w:val="000000"/>
                <w:kern w:val="2"/>
                <w:sz w:val="16"/>
                <w:szCs w:val="16"/>
                <w:lang w:eastAsia="zh-CN"/>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86860E">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B7CD71">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400.06</w:t>
            </w:r>
          </w:p>
        </w:tc>
      </w:tr>
      <w:tr w14:paraId="4508E0F2">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3DB3CD">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1DE67">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6FBAB">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1.80</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BD7AA5">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39EEB">
            <w:pPr>
              <w:spacing w:line="200" w:lineRule="exact"/>
              <w:jc w:val="right"/>
              <w:rPr>
                <w:rFonts w:hint="default" w:ascii="Times New Roman" w:hAnsi="Times New Roman" w:cs="Times New Roman"/>
                <w:color w:val="000000"/>
                <w:kern w:val="2"/>
                <w:sz w:val="16"/>
                <w:szCs w:val="16"/>
              </w:rPr>
            </w:pPr>
          </w:p>
        </w:tc>
      </w:tr>
      <w:tr w14:paraId="141369C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21E863">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2E10A">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0C56B">
            <w:pPr>
              <w:spacing w:line="200" w:lineRule="exact"/>
              <w:jc w:val="right"/>
              <w:textAlignment w:val="bottom"/>
              <w:rPr>
                <w:rFonts w:hint="eastAsia" w:ascii="Times New Roman" w:hAnsi="Times New Roman" w:eastAsia="宋体" w:cs="Times New Roman"/>
                <w:color w:val="000000"/>
                <w:kern w:val="2"/>
                <w:sz w:val="16"/>
                <w:szCs w:val="16"/>
                <w:lang w:eastAsia="zh-CN"/>
              </w:rPr>
            </w:pPr>
            <w:r>
              <w:rPr>
                <w:rFonts w:hint="default" w:ascii="Times New Roman" w:hAnsi="Times New Roman" w:cs="Times New Roman"/>
                <w:color w:val="000000"/>
                <w:kern w:val="2"/>
                <w:sz w:val="16"/>
                <w:szCs w:val="16"/>
              </w:rPr>
              <w:t>2.05</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52E21C">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A374C">
            <w:pPr>
              <w:spacing w:line="200" w:lineRule="exact"/>
              <w:jc w:val="right"/>
              <w:rPr>
                <w:rFonts w:hint="default" w:ascii="Times New Roman" w:hAnsi="Times New Roman" w:cs="Times New Roman"/>
                <w:color w:val="000000"/>
                <w:kern w:val="2"/>
                <w:sz w:val="16"/>
                <w:szCs w:val="16"/>
              </w:rPr>
            </w:pPr>
          </w:p>
        </w:tc>
      </w:tr>
    </w:tbl>
    <w:p w14:paraId="66E5E7D9">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pgSz w:w="16783" w:h="11850" w:orient="landscape"/>
      <w:pgMar w:top="1440" w:right="1803" w:bottom="1440" w:left="1803"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0E30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D1CB8">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3ED1CB8">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68937B7">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68937B7">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3BA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7"/>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74DB8"/>
    <w:rsid w:val="002D0E5A"/>
    <w:rsid w:val="002E5443"/>
    <w:rsid w:val="0032196C"/>
    <w:rsid w:val="004A2612"/>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B73D2"/>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781D66"/>
    <w:rsid w:val="01D73E59"/>
    <w:rsid w:val="01F3521E"/>
    <w:rsid w:val="024676C1"/>
    <w:rsid w:val="02AD2492"/>
    <w:rsid w:val="031B0301"/>
    <w:rsid w:val="031E5FCE"/>
    <w:rsid w:val="03B87EA0"/>
    <w:rsid w:val="03E3214F"/>
    <w:rsid w:val="0405413A"/>
    <w:rsid w:val="044C50BA"/>
    <w:rsid w:val="047F0E5D"/>
    <w:rsid w:val="048B6B7D"/>
    <w:rsid w:val="049B1670"/>
    <w:rsid w:val="04B71044"/>
    <w:rsid w:val="05BB33D1"/>
    <w:rsid w:val="05BC6D49"/>
    <w:rsid w:val="05CC04A9"/>
    <w:rsid w:val="06194FF1"/>
    <w:rsid w:val="068D1FFA"/>
    <w:rsid w:val="06A2550B"/>
    <w:rsid w:val="06CE0382"/>
    <w:rsid w:val="06F80EE2"/>
    <w:rsid w:val="07001CCA"/>
    <w:rsid w:val="070818C7"/>
    <w:rsid w:val="071F592E"/>
    <w:rsid w:val="075678DB"/>
    <w:rsid w:val="07590B3F"/>
    <w:rsid w:val="0787618E"/>
    <w:rsid w:val="078D65E4"/>
    <w:rsid w:val="07937390"/>
    <w:rsid w:val="079D7CC7"/>
    <w:rsid w:val="07CC7509"/>
    <w:rsid w:val="08051BCA"/>
    <w:rsid w:val="086C12F4"/>
    <w:rsid w:val="08BA052C"/>
    <w:rsid w:val="08DB07BA"/>
    <w:rsid w:val="09290F05"/>
    <w:rsid w:val="093B4FB1"/>
    <w:rsid w:val="0969353F"/>
    <w:rsid w:val="097E6BF3"/>
    <w:rsid w:val="098305D0"/>
    <w:rsid w:val="098A0877"/>
    <w:rsid w:val="09C231BD"/>
    <w:rsid w:val="0A5C4B69"/>
    <w:rsid w:val="0A86124A"/>
    <w:rsid w:val="0AAD233F"/>
    <w:rsid w:val="0AB54CC0"/>
    <w:rsid w:val="0AED1A93"/>
    <w:rsid w:val="0B462B3D"/>
    <w:rsid w:val="0B472416"/>
    <w:rsid w:val="0B570C06"/>
    <w:rsid w:val="0B7E7514"/>
    <w:rsid w:val="0B9335CE"/>
    <w:rsid w:val="0BB33B6C"/>
    <w:rsid w:val="0C0C7C1D"/>
    <w:rsid w:val="0C487351"/>
    <w:rsid w:val="0C6F488B"/>
    <w:rsid w:val="0C7927C4"/>
    <w:rsid w:val="0C9B098C"/>
    <w:rsid w:val="0CBA0554"/>
    <w:rsid w:val="0CDD6D55"/>
    <w:rsid w:val="0D3251D3"/>
    <w:rsid w:val="0D673E11"/>
    <w:rsid w:val="0D8C40A6"/>
    <w:rsid w:val="0D8D1383"/>
    <w:rsid w:val="0D9D2AEE"/>
    <w:rsid w:val="0DC4561B"/>
    <w:rsid w:val="0DDA54E4"/>
    <w:rsid w:val="0DFC58A7"/>
    <w:rsid w:val="0E3A5F83"/>
    <w:rsid w:val="0E5A335A"/>
    <w:rsid w:val="0E74421A"/>
    <w:rsid w:val="0F836721"/>
    <w:rsid w:val="0FA25D96"/>
    <w:rsid w:val="0FD15DCF"/>
    <w:rsid w:val="0FF34F6A"/>
    <w:rsid w:val="0FF91766"/>
    <w:rsid w:val="103531B8"/>
    <w:rsid w:val="105C0CC4"/>
    <w:rsid w:val="107B59E5"/>
    <w:rsid w:val="10885CA8"/>
    <w:rsid w:val="108C6C08"/>
    <w:rsid w:val="10D27B56"/>
    <w:rsid w:val="10EC0126"/>
    <w:rsid w:val="10F70B9A"/>
    <w:rsid w:val="11055F68"/>
    <w:rsid w:val="111445C7"/>
    <w:rsid w:val="1131340D"/>
    <w:rsid w:val="114278C6"/>
    <w:rsid w:val="11441DD1"/>
    <w:rsid w:val="1158083A"/>
    <w:rsid w:val="11643A4B"/>
    <w:rsid w:val="11D954B3"/>
    <w:rsid w:val="11ED0F98"/>
    <w:rsid w:val="11F03528"/>
    <w:rsid w:val="121B3A93"/>
    <w:rsid w:val="12565D9E"/>
    <w:rsid w:val="12C921C4"/>
    <w:rsid w:val="12F87535"/>
    <w:rsid w:val="13181FD4"/>
    <w:rsid w:val="132E66F9"/>
    <w:rsid w:val="13871C70"/>
    <w:rsid w:val="138C0D71"/>
    <w:rsid w:val="139E109D"/>
    <w:rsid w:val="13A71CB4"/>
    <w:rsid w:val="13AF1D43"/>
    <w:rsid w:val="13CE1647"/>
    <w:rsid w:val="13FD55AB"/>
    <w:rsid w:val="14200702"/>
    <w:rsid w:val="15626274"/>
    <w:rsid w:val="159060A2"/>
    <w:rsid w:val="15936589"/>
    <w:rsid w:val="160A59C4"/>
    <w:rsid w:val="161E02A6"/>
    <w:rsid w:val="162217DE"/>
    <w:rsid w:val="163A6CEE"/>
    <w:rsid w:val="168B39B0"/>
    <w:rsid w:val="169854D3"/>
    <w:rsid w:val="16C073C6"/>
    <w:rsid w:val="16CE6684"/>
    <w:rsid w:val="172A5217"/>
    <w:rsid w:val="173708E3"/>
    <w:rsid w:val="17892889"/>
    <w:rsid w:val="17C374FC"/>
    <w:rsid w:val="182F39D0"/>
    <w:rsid w:val="189079DC"/>
    <w:rsid w:val="189B0D0B"/>
    <w:rsid w:val="18B43F7C"/>
    <w:rsid w:val="190D4E96"/>
    <w:rsid w:val="1926350C"/>
    <w:rsid w:val="1943350E"/>
    <w:rsid w:val="194A1770"/>
    <w:rsid w:val="194F3371"/>
    <w:rsid w:val="19A75ED8"/>
    <w:rsid w:val="19B906A4"/>
    <w:rsid w:val="19F01465"/>
    <w:rsid w:val="1B5551D7"/>
    <w:rsid w:val="1B637A68"/>
    <w:rsid w:val="1B6F15B6"/>
    <w:rsid w:val="1B78681D"/>
    <w:rsid w:val="1BAA2EDC"/>
    <w:rsid w:val="1BB72C4F"/>
    <w:rsid w:val="1BC5104C"/>
    <w:rsid w:val="1BCA13DA"/>
    <w:rsid w:val="1BFE4E8E"/>
    <w:rsid w:val="1C5C0973"/>
    <w:rsid w:val="1C792A9A"/>
    <w:rsid w:val="1CA55E64"/>
    <w:rsid w:val="1CCD669C"/>
    <w:rsid w:val="1D0104B8"/>
    <w:rsid w:val="1D014A01"/>
    <w:rsid w:val="1D022362"/>
    <w:rsid w:val="1D1B04B0"/>
    <w:rsid w:val="1D4A633D"/>
    <w:rsid w:val="1D5E09C8"/>
    <w:rsid w:val="1D921B05"/>
    <w:rsid w:val="1D9236E6"/>
    <w:rsid w:val="1DA05153"/>
    <w:rsid w:val="1DBD6767"/>
    <w:rsid w:val="1DC52125"/>
    <w:rsid w:val="1DD26311"/>
    <w:rsid w:val="1E181057"/>
    <w:rsid w:val="1E374ACB"/>
    <w:rsid w:val="1E5D4C3D"/>
    <w:rsid w:val="1E5E27E3"/>
    <w:rsid w:val="1E6410FD"/>
    <w:rsid w:val="1E7B7010"/>
    <w:rsid w:val="1E8B05E5"/>
    <w:rsid w:val="1EBA1E4A"/>
    <w:rsid w:val="1ECF0A66"/>
    <w:rsid w:val="1ED467BA"/>
    <w:rsid w:val="1EF67CA4"/>
    <w:rsid w:val="1F020D3A"/>
    <w:rsid w:val="1F2C5189"/>
    <w:rsid w:val="1F4B0B02"/>
    <w:rsid w:val="1F514D90"/>
    <w:rsid w:val="1F83013D"/>
    <w:rsid w:val="1F8802D1"/>
    <w:rsid w:val="1FBB35CD"/>
    <w:rsid w:val="1FCD26AF"/>
    <w:rsid w:val="1FD96399"/>
    <w:rsid w:val="1FF92AFF"/>
    <w:rsid w:val="2052629F"/>
    <w:rsid w:val="20642787"/>
    <w:rsid w:val="208C3926"/>
    <w:rsid w:val="21556F04"/>
    <w:rsid w:val="219A0779"/>
    <w:rsid w:val="21E02BE7"/>
    <w:rsid w:val="22072B36"/>
    <w:rsid w:val="22403BD3"/>
    <w:rsid w:val="224079C0"/>
    <w:rsid w:val="22502870"/>
    <w:rsid w:val="225A696F"/>
    <w:rsid w:val="227F67B2"/>
    <w:rsid w:val="22C06826"/>
    <w:rsid w:val="22D12178"/>
    <w:rsid w:val="235F5CF7"/>
    <w:rsid w:val="237F3B40"/>
    <w:rsid w:val="23DA37D9"/>
    <w:rsid w:val="23E9636D"/>
    <w:rsid w:val="24B92327"/>
    <w:rsid w:val="24C14514"/>
    <w:rsid w:val="25117665"/>
    <w:rsid w:val="2533755C"/>
    <w:rsid w:val="25791755"/>
    <w:rsid w:val="25EE1056"/>
    <w:rsid w:val="26396DF4"/>
    <w:rsid w:val="263E6CB5"/>
    <w:rsid w:val="26DE7F7F"/>
    <w:rsid w:val="27057EB7"/>
    <w:rsid w:val="27167136"/>
    <w:rsid w:val="277802F9"/>
    <w:rsid w:val="27790171"/>
    <w:rsid w:val="27895BC1"/>
    <w:rsid w:val="27AD50C3"/>
    <w:rsid w:val="27B23302"/>
    <w:rsid w:val="28230625"/>
    <w:rsid w:val="287E4C4C"/>
    <w:rsid w:val="29310A5F"/>
    <w:rsid w:val="29C37A35"/>
    <w:rsid w:val="29E11065"/>
    <w:rsid w:val="29E12D0A"/>
    <w:rsid w:val="2A076083"/>
    <w:rsid w:val="2A4947D3"/>
    <w:rsid w:val="2A73162E"/>
    <w:rsid w:val="2B167953"/>
    <w:rsid w:val="2B200583"/>
    <w:rsid w:val="2B2402F6"/>
    <w:rsid w:val="2B8209DE"/>
    <w:rsid w:val="2BE15E78"/>
    <w:rsid w:val="2BED33CC"/>
    <w:rsid w:val="2C46027D"/>
    <w:rsid w:val="2C4F38BC"/>
    <w:rsid w:val="2C5B6882"/>
    <w:rsid w:val="2C6762A3"/>
    <w:rsid w:val="2C8D648C"/>
    <w:rsid w:val="2D1F27DA"/>
    <w:rsid w:val="2D6840A3"/>
    <w:rsid w:val="2DB12057"/>
    <w:rsid w:val="2DC3119B"/>
    <w:rsid w:val="2E313076"/>
    <w:rsid w:val="2E796B1B"/>
    <w:rsid w:val="2EBF7B3E"/>
    <w:rsid w:val="2EDE1934"/>
    <w:rsid w:val="2F0E1FAD"/>
    <w:rsid w:val="2F0F51AC"/>
    <w:rsid w:val="2F27592A"/>
    <w:rsid w:val="2F765116"/>
    <w:rsid w:val="2FCA4B37"/>
    <w:rsid w:val="2FDB3934"/>
    <w:rsid w:val="2FE029D7"/>
    <w:rsid w:val="2FF06E00"/>
    <w:rsid w:val="2FF531CA"/>
    <w:rsid w:val="30367998"/>
    <w:rsid w:val="304B1974"/>
    <w:rsid w:val="30562E26"/>
    <w:rsid w:val="30586FEC"/>
    <w:rsid w:val="307E1DC3"/>
    <w:rsid w:val="30D623BB"/>
    <w:rsid w:val="30E342D4"/>
    <w:rsid w:val="30EC7046"/>
    <w:rsid w:val="310E0329"/>
    <w:rsid w:val="311341A5"/>
    <w:rsid w:val="315F0B22"/>
    <w:rsid w:val="319D022C"/>
    <w:rsid w:val="31C90022"/>
    <w:rsid w:val="31D84415"/>
    <w:rsid w:val="31DE14B7"/>
    <w:rsid w:val="32285F6F"/>
    <w:rsid w:val="322E3007"/>
    <w:rsid w:val="32623FE9"/>
    <w:rsid w:val="32770556"/>
    <w:rsid w:val="3277472C"/>
    <w:rsid w:val="32871918"/>
    <w:rsid w:val="329C0913"/>
    <w:rsid w:val="32AA0460"/>
    <w:rsid w:val="32AB4F94"/>
    <w:rsid w:val="32ED7B78"/>
    <w:rsid w:val="32FB56DE"/>
    <w:rsid w:val="3337290D"/>
    <w:rsid w:val="336D1533"/>
    <w:rsid w:val="33E31118"/>
    <w:rsid w:val="33EF7674"/>
    <w:rsid w:val="340A2DF0"/>
    <w:rsid w:val="34197A04"/>
    <w:rsid w:val="342D14A4"/>
    <w:rsid w:val="342D7BC6"/>
    <w:rsid w:val="35264827"/>
    <w:rsid w:val="352930DB"/>
    <w:rsid w:val="35311F1E"/>
    <w:rsid w:val="35314211"/>
    <w:rsid w:val="35474BE4"/>
    <w:rsid w:val="35573069"/>
    <w:rsid w:val="355F6038"/>
    <w:rsid w:val="356334B8"/>
    <w:rsid w:val="356A2696"/>
    <w:rsid w:val="357E3CD5"/>
    <w:rsid w:val="358C217E"/>
    <w:rsid w:val="35937598"/>
    <w:rsid w:val="363D6F5A"/>
    <w:rsid w:val="36620C6E"/>
    <w:rsid w:val="3675495F"/>
    <w:rsid w:val="36925F09"/>
    <w:rsid w:val="369E3A8A"/>
    <w:rsid w:val="36A56E98"/>
    <w:rsid w:val="36C9128A"/>
    <w:rsid w:val="36D80532"/>
    <w:rsid w:val="371B5132"/>
    <w:rsid w:val="372E3953"/>
    <w:rsid w:val="37841E99"/>
    <w:rsid w:val="37BF1123"/>
    <w:rsid w:val="37E56BF4"/>
    <w:rsid w:val="380D0B74"/>
    <w:rsid w:val="381B0511"/>
    <w:rsid w:val="38226D5A"/>
    <w:rsid w:val="3823618C"/>
    <w:rsid w:val="383C3F15"/>
    <w:rsid w:val="3849512A"/>
    <w:rsid w:val="38BE4696"/>
    <w:rsid w:val="38DF1E8A"/>
    <w:rsid w:val="38E37E66"/>
    <w:rsid w:val="39296ED0"/>
    <w:rsid w:val="3939115E"/>
    <w:rsid w:val="398072D1"/>
    <w:rsid w:val="39B82A39"/>
    <w:rsid w:val="39C42CA8"/>
    <w:rsid w:val="39DC4FD6"/>
    <w:rsid w:val="39F03D7A"/>
    <w:rsid w:val="39F33306"/>
    <w:rsid w:val="3A176132"/>
    <w:rsid w:val="3A232425"/>
    <w:rsid w:val="3A2730F4"/>
    <w:rsid w:val="3A2C1C67"/>
    <w:rsid w:val="3A7644DB"/>
    <w:rsid w:val="3AAD50C5"/>
    <w:rsid w:val="3B1705E5"/>
    <w:rsid w:val="3B18334B"/>
    <w:rsid w:val="3B36794F"/>
    <w:rsid w:val="3B7B6F51"/>
    <w:rsid w:val="3BC1206C"/>
    <w:rsid w:val="3BC22A27"/>
    <w:rsid w:val="3BD82865"/>
    <w:rsid w:val="3C1A629C"/>
    <w:rsid w:val="3C2A6889"/>
    <w:rsid w:val="3C534C88"/>
    <w:rsid w:val="3C566AD6"/>
    <w:rsid w:val="3C6A5B02"/>
    <w:rsid w:val="3CF343E8"/>
    <w:rsid w:val="3D2757A1"/>
    <w:rsid w:val="3D3D4FC4"/>
    <w:rsid w:val="3D8B742A"/>
    <w:rsid w:val="3DA3357D"/>
    <w:rsid w:val="3DC61638"/>
    <w:rsid w:val="3DC95464"/>
    <w:rsid w:val="3DD10D84"/>
    <w:rsid w:val="3DDF3AB1"/>
    <w:rsid w:val="3DE437B3"/>
    <w:rsid w:val="3E154B0F"/>
    <w:rsid w:val="3E1D0952"/>
    <w:rsid w:val="3E42660A"/>
    <w:rsid w:val="3E626C6E"/>
    <w:rsid w:val="3E7555B1"/>
    <w:rsid w:val="3E787ED9"/>
    <w:rsid w:val="3EEC37F3"/>
    <w:rsid w:val="3EF561B1"/>
    <w:rsid w:val="3F032E93"/>
    <w:rsid w:val="3F0527E5"/>
    <w:rsid w:val="3F533656"/>
    <w:rsid w:val="3F694D83"/>
    <w:rsid w:val="3F885DCC"/>
    <w:rsid w:val="3FB2322F"/>
    <w:rsid w:val="3FC63AC7"/>
    <w:rsid w:val="3FCD675E"/>
    <w:rsid w:val="4004000C"/>
    <w:rsid w:val="40D94CFF"/>
    <w:rsid w:val="41052C25"/>
    <w:rsid w:val="411B6CE5"/>
    <w:rsid w:val="412070D7"/>
    <w:rsid w:val="41314E40"/>
    <w:rsid w:val="41400574"/>
    <w:rsid w:val="41475318"/>
    <w:rsid w:val="416E7918"/>
    <w:rsid w:val="41B16959"/>
    <w:rsid w:val="41E0734B"/>
    <w:rsid w:val="41F16771"/>
    <w:rsid w:val="425101B5"/>
    <w:rsid w:val="42583794"/>
    <w:rsid w:val="426554D0"/>
    <w:rsid w:val="426C1EA8"/>
    <w:rsid w:val="42736402"/>
    <w:rsid w:val="42E86A87"/>
    <w:rsid w:val="43137B32"/>
    <w:rsid w:val="43307B09"/>
    <w:rsid w:val="43840A97"/>
    <w:rsid w:val="438D0E97"/>
    <w:rsid w:val="43BB152F"/>
    <w:rsid w:val="43DC4AFA"/>
    <w:rsid w:val="449E577B"/>
    <w:rsid w:val="44C37687"/>
    <w:rsid w:val="44D92A9D"/>
    <w:rsid w:val="44EA3DF6"/>
    <w:rsid w:val="4502422F"/>
    <w:rsid w:val="45395E68"/>
    <w:rsid w:val="454A234E"/>
    <w:rsid w:val="456B4976"/>
    <w:rsid w:val="457D21CF"/>
    <w:rsid w:val="45BF2BCF"/>
    <w:rsid w:val="45CB699A"/>
    <w:rsid w:val="45D72173"/>
    <w:rsid w:val="45D73308"/>
    <w:rsid w:val="45F552AD"/>
    <w:rsid w:val="465B470D"/>
    <w:rsid w:val="469D6AD4"/>
    <w:rsid w:val="471E6C84"/>
    <w:rsid w:val="4748792B"/>
    <w:rsid w:val="475844BA"/>
    <w:rsid w:val="475D719D"/>
    <w:rsid w:val="47674801"/>
    <w:rsid w:val="47C6444F"/>
    <w:rsid w:val="48225EF7"/>
    <w:rsid w:val="485A6674"/>
    <w:rsid w:val="488F422B"/>
    <w:rsid w:val="48E36915"/>
    <w:rsid w:val="495C4A24"/>
    <w:rsid w:val="497135DF"/>
    <w:rsid w:val="49862C56"/>
    <w:rsid w:val="4992108A"/>
    <w:rsid w:val="49945FFC"/>
    <w:rsid w:val="49A562CF"/>
    <w:rsid w:val="4A1E53AA"/>
    <w:rsid w:val="4A263DF2"/>
    <w:rsid w:val="4A4200BE"/>
    <w:rsid w:val="4A475953"/>
    <w:rsid w:val="4A622505"/>
    <w:rsid w:val="4A6F6675"/>
    <w:rsid w:val="4AA8485C"/>
    <w:rsid w:val="4B0502DF"/>
    <w:rsid w:val="4B1170D6"/>
    <w:rsid w:val="4B135857"/>
    <w:rsid w:val="4B7951CB"/>
    <w:rsid w:val="4B7C315C"/>
    <w:rsid w:val="4B923308"/>
    <w:rsid w:val="4BB11DA0"/>
    <w:rsid w:val="4C06321C"/>
    <w:rsid w:val="4C270A49"/>
    <w:rsid w:val="4C8E58A4"/>
    <w:rsid w:val="4CB408A5"/>
    <w:rsid w:val="4CE95B4A"/>
    <w:rsid w:val="4D223E7F"/>
    <w:rsid w:val="4DAC4ACA"/>
    <w:rsid w:val="4DBE01D2"/>
    <w:rsid w:val="4DE52671"/>
    <w:rsid w:val="4DFF6CC7"/>
    <w:rsid w:val="4EC300D1"/>
    <w:rsid w:val="4ED824E8"/>
    <w:rsid w:val="4EFC6D10"/>
    <w:rsid w:val="4F0C6BA3"/>
    <w:rsid w:val="4F10477D"/>
    <w:rsid w:val="4F186D58"/>
    <w:rsid w:val="4F527663"/>
    <w:rsid w:val="4FEA65B7"/>
    <w:rsid w:val="503D0CB7"/>
    <w:rsid w:val="50453CC7"/>
    <w:rsid w:val="50BA7EA2"/>
    <w:rsid w:val="50F06B6E"/>
    <w:rsid w:val="50FB3967"/>
    <w:rsid w:val="51042846"/>
    <w:rsid w:val="51C84C5B"/>
    <w:rsid w:val="521D0E97"/>
    <w:rsid w:val="52234D33"/>
    <w:rsid w:val="522F6E0C"/>
    <w:rsid w:val="52463BA1"/>
    <w:rsid w:val="52F163D4"/>
    <w:rsid w:val="531A2DB4"/>
    <w:rsid w:val="535B4506"/>
    <w:rsid w:val="53C0244D"/>
    <w:rsid w:val="53DD4D4E"/>
    <w:rsid w:val="53E578CE"/>
    <w:rsid w:val="541330F0"/>
    <w:rsid w:val="54272666"/>
    <w:rsid w:val="543B029D"/>
    <w:rsid w:val="544921BD"/>
    <w:rsid w:val="54861779"/>
    <w:rsid w:val="549B338F"/>
    <w:rsid w:val="54C2182D"/>
    <w:rsid w:val="552256E1"/>
    <w:rsid w:val="554E5773"/>
    <w:rsid w:val="55575369"/>
    <w:rsid w:val="555A3CBC"/>
    <w:rsid w:val="5582012B"/>
    <w:rsid w:val="558E4E05"/>
    <w:rsid w:val="55BE2E85"/>
    <w:rsid w:val="55DF634E"/>
    <w:rsid w:val="56077DB2"/>
    <w:rsid w:val="562B0412"/>
    <w:rsid w:val="56530F5D"/>
    <w:rsid w:val="567060AB"/>
    <w:rsid w:val="567700D3"/>
    <w:rsid w:val="56A451C5"/>
    <w:rsid w:val="56A53529"/>
    <w:rsid w:val="56B13197"/>
    <w:rsid w:val="56E93687"/>
    <w:rsid w:val="56FF7E9E"/>
    <w:rsid w:val="578867FC"/>
    <w:rsid w:val="583755C6"/>
    <w:rsid w:val="5842572D"/>
    <w:rsid w:val="58690DF6"/>
    <w:rsid w:val="58706315"/>
    <w:rsid w:val="587D05F3"/>
    <w:rsid w:val="58C1343A"/>
    <w:rsid w:val="58C46118"/>
    <w:rsid w:val="58DA5777"/>
    <w:rsid w:val="591C1F9A"/>
    <w:rsid w:val="59281C09"/>
    <w:rsid w:val="5A3B59D6"/>
    <w:rsid w:val="5A692C9F"/>
    <w:rsid w:val="5A980FAF"/>
    <w:rsid w:val="5AD134D8"/>
    <w:rsid w:val="5ADC6544"/>
    <w:rsid w:val="5AEF5B4E"/>
    <w:rsid w:val="5B6503B1"/>
    <w:rsid w:val="5B91582F"/>
    <w:rsid w:val="5BBA2984"/>
    <w:rsid w:val="5C263CE4"/>
    <w:rsid w:val="5C4A3365"/>
    <w:rsid w:val="5C59749C"/>
    <w:rsid w:val="5C5D2777"/>
    <w:rsid w:val="5C8703BC"/>
    <w:rsid w:val="5C9120B2"/>
    <w:rsid w:val="5CF66BF3"/>
    <w:rsid w:val="5D290C69"/>
    <w:rsid w:val="5D4C07E0"/>
    <w:rsid w:val="5DAE6973"/>
    <w:rsid w:val="5DBF425C"/>
    <w:rsid w:val="5DD525C2"/>
    <w:rsid w:val="5E0725E9"/>
    <w:rsid w:val="5E147C2A"/>
    <w:rsid w:val="5E5965CE"/>
    <w:rsid w:val="5EB478EC"/>
    <w:rsid w:val="5ECB402C"/>
    <w:rsid w:val="5F002E69"/>
    <w:rsid w:val="5F2D4A41"/>
    <w:rsid w:val="5F567CCC"/>
    <w:rsid w:val="5F784116"/>
    <w:rsid w:val="5F990159"/>
    <w:rsid w:val="5FE62E0C"/>
    <w:rsid w:val="600962A8"/>
    <w:rsid w:val="60183C4A"/>
    <w:rsid w:val="60293EBB"/>
    <w:rsid w:val="602A2FD0"/>
    <w:rsid w:val="60413FED"/>
    <w:rsid w:val="608F44C0"/>
    <w:rsid w:val="60C139DB"/>
    <w:rsid w:val="60C74F6C"/>
    <w:rsid w:val="61025A59"/>
    <w:rsid w:val="61083F26"/>
    <w:rsid w:val="613D5BBC"/>
    <w:rsid w:val="61536C39"/>
    <w:rsid w:val="618A5AFA"/>
    <w:rsid w:val="62683C5F"/>
    <w:rsid w:val="62944DD7"/>
    <w:rsid w:val="62D60F0C"/>
    <w:rsid w:val="62FB5E54"/>
    <w:rsid w:val="6319381F"/>
    <w:rsid w:val="63236436"/>
    <w:rsid w:val="6340758C"/>
    <w:rsid w:val="63BA6A4B"/>
    <w:rsid w:val="63C25DC5"/>
    <w:rsid w:val="63C62057"/>
    <w:rsid w:val="641F5044"/>
    <w:rsid w:val="64571EF5"/>
    <w:rsid w:val="64D32F04"/>
    <w:rsid w:val="64FB113D"/>
    <w:rsid w:val="6507119C"/>
    <w:rsid w:val="652F3308"/>
    <w:rsid w:val="654A604B"/>
    <w:rsid w:val="656152C6"/>
    <w:rsid w:val="6587477F"/>
    <w:rsid w:val="658C3A08"/>
    <w:rsid w:val="6592501B"/>
    <w:rsid w:val="65C031CA"/>
    <w:rsid w:val="65CE6852"/>
    <w:rsid w:val="66024C17"/>
    <w:rsid w:val="66267C04"/>
    <w:rsid w:val="663F505A"/>
    <w:rsid w:val="66967186"/>
    <w:rsid w:val="66B0263C"/>
    <w:rsid w:val="66EE5541"/>
    <w:rsid w:val="6717678D"/>
    <w:rsid w:val="677B6C4F"/>
    <w:rsid w:val="67924660"/>
    <w:rsid w:val="67E61014"/>
    <w:rsid w:val="680840ED"/>
    <w:rsid w:val="682D4697"/>
    <w:rsid w:val="68407834"/>
    <w:rsid w:val="6883293E"/>
    <w:rsid w:val="688412AD"/>
    <w:rsid w:val="68EB1B71"/>
    <w:rsid w:val="68F450D7"/>
    <w:rsid w:val="6921095D"/>
    <w:rsid w:val="69390872"/>
    <w:rsid w:val="69447204"/>
    <w:rsid w:val="69475C96"/>
    <w:rsid w:val="696A61B3"/>
    <w:rsid w:val="698F54BE"/>
    <w:rsid w:val="6993614C"/>
    <w:rsid w:val="69B95B07"/>
    <w:rsid w:val="69BD032A"/>
    <w:rsid w:val="6A142F75"/>
    <w:rsid w:val="6A1808BA"/>
    <w:rsid w:val="6A83758A"/>
    <w:rsid w:val="6AAD2300"/>
    <w:rsid w:val="6B474EF5"/>
    <w:rsid w:val="6B8D05E7"/>
    <w:rsid w:val="6BA86F09"/>
    <w:rsid w:val="6BBF53FD"/>
    <w:rsid w:val="6C560CAE"/>
    <w:rsid w:val="6C576495"/>
    <w:rsid w:val="6CC8016E"/>
    <w:rsid w:val="6CF0303D"/>
    <w:rsid w:val="6D560914"/>
    <w:rsid w:val="6D903FF5"/>
    <w:rsid w:val="6DA955B8"/>
    <w:rsid w:val="6DE346AB"/>
    <w:rsid w:val="6DE5391A"/>
    <w:rsid w:val="6E1D7C8A"/>
    <w:rsid w:val="6E556752"/>
    <w:rsid w:val="6E901FA5"/>
    <w:rsid w:val="6EC46913"/>
    <w:rsid w:val="6EFD1324"/>
    <w:rsid w:val="6F5A53AC"/>
    <w:rsid w:val="6F7617DE"/>
    <w:rsid w:val="6FAC003D"/>
    <w:rsid w:val="6FE55E12"/>
    <w:rsid w:val="6FFB2E76"/>
    <w:rsid w:val="7010182D"/>
    <w:rsid w:val="708F6F7F"/>
    <w:rsid w:val="70D624FF"/>
    <w:rsid w:val="70D94BD3"/>
    <w:rsid w:val="71967B8E"/>
    <w:rsid w:val="71C34D91"/>
    <w:rsid w:val="722E0C64"/>
    <w:rsid w:val="72304D08"/>
    <w:rsid w:val="727502E0"/>
    <w:rsid w:val="72DB435C"/>
    <w:rsid w:val="72E2613A"/>
    <w:rsid w:val="72F771F4"/>
    <w:rsid w:val="73372692"/>
    <w:rsid w:val="73645E21"/>
    <w:rsid w:val="736650B0"/>
    <w:rsid w:val="73934AD2"/>
    <w:rsid w:val="73F85811"/>
    <w:rsid w:val="7412372C"/>
    <w:rsid w:val="745B13F4"/>
    <w:rsid w:val="74612F28"/>
    <w:rsid w:val="747E511E"/>
    <w:rsid w:val="74D621A2"/>
    <w:rsid w:val="74F775B7"/>
    <w:rsid w:val="750837F0"/>
    <w:rsid w:val="754758CF"/>
    <w:rsid w:val="764F62AB"/>
    <w:rsid w:val="765C45EC"/>
    <w:rsid w:val="768A7619"/>
    <w:rsid w:val="76BF12F4"/>
    <w:rsid w:val="76C045A0"/>
    <w:rsid w:val="772E1EBA"/>
    <w:rsid w:val="77863E4D"/>
    <w:rsid w:val="77EB79F7"/>
    <w:rsid w:val="7817341A"/>
    <w:rsid w:val="78682E45"/>
    <w:rsid w:val="786B362C"/>
    <w:rsid w:val="78CA4041"/>
    <w:rsid w:val="791662F7"/>
    <w:rsid w:val="796D60A4"/>
    <w:rsid w:val="79A031D5"/>
    <w:rsid w:val="7A1525F7"/>
    <w:rsid w:val="7A286C92"/>
    <w:rsid w:val="7A4B4CFC"/>
    <w:rsid w:val="7A570DC3"/>
    <w:rsid w:val="7A987BE7"/>
    <w:rsid w:val="7B2769AD"/>
    <w:rsid w:val="7B420052"/>
    <w:rsid w:val="7B861484"/>
    <w:rsid w:val="7B957D4E"/>
    <w:rsid w:val="7BD06A28"/>
    <w:rsid w:val="7C3A7C0B"/>
    <w:rsid w:val="7C5248E4"/>
    <w:rsid w:val="7C566698"/>
    <w:rsid w:val="7C5866A3"/>
    <w:rsid w:val="7C636A0E"/>
    <w:rsid w:val="7C6B3D59"/>
    <w:rsid w:val="7C7C6196"/>
    <w:rsid w:val="7CBA7504"/>
    <w:rsid w:val="7CEC1757"/>
    <w:rsid w:val="7CF121FB"/>
    <w:rsid w:val="7D7406BB"/>
    <w:rsid w:val="7D884764"/>
    <w:rsid w:val="7DE94331"/>
    <w:rsid w:val="7DF2387C"/>
    <w:rsid w:val="7E3022A5"/>
    <w:rsid w:val="7E4E54C9"/>
    <w:rsid w:val="7E73382B"/>
    <w:rsid w:val="7EB005B8"/>
    <w:rsid w:val="7EBE31FF"/>
    <w:rsid w:val="7F446A19"/>
    <w:rsid w:val="7F7452B9"/>
    <w:rsid w:val="7FC8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857</Words>
  <Characters>905</Characters>
  <Lines>194</Lines>
  <Paragraphs>54</Paragraphs>
  <TotalTime>98</TotalTime>
  <ScaleCrop>false</ScaleCrop>
  <LinksUpToDate>false</LinksUpToDate>
  <CharactersWithSpaces>905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IQ</cp:lastModifiedBy>
  <dcterms:modified xsi:type="dcterms:W3CDTF">2024-11-26T09:40:33Z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