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城口县人民政府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关于设立城口县禁渔区和禁渔期的通告</w:t>
      </w:r>
    </w:p>
    <w:bookmarkEnd w:id="0"/>
    <w:p>
      <w:pPr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城府告〔2020〕15号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有效管护我县境内水生生物资源及特有鱼类水产种质资源，促进生态文明建设与渔业可持续发展，根据《中华人民共和国渔业法》《农业农村部关于长江流域重点水域禁捕范围和时间的通告》（农业农村部通告〔2019〕4号）、《重庆市农业农村委员会关于同意将城口天然水域划定为禁渔区的函》（渝农渔函〔2020〕4号），结合我县实际，现将设立禁渔区和禁渔期有关事项通告如下：</w:t>
      </w:r>
    </w:p>
    <w:p>
      <w:pPr>
        <w:spacing w:line="5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一、设立禁渔区和禁渔期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在全县设立禁渔区，禁渔区范围为全县范围内流域十平方公里以上的天然河流及其支流（任河复兴街道茅坪社区水文站至巴山水库大坝段除外）和城镇饮用水源地水库（羊耳坝水库、三合水库），禁渔时间从2020年7月1日0时起至2029年12月31日24时止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2.在禁渔区范围以外的天然水域和人工水库，实行禁渔期管理，禁渔时间从每年3月1日0时起至6月30日24时止。</w:t>
      </w:r>
    </w:p>
    <w:p>
      <w:pPr>
        <w:spacing w:line="5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二、禁止类型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在禁渔区和禁渔期内，禁止一切捕捞行为（含垂钓）及其他任何形式破坏渔业资源和渔业生态环境的作业活动；禁止收购、销售、加工非法捕捞的天然水域渔获物；</w:t>
      </w:r>
      <w:r>
        <w:rPr>
          <w:rFonts w:ascii="Times New Roman" w:hAnsi="Times New Roman" w:eastAsia="方正仿宋_GBK"/>
          <w:bCs/>
          <w:sz w:val="32"/>
          <w:szCs w:val="32"/>
        </w:rPr>
        <w:t>因科学研究等特殊情况，需要开展捕捞的，应依法申请办理相关手续。</w:t>
      </w:r>
    </w:p>
    <w:p>
      <w:pPr>
        <w:spacing w:line="5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三、法律责任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凡违反《中华人民共和国渔业法》等法律法规及本通告的，由相关行业主管部门根据《中华人民共和国渔业法》《重庆市实施〈中华人民共和国渔业法〉办法》等法律法规的规定予以处理；构成犯罪的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z w:val="32"/>
          <w:szCs w:val="32"/>
        </w:rPr>
        <w:t>依法追究刑事责任。</w:t>
      </w:r>
    </w:p>
    <w:p>
      <w:pPr>
        <w:spacing w:line="50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四、本通告自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印发之日</w:t>
      </w:r>
      <w:r>
        <w:rPr>
          <w:rFonts w:ascii="Times New Roman" w:hAnsi="Times New Roman" w:eastAsia="方正黑体_GBK"/>
          <w:sz w:val="32"/>
          <w:szCs w:val="32"/>
        </w:rPr>
        <w:t>起执行，《城口县人民政府关于调整我县天然水域禁渔制度的通告》（城府告〔2018〕2号）同时废止。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特此通告</w:t>
      </w: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1866"/>
        </w:tabs>
        <w:spacing w:line="5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城口县人民政府</w:t>
      </w:r>
    </w:p>
    <w:p>
      <w:pPr>
        <w:tabs>
          <w:tab w:val="left" w:pos="1866"/>
        </w:tabs>
        <w:spacing w:line="5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2020年6月29日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lZTAxYzlkNmVhODQzMTI1NjdkMDRkYjdiOWEifQ=="/>
  </w:docVars>
  <w:rsids>
    <w:rsidRoot w:val="3AD42F57"/>
    <w:rsid w:val="0C48643B"/>
    <w:rsid w:val="0F702710"/>
    <w:rsid w:val="15B17B2F"/>
    <w:rsid w:val="16873CDF"/>
    <w:rsid w:val="2196617B"/>
    <w:rsid w:val="31986A4D"/>
    <w:rsid w:val="3AD42F57"/>
    <w:rsid w:val="495A381D"/>
    <w:rsid w:val="4DF5541E"/>
    <w:rsid w:val="50983FCB"/>
    <w:rsid w:val="51F80501"/>
    <w:rsid w:val="5386126D"/>
    <w:rsid w:val="6AE14DD0"/>
    <w:rsid w:val="6B835DA5"/>
    <w:rsid w:val="7E4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691</Characters>
  <Lines>0</Lines>
  <Paragraphs>0</Paragraphs>
  <TotalTime>1</TotalTime>
  <ScaleCrop>false</ScaleCrop>
  <LinksUpToDate>false</LinksUpToDate>
  <CharactersWithSpaces>748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2022-06-08T03:40:00Z</dcterms:created>
  <dc:creator>Administrator</dc:creator>
  <cp:lastModifiedBy>Administrator</cp:lastModifiedBy>
  <dcterms:modified xsi:type="dcterms:W3CDTF">2022-06-09T07:40:26Z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9D49C6500A804C90A6135A4BD842EB9F</vt:lpwstr>
  </property>
</Properties>
</file>